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FD151" w14:textId="77777777" w:rsidR="00D577CC" w:rsidRPr="008F46E5" w:rsidRDefault="00D577CC" w:rsidP="00D577CC">
      <w:pPr>
        <w:pStyle w:val="Heading1"/>
        <w:rPr>
          <w:rFonts w:ascii="Times New Roman" w:hAnsi="Times New Roman" w:cs="Times New Roman"/>
          <w:b/>
          <w:color w:val="000000" w:themeColor="text1"/>
          <w:sz w:val="24"/>
          <w:lang w:val="en"/>
        </w:rPr>
      </w:pPr>
      <w:r w:rsidRPr="008F46E5">
        <w:rPr>
          <w:rFonts w:ascii="Times New Roman" w:hAnsi="Times New Roman" w:cs="Times New Roman"/>
          <w:b/>
          <w:color w:val="000000" w:themeColor="text1"/>
          <w:sz w:val="24"/>
          <w:lang w:val="en"/>
        </w:rPr>
        <w:t>Appendix</w:t>
      </w:r>
    </w:p>
    <w:p w14:paraId="42ADF7C1" w14:textId="77777777" w:rsidR="00D577CC" w:rsidRPr="00AB3636" w:rsidRDefault="00D577CC" w:rsidP="00D577CC">
      <w:pPr>
        <w:jc w:val="center"/>
        <w:rPr>
          <w:rFonts w:ascii="Times New Roman" w:hAnsi="Times New Roman" w:cs="Times New Roman"/>
          <w:b/>
          <w:bCs/>
          <w:lang w:val="en"/>
        </w:rPr>
      </w:pPr>
      <w:r w:rsidRPr="00AB3636">
        <w:rPr>
          <w:rFonts w:ascii="Times New Roman" w:hAnsi="Times New Roman" w:cs="Times New Roman"/>
          <w:b/>
          <w:bCs/>
          <w:lang w:val="en"/>
        </w:rPr>
        <w:t>Table A1</w:t>
      </w:r>
    </w:p>
    <w:p w14:paraId="27066D19" w14:textId="77777777" w:rsidR="00D577CC" w:rsidRPr="00D13C4E" w:rsidRDefault="00D577CC" w:rsidP="00D577CC">
      <w:pPr>
        <w:rPr>
          <w:rFonts w:ascii="Times New Roman" w:hAnsi="Times New Roman" w:cs="Times New Roman"/>
          <w:lang w:val="en"/>
        </w:rPr>
      </w:pPr>
    </w:p>
    <w:tbl>
      <w:tblPr>
        <w:tblStyle w:val="TableGrid"/>
        <w:tblW w:w="990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68"/>
        <w:gridCol w:w="2352"/>
        <w:gridCol w:w="3870"/>
        <w:gridCol w:w="1710"/>
      </w:tblGrid>
      <w:tr w:rsidR="00D577CC" w:rsidRPr="005A59CE" w14:paraId="6D1144D6" w14:textId="77777777" w:rsidTr="006A31B2">
        <w:trPr>
          <w:trHeight w:val="483"/>
        </w:trPr>
        <w:tc>
          <w:tcPr>
            <w:tcW w:w="1968" w:type="dxa"/>
            <w:tcBorders>
              <w:bottom w:val="single" w:sz="12" w:space="0" w:color="auto"/>
            </w:tcBorders>
          </w:tcPr>
          <w:p w14:paraId="3C942496" w14:textId="77777777" w:rsidR="00D577CC" w:rsidRPr="008D4B68" w:rsidRDefault="00D577CC" w:rsidP="006A31B2">
            <w:pPr>
              <w:rPr>
                <w:rFonts w:ascii="Times New Roman" w:hAnsi="Times New Roman" w:cs="Times New Roman"/>
                <w:b/>
                <w:sz w:val="16"/>
              </w:rPr>
            </w:pPr>
            <w:r w:rsidRPr="008D4B68">
              <w:rPr>
                <w:rFonts w:ascii="Times New Roman" w:eastAsia="Calibri" w:hAnsi="Times New Roman" w:cs="Times New Roman"/>
                <w:b/>
                <w:bCs/>
                <w:sz w:val="16"/>
              </w:rPr>
              <w:t>Economic indicator</w:t>
            </w:r>
          </w:p>
        </w:tc>
        <w:tc>
          <w:tcPr>
            <w:tcW w:w="2352" w:type="dxa"/>
            <w:tcBorders>
              <w:bottom w:val="single" w:sz="12" w:space="0" w:color="auto"/>
            </w:tcBorders>
          </w:tcPr>
          <w:p w14:paraId="1A4C536E" w14:textId="77777777" w:rsidR="00D577CC" w:rsidRPr="00D13C4E" w:rsidRDefault="00D577CC" w:rsidP="006A31B2">
            <w:pPr>
              <w:rPr>
                <w:rFonts w:ascii="Times New Roman" w:hAnsi="Times New Roman" w:cs="Times New Roman"/>
                <w:b/>
                <w:sz w:val="16"/>
              </w:rPr>
            </w:pPr>
            <w:r w:rsidRPr="00D13C4E">
              <w:rPr>
                <w:rFonts w:ascii="Times New Roman" w:eastAsia="Calibri" w:hAnsi="Times New Roman" w:cs="Times New Roman"/>
                <w:b/>
                <w:bCs/>
                <w:sz w:val="16"/>
              </w:rPr>
              <w:t>Calculation</w:t>
            </w:r>
          </w:p>
        </w:tc>
        <w:tc>
          <w:tcPr>
            <w:tcW w:w="3870" w:type="dxa"/>
            <w:tcBorders>
              <w:bottom w:val="single" w:sz="12" w:space="0" w:color="auto"/>
            </w:tcBorders>
          </w:tcPr>
          <w:p w14:paraId="7D295AA1" w14:textId="77777777" w:rsidR="00D577CC" w:rsidRPr="00AB0901" w:rsidRDefault="00D577CC" w:rsidP="006A31B2">
            <w:pPr>
              <w:rPr>
                <w:rFonts w:ascii="Times New Roman" w:hAnsi="Times New Roman" w:cs="Times New Roman"/>
                <w:b/>
                <w:sz w:val="16"/>
              </w:rPr>
            </w:pPr>
            <w:r w:rsidRPr="00AB0901">
              <w:rPr>
                <w:rFonts w:ascii="Times New Roman" w:eastAsia="Calibri" w:hAnsi="Times New Roman" w:cs="Times New Roman"/>
                <w:b/>
                <w:bCs/>
                <w:sz w:val="16"/>
              </w:rPr>
              <w:t>Description</w:t>
            </w:r>
          </w:p>
        </w:tc>
        <w:tc>
          <w:tcPr>
            <w:tcW w:w="1710" w:type="dxa"/>
            <w:tcBorders>
              <w:bottom w:val="single" w:sz="12" w:space="0" w:color="auto"/>
            </w:tcBorders>
          </w:tcPr>
          <w:p w14:paraId="3686D11E" w14:textId="77777777" w:rsidR="00D577CC" w:rsidRPr="005A59CE" w:rsidRDefault="00D577CC" w:rsidP="006A31B2">
            <w:pPr>
              <w:rPr>
                <w:rFonts w:ascii="Times New Roman" w:hAnsi="Times New Roman" w:cs="Times New Roman"/>
                <w:b/>
                <w:sz w:val="16"/>
              </w:rPr>
            </w:pPr>
            <w:r w:rsidRPr="005A59CE">
              <w:rPr>
                <w:rFonts w:ascii="Times New Roman" w:eastAsia="Calibri" w:hAnsi="Times New Roman" w:cs="Times New Roman"/>
                <w:b/>
                <w:bCs/>
                <w:sz w:val="16"/>
              </w:rPr>
              <w:t>Ref.</w:t>
            </w:r>
          </w:p>
        </w:tc>
      </w:tr>
      <w:tr w:rsidR="00D577CC" w:rsidRPr="005A59CE" w14:paraId="0AD3CE82" w14:textId="77777777" w:rsidTr="006A31B2">
        <w:tc>
          <w:tcPr>
            <w:tcW w:w="1968" w:type="dxa"/>
            <w:tcBorders>
              <w:top w:val="single" w:sz="12" w:space="0" w:color="auto"/>
            </w:tcBorders>
          </w:tcPr>
          <w:p w14:paraId="4A8AB6E2" w14:textId="77777777" w:rsidR="00D577CC" w:rsidRPr="00D13C4E"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Total Life Cycle Cost (TLCC)</w:t>
            </w:r>
          </w:p>
        </w:tc>
        <w:tc>
          <w:tcPr>
            <w:tcW w:w="2352" w:type="dxa"/>
            <w:tcBorders>
              <w:top w:val="single" w:sz="12" w:space="0" w:color="auto"/>
            </w:tcBorders>
          </w:tcPr>
          <w:p w14:paraId="4696E0BB" w14:textId="77777777" w:rsidR="00D577CC" w:rsidRPr="008D4B68" w:rsidRDefault="00D577CC" w:rsidP="006A31B2">
            <w:pPr>
              <w:spacing w:line="360" w:lineRule="auto"/>
              <w:rPr>
                <w:rFonts w:ascii="Times New Roman" w:hAnsi="Times New Roman" w:cs="Times New Roman"/>
                <w:b/>
                <w:sz w:val="16"/>
              </w:rPr>
            </w:pPr>
            <m:oMath>
              <m:r>
                <w:rPr>
                  <w:rFonts w:ascii="Cambria Math" w:eastAsia="Calibri" w:hAnsi="Cambria Math" w:cs="Times New Roman"/>
                  <w:sz w:val="16"/>
                </w:rPr>
                <m:t xml:space="preserve">TLCC= </m:t>
              </m:r>
              <m:sSub>
                <m:sSubPr>
                  <m:ctrlPr>
                    <w:rPr>
                      <w:rFonts w:ascii="Cambria Math" w:eastAsia="Calibri" w:hAnsi="Cambria Math" w:cs="Times New Roman"/>
                      <w:i/>
                      <w:sz w:val="16"/>
                    </w:rPr>
                  </m:ctrlPr>
                </m:sSubPr>
                <m:e>
                  <m:r>
                    <w:rPr>
                      <w:rFonts w:ascii="Cambria Math" w:eastAsia="Calibri" w:hAnsi="Cambria Math" w:cs="Times New Roman"/>
                      <w:sz w:val="16"/>
                    </w:rPr>
                    <m:t>INV</m:t>
                  </m:r>
                </m:e>
                <m:sub>
                  <m:r>
                    <w:rPr>
                      <w:rFonts w:ascii="Cambria Math" w:eastAsia="Calibri" w:hAnsi="Cambria Math" w:cs="Times New Roman"/>
                      <w:sz w:val="16"/>
                    </w:rPr>
                    <m:t>cst</m:t>
                  </m:r>
                </m:sub>
              </m:sSub>
              <m:r>
                <w:rPr>
                  <w:rFonts w:ascii="Cambria Math" w:eastAsia="Calibri" w:hAnsi="Cambria Math" w:cs="Times New Roman"/>
                  <w:sz w:val="16"/>
                </w:rPr>
                <m:t xml:space="preserve">+ </m:t>
              </m:r>
              <m:nary>
                <m:naryPr>
                  <m:chr m:val="∑"/>
                  <m:limLoc m:val="undOvr"/>
                  <m:ctrlPr>
                    <w:rPr>
                      <w:rFonts w:ascii="Cambria Math" w:eastAsia="Calibri" w:hAnsi="Cambria Math" w:cs="Times New Roman"/>
                      <w:i/>
                      <w:sz w:val="16"/>
                    </w:rPr>
                  </m:ctrlPr>
                </m:naryPr>
                <m:sub>
                  <m:r>
                    <w:rPr>
                      <w:rFonts w:ascii="Cambria Math" w:eastAsia="Calibri" w:hAnsi="Cambria Math" w:cs="Times New Roman"/>
                      <w:sz w:val="16"/>
                    </w:rPr>
                    <m:t>n=1</m:t>
                  </m:r>
                </m:sub>
                <m:sup>
                  <m:r>
                    <w:rPr>
                      <w:rFonts w:ascii="Cambria Math" w:eastAsia="Calibri" w:hAnsi="Cambria Math" w:cs="Times New Roman"/>
                      <w:sz w:val="16"/>
                    </w:rPr>
                    <m:t>t</m:t>
                  </m:r>
                </m:sup>
                <m:e>
                  <m:f>
                    <m:fPr>
                      <m:ctrlPr>
                        <w:rPr>
                          <w:rFonts w:ascii="Cambria Math" w:eastAsia="Calibri" w:hAnsi="Cambria Math" w:cs="Times New Roman"/>
                          <w:i/>
                          <w:sz w:val="16"/>
                        </w:rPr>
                      </m:ctrlPr>
                    </m:fPr>
                    <m:num>
                      <m:r>
                        <w:rPr>
                          <w:rFonts w:ascii="Cambria Math" w:eastAsia="Calibri" w:hAnsi="Cambria Math" w:cs="Times New Roman"/>
                          <w:sz w:val="16"/>
                        </w:rPr>
                        <m:t>O&amp;</m:t>
                      </m:r>
                      <m:sSub>
                        <m:sSubPr>
                          <m:ctrlPr>
                            <w:rPr>
                              <w:rFonts w:ascii="Cambria Math" w:eastAsia="Calibri" w:hAnsi="Cambria Math" w:cs="Times New Roman"/>
                              <w:i/>
                              <w:sz w:val="16"/>
                            </w:rPr>
                          </m:ctrlPr>
                        </m:sSubPr>
                        <m:e>
                          <m:r>
                            <w:rPr>
                              <w:rFonts w:ascii="Cambria Math" w:eastAsia="Calibri" w:hAnsi="Cambria Math" w:cs="Times New Roman"/>
                              <w:sz w:val="16"/>
                            </w:rPr>
                            <m:t>M</m:t>
                          </m:r>
                        </m:e>
                        <m:sub>
                          <m:r>
                            <w:rPr>
                              <w:rFonts w:ascii="Cambria Math" w:eastAsia="Calibri" w:hAnsi="Cambria Math" w:cs="Times New Roman"/>
                              <w:sz w:val="16"/>
                            </w:rPr>
                            <m:t>cst</m:t>
                          </m:r>
                        </m:sub>
                      </m:sSub>
                    </m:num>
                    <m:den>
                      <m:sSup>
                        <m:sSupPr>
                          <m:ctrlPr>
                            <w:rPr>
                              <w:rFonts w:ascii="Cambria Math" w:eastAsia="Calibri" w:hAnsi="Cambria Math" w:cs="Times New Roman"/>
                              <w:i/>
                              <w:sz w:val="16"/>
                            </w:rPr>
                          </m:ctrlPr>
                        </m:sSupPr>
                        <m:e>
                          <m:d>
                            <m:dPr>
                              <m:ctrlPr>
                                <w:rPr>
                                  <w:rFonts w:ascii="Cambria Math" w:eastAsia="Calibri" w:hAnsi="Cambria Math" w:cs="Times New Roman"/>
                                  <w:i/>
                                  <w:sz w:val="16"/>
                                </w:rPr>
                              </m:ctrlPr>
                            </m:dPr>
                            <m:e>
                              <m:r>
                                <w:rPr>
                                  <w:rFonts w:ascii="Cambria Math" w:eastAsia="Calibri" w:hAnsi="Cambria Math" w:cs="Times New Roman"/>
                                  <w:sz w:val="16"/>
                                </w:rPr>
                                <m:t>1+α</m:t>
                              </m:r>
                            </m:e>
                          </m:d>
                        </m:e>
                        <m:sup>
                          <m:r>
                            <w:rPr>
                              <w:rFonts w:ascii="Cambria Math" w:eastAsia="Calibri" w:hAnsi="Cambria Math" w:cs="Times New Roman"/>
                              <w:sz w:val="16"/>
                            </w:rPr>
                            <m:t>n</m:t>
                          </m:r>
                        </m:sup>
                      </m:sSup>
                    </m:den>
                  </m:f>
                </m:e>
              </m:nary>
            </m:oMath>
            <w:r w:rsidRPr="008D4B68">
              <w:rPr>
                <w:rFonts w:ascii="Times New Roman" w:eastAsia="Calibri" w:hAnsi="Times New Roman" w:cs="Times New Roman"/>
                <w:sz w:val="16"/>
              </w:rPr>
              <w:t xml:space="preserve">          </w:t>
            </w:r>
          </w:p>
        </w:tc>
        <w:tc>
          <w:tcPr>
            <w:tcW w:w="3870" w:type="dxa"/>
            <w:tcBorders>
              <w:top w:val="single" w:sz="12" w:space="0" w:color="auto"/>
            </w:tcBorders>
          </w:tcPr>
          <w:p w14:paraId="25383D9A" w14:textId="77777777" w:rsidR="00D577CC" w:rsidRPr="008D4B68" w:rsidRDefault="00D577CC" w:rsidP="006A31B2">
            <w:pPr>
              <w:spacing w:line="360" w:lineRule="auto"/>
              <w:jc w:val="both"/>
              <w:rPr>
                <w:rFonts w:ascii="Times New Roman" w:eastAsia="Times New Roman" w:hAnsi="Times New Roman" w:cs="Times New Roman"/>
                <w:sz w:val="16"/>
              </w:rPr>
            </w:pPr>
            <w:r w:rsidRPr="00D13C4E">
              <w:rPr>
                <w:rFonts w:ascii="Times New Roman" w:eastAsia="Times New Roman" w:hAnsi="Times New Roman" w:cs="Times New Roman"/>
                <w:sz w:val="16"/>
              </w:rPr>
              <w:t xml:space="preserve">The economic period of the project is considered to be 20 y and the nominal discount rate </w:t>
            </w:r>
            <m:oMath>
              <m:r>
                <w:rPr>
                  <w:rFonts w:ascii="Cambria Math" w:eastAsia="Calibri" w:hAnsi="Cambria Math" w:cs="Times New Roman"/>
                  <w:sz w:val="16"/>
                </w:rPr>
                <m:t>α</m:t>
              </m:r>
            </m:oMath>
            <w:r w:rsidRPr="00D13C4E">
              <w:rPr>
                <w:rFonts w:ascii="Times New Roman" w:eastAsia="Times New Roman" w:hAnsi="Times New Roman" w:cs="Times New Roman"/>
                <w:sz w:val="16"/>
              </w:rPr>
              <w:t xml:space="preserve"> is 10%. Here, </w:t>
            </w:r>
            <m:oMath>
              <m:r>
                <w:rPr>
                  <w:rFonts w:ascii="Cambria Math" w:eastAsia="Calibri" w:hAnsi="Cambria Math" w:cs="Times New Roman"/>
                  <w:sz w:val="16"/>
                </w:rPr>
                <m:t>O&amp;</m:t>
              </m:r>
              <m:sSub>
                <m:sSubPr>
                  <m:ctrlPr>
                    <w:rPr>
                      <w:rFonts w:ascii="Cambria Math" w:eastAsia="Calibri" w:hAnsi="Cambria Math" w:cs="Times New Roman"/>
                      <w:i/>
                      <w:sz w:val="16"/>
                    </w:rPr>
                  </m:ctrlPr>
                </m:sSubPr>
                <m:e>
                  <m:r>
                    <w:rPr>
                      <w:rFonts w:ascii="Cambria Math" w:eastAsia="Calibri" w:hAnsi="Cambria Math" w:cs="Times New Roman"/>
                      <w:sz w:val="16"/>
                    </w:rPr>
                    <m:t>M</m:t>
                  </m:r>
                </m:e>
                <m:sub>
                  <m:r>
                    <w:rPr>
                      <w:rFonts w:ascii="Cambria Math" w:eastAsia="Calibri" w:hAnsi="Cambria Math" w:cs="Times New Roman"/>
                      <w:sz w:val="16"/>
                    </w:rPr>
                    <m:t>cst</m:t>
                  </m:r>
                </m:sub>
              </m:sSub>
              <m:r>
                <w:rPr>
                  <w:rFonts w:ascii="Cambria Math" w:eastAsia="Calibri" w:hAnsi="Cambria Math" w:cs="Times New Roman"/>
                  <w:sz w:val="16"/>
                </w:rPr>
                <m:t xml:space="preserve"> </m:t>
              </m:r>
            </m:oMath>
            <w:r w:rsidRPr="008D4B68">
              <w:rPr>
                <w:rFonts w:ascii="Times New Roman" w:eastAsia="Times New Roman" w:hAnsi="Times New Roman" w:cs="Times New Roman"/>
                <w:sz w:val="16"/>
              </w:rPr>
              <w:t>is represented as operation &amp; maintenance costs.</w:t>
            </w:r>
          </w:p>
        </w:tc>
        <w:tc>
          <w:tcPr>
            <w:tcW w:w="1710" w:type="dxa"/>
            <w:tcBorders>
              <w:top w:val="single" w:sz="12" w:space="0" w:color="auto"/>
            </w:tcBorders>
          </w:tcPr>
          <w:p w14:paraId="79A00459"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-1","issued":{"date-parts":[["2021"]]},"title":"Forecasting the potential and economic feasibility of power generation using biogas from food waste in Ghana: Evidence from Accra and Kumasi","type":"article-journal","volume":"226"},"uris":["http://www.mendeley.com/documents/?uuid=b6bf6bb5-0823-42b7-a243-5bb4ce24767a"]}],"mendeley":{"formattedCitation":"[76]","plainTextFormattedCitation":"[76]","previouslyFormattedCitation":"[76]"},"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w:t>
            </w:r>
            <w:r w:rsidRPr="008D4B68">
              <w:rPr>
                <w:rFonts w:ascii="Times New Roman" w:hAnsi="Times New Roman" w:cs="Times New Roman"/>
                <w:b/>
                <w:sz w:val="16"/>
              </w:rPr>
              <w:fldChar w:fldCharType="end"/>
            </w:r>
          </w:p>
        </w:tc>
      </w:tr>
      <w:tr w:rsidR="00D577CC" w:rsidRPr="005A59CE" w14:paraId="3801BFA9" w14:textId="77777777" w:rsidTr="006A31B2">
        <w:tc>
          <w:tcPr>
            <w:tcW w:w="1968" w:type="dxa"/>
          </w:tcPr>
          <w:p w14:paraId="7AA61495" w14:textId="77777777" w:rsidR="00D577CC" w:rsidRPr="008D4B68"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Tax paid on profit (</w:t>
            </w:r>
            <m:oMath>
              <m:sSub>
                <m:sSubPr>
                  <m:ctrlPr>
                    <w:rPr>
                      <w:rFonts w:ascii="Cambria Math" w:eastAsia="Calibri" w:hAnsi="Cambria Math" w:cs="Times New Roman"/>
                      <w:i/>
                      <w:sz w:val="16"/>
                    </w:rPr>
                  </m:ctrlPr>
                </m:sSubPr>
                <m:e>
                  <m:r>
                    <w:rPr>
                      <w:rFonts w:ascii="Cambria Math" w:eastAsia="Calibri" w:hAnsi="Cambria Math" w:cs="Times New Roman"/>
                      <w:sz w:val="16"/>
                    </w:rPr>
                    <m:t>T</m:t>
                  </m:r>
                </m:e>
                <m:sub>
                  <m:r>
                    <w:rPr>
                      <w:rFonts w:ascii="Cambria Math" w:eastAsia="Calibri" w:hAnsi="Cambria Math" w:cs="Times New Roman"/>
                      <w:sz w:val="16"/>
                    </w:rPr>
                    <m:t>paid</m:t>
                  </m:r>
                </m:sub>
              </m:sSub>
              <m:r>
                <w:rPr>
                  <w:rFonts w:ascii="Cambria Math" w:eastAsia="Calibri" w:hAnsi="Cambria Math" w:cs="Times New Roman"/>
                  <w:sz w:val="16"/>
                </w:rPr>
                <m:t>)</m:t>
              </m:r>
            </m:oMath>
          </w:p>
        </w:tc>
        <w:tc>
          <w:tcPr>
            <w:tcW w:w="2352" w:type="dxa"/>
          </w:tcPr>
          <w:p w14:paraId="5070A3A5" w14:textId="77777777" w:rsidR="00D577CC" w:rsidRPr="008D4B68" w:rsidRDefault="00D577CC" w:rsidP="006A31B2">
            <w:pPr>
              <w:spacing w:line="360" w:lineRule="auto"/>
              <w:rPr>
                <w:rFonts w:ascii="Times New Roman" w:hAnsi="Times New Roman" w:cs="Times New Roman"/>
                <w:b/>
                <w:sz w:val="16"/>
              </w:rPr>
            </w:pPr>
            <m:oMath>
              <m:sSub>
                <m:sSubPr>
                  <m:ctrlPr>
                    <w:rPr>
                      <w:rFonts w:ascii="Cambria Math" w:eastAsia="Calibri" w:hAnsi="Cambria Math" w:cs="Times New Roman"/>
                      <w:i/>
                      <w:sz w:val="16"/>
                    </w:rPr>
                  </m:ctrlPr>
                </m:sSubPr>
                <m:e>
                  <m:r>
                    <w:rPr>
                      <w:rFonts w:ascii="Cambria Math" w:eastAsia="Calibri" w:hAnsi="Cambria Math" w:cs="Times New Roman"/>
                      <w:sz w:val="16"/>
                    </w:rPr>
                    <m:t>T</m:t>
                  </m:r>
                </m:e>
                <m:sub>
                  <m:r>
                    <w:rPr>
                      <w:rFonts w:ascii="Cambria Math" w:eastAsia="Calibri" w:hAnsi="Cambria Math" w:cs="Times New Roman"/>
                      <w:sz w:val="16"/>
                    </w:rPr>
                    <m:t>paid</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profit</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T</m:t>
                  </m:r>
                </m:e>
                <m:sub>
                  <m:r>
                    <w:rPr>
                      <w:rFonts w:ascii="Cambria Math" w:eastAsia="Calibri" w:hAnsi="Cambria Math" w:cs="Times New Roman"/>
                      <w:sz w:val="16"/>
                    </w:rPr>
                    <m:t>r</m:t>
                  </m:r>
                </m:sub>
              </m:sSub>
            </m:oMath>
            <w:r w:rsidRPr="008D4B68">
              <w:rPr>
                <w:rFonts w:ascii="Times New Roman" w:eastAsia="Times New Roman" w:hAnsi="Times New Roman" w:cs="Times New Roman"/>
                <w:sz w:val="16"/>
              </w:rPr>
              <w:t xml:space="preserve">                      </w:t>
            </w:r>
          </w:p>
        </w:tc>
        <w:tc>
          <w:tcPr>
            <w:tcW w:w="3870" w:type="dxa"/>
          </w:tcPr>
          <w:p w14:paraId="0C42D32D" w14:textId="77777777" w:rsidR="00D577CC" w:rsidRPr="008D4B68" w:rsidRDefault="00D577CC" w:rsidP="006A31B2">
            <w:pPr>
              <w:spacing w:line="360" w:lineRule="auto"/>
              <w:jc w:val="both"/>
              <w:rPr>
                <w:rFonts w:ascii="Times New Roman" w:eastAsia="Times New Roman" w:hAnsi="Times New Roman" w:cs="Times New Roman"/>
                <w:sz w:val="16"/>
              </w:rPr>
            </w:pPr>
            <w:r w:rsidRPr="008D4B68">
              <w:rPr>
                <w:rFonts w:ascii="Times New Roman" w:eastAsia="Times New Roman" w:hAnsi="Times New Roman" w:cs="Times New Roman"/>
                <w:sz w:val="16"/>
              </w:rPr>
              <w:t xml:space="preserve">The profit gained from the project is represented as </w:t>
            </w:r>
            <m:oMath>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profit</m:t>
                  </m:r>
                </m:sub>
              </m:sSub>
            </m:oMath>
            <w:r w:rsidRPr="008D4B68">
              <w:rPr>
                <w:rFonts w:ascii="Times New Roman" w:eastAsia="Times New Roman" w:hAnsi="Times New Roman" w:cs="Times New Roman"/>
                <w:sz w:val="16"/>
              </w:rPr>
              <w:t xml:space="preserve"> and marginal tax rate, </w:t>
            </w:r>
            <m:oMath>
              <m:sSub>
                <m:sSubPr>
                  <m:ctrlPr>
                    <w:rPr>
                      <w:rFonts w:ascii="Cambria Math" w:eastAsia="Calibri" w:hAnsi="Cambria Math" w:cs="Times New Roman"/>
                      <w:i/>
                      <w:sz w:val="16"/>
                    </w:rPr>
                  </m:ctrlPr>
                </m:sSubPr>
                <m:e>
                  <m:r>
                    <w:rPr>
                      <w:rFonts w:ascii="Cambria Math" w:eastAsia="Calibri" w:hAnsi="Cambria Math" w:cs="Times New Roman"/>
                      <w:sz w:val="16"/>
                    </w:rPr>
                    <m:t>T</m:t>
                  </m:r>
                </m:e>
                <m:sub>
                  <m:r>
                    <w:rPr>
                      <w:rFonts w:ascii="Cambria Math" w:eastAsia="Calibri" w:hAnsi="Cambria Math" w:cs="Times New Roman"/>
                      <w:sz w:val="16"/>
                    </w:rPr>
                    <m:t>r</m:t>
                  </m:r>
                </m:sub>
              </m:sSub>
            </m:oMath>
            <w:r w:rsidRPr="008D4B68">
              <w:rPr>
                <w:rFonts w:ascii="Times New Roman" w:eastAsia="Times New Roman" w:hAnsi="Times New Roman" w:cs="Times New Roman"/>
                <w:sz w:val="16"/>
              </w:rPr>
              <w:t xml:space="preserve"> as 15%.</w:t>
            </w:r>
          </w:p>
        </w:tc>
        <w:tc>
          <w:tcPr>
            <w:tcW w:w="1710" w:type="dxa"/>
          </w:tcPr>
          <w:p w14:paraId="7AAC1DD7"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{"citationItems":[{"id":"ITEM-1","itemData":{"URL":"https://juralacuity.com/tax-update-2021-2022-bangladesh/","id":"ITEM-1","issued":{"date-parts":[["0"]]},"title":"Tax Update 2021-2022 Bangladesh","type":"webpage"},"uris":["http://www.mendeley.com/documents/?uuid=90d76a00-2561-4cc7-9ebf-d6c290643d3b"]},{"id":"ITEM-2","itemData":{"DOI":"10.1016/j.energy.2021.120342","ISSN":"03605442","abstract":"Global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-2","issued":{"date-parts":[["2021"]]},"title":"Forecasting the potential and economic feasibility of power generation using biogas from food waste in Ghana: Evidence from Accra and Kumasi","type":"article-journal","volume":"226"},"uris":["http://www.mendeley.com/documents/?uuid=b6bf6bb5-0823-42b7-a243-5bb4ce24767a"]}],"mendeley":{"formattedCitation":"[76], [77]","plainTextFormattedCitation":"[76], [77]","previouslyFormattedCitation":"[76], [77]"},"properties":{"noteIndex":0},"schema":"https://github.com/citation-style-language/schema/raw/master/csl-citation.json"}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 [77]</w:t>
            </w:r>
            <w:r w:rsidRPr="008D4B68">
              <w:rPr>
                <w:rFonts w:ascii="Times New Roman" w:hAnsi="Times New Roman" w:cs="Times New Roman"/>
                <w:b/>
                <w:sz w:val="16"/>
              </w:rPr>
              <w:fldChar w:fldCharType="end"/>
            </w:r>
          </w:p>
        </w:tc>
      </w:tr>
      <w:tr w:rsidR="00D577CC" w:rsidRPr="005A59CE" w14:paraId="417B06B8" w14:textId="77777777" w:rsidTr="006A31B2">
        <w:tc>
          <w:tcPr>
            <w:tcW w:w="1968" w:type="dxa"/>
          </w:tcPr>
          <w:p w14:paraId="3622884B" w14:textId="77777777" w:rsidR="00D577CC" w:rsidRPr="008D4B68"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Revenue (</w:t>
            </w:r>
            <m:oMath>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rev</m:t>
                  </m:r>
                </m:sub>
              </m:sSub>
              <m:r>
                <w:rPr>
                  <w:rFonts w:ascii="Cambria Math" w:eastAsia="Calibri" w:hAnsi="Cambria Math" w:cs="Times New Roman"/>
                  <w:sz w:val="16"/>
                </w:rPr>
                <m:t>)</m:t>
              </m:r>
            </m:oMath>
          </w:p>
        </w:tc>
        <w:tc>
          <w:tcPr>
            <w:tcW w:w="2352" w:type="dxa"/>
          </w:tcPr>
          <w:p w14:paraId="65D36D2D" w14:textId="77777777" w:rsidR="00D577CC" w:rsidRPr="008D4B68" w:rsidRDefault="00D577CC" w:rsidP="006A31B2">
            <w:pPr>
              <w:spacing w:line="360" w:lineRule="auto"/>
              <w:rPr>
                <w:rFonts w:ascii="Times New Roman" w:hAnsi="Times New Roman" w:cs="Times New Roman"/>
                <w:b/>
                <w:sz w:val="16"/>
              </w:rPr>
            </w:pPr>
            <m:oMath>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rev</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EP</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r</m:t>
                  </m:r>
                </m:e>
                <m:sub>
                  <m:r>
                    <w:rPr>
                      <w:rFonts w:ascii="Cambria Math" w:eastAsia="Calibri" w:hAnsi="Cambria Math" w:cs="Times New Roman"/>
                      <w:sz w:val="16"/>
                    </w:rPr>
                    <m:t>fit</m:t>
                  </m:r>
                </m:sub>
              </m:sSub>
            </m:oMath>
            <w:r w:rsidRPr="008D4B68">
              <w:rPr>
                <w:rFonts w:ascii="Times New Roman" w:eastAsia="Calibri" w:hAnsi="Times New Roman" w:cs="Times New Roman"/>
                <w:sz w:val="16"/>
              </w:rPr>
              <w:t xml:space="preserve">                         </w:t>
            </w:r>
          </w:p>
        </w:tc>
        <w:tc>
          <w:tcPr>
            <w:tcW w:w="3870" w:type="dxa"/>
          </w:tcPr>
          <w:p w14:paraId="7B103F92" w14:textId="77777777" w:rsidR="00D577CC" w:rsidRPr="008D4B68" w:rsidRDefault="00D577CC" w:rsidP="006A31B2">
            <w:pPr>
              <w:spacing w:line="360" w:lineRule="auto"/>
              <w:jc w:val="both"/>
              <w:rPr>
                <w:rFonts w:ascii="Times New Roman" w:eastAsia="Times New Roman" w:hAnsi="Times New Roman" w:cs="Times New Roman"/>
                <w:sz w:val="16"/>
              </w:rPr>
            </w:pPr>
            <w:r w:rsidRPr="008D4B68">
              <w:rPr>
                <w:rFonts w:ascii="Times New Roman" w:eastAsia="Times New Roman" w:hAnsi="Times New Roman" w:cs="Times New Roman"/>
                <w:sz w:val="16"/>
              </w:rPr>
              <w:t xml:space="preserve">The feed-in tariff </w:t>
            </w:r>
            <m:oMath>
              <m:r>
                <w:rPr>
                  <w:rFonts w:ascii="Cambria Math" w:eastAsia="Times New Roman" w:hAnsi="Cambria Math" w:cs="Times New Roman"/>
                  <w:sz w:val="16"/>
                </w:rPr>
                <m:t xml:space="preserve">  (</m:t>
              </m:r>
              <m:sSub>
                <m:sSubPr>
                  <m:ctrlPr>
                    <w:rPr>
                      <w:rFonts w:ascii="Cambria Math" w:eastAsia="Calibri" w:hAnsi="Cambria Math" w:cs="Times New Roman"/>
                      <w:i/>
                      <w:sz w:val="16"/>
                    </w:rPr>
                  </m:ctrlPr>
                </m:sSubPr>
                <m:e>
                  <m:r>
                    <w:rPr>
                      <w:rFonts w:ascii="Cambria Math" w:eastAsia="Calibri" w:hAnsi="Cambria Math" w:cs="Times New Roman"/>
                      <w:sz w:val="16"/>
                    </w:rPr>
                    <m:t>r</m:t>
                  </m:r>
                </m:e>
                <m:sub>
                  <m:r>
                    <w:rPr>
                      <w:rFonts w:ascii="Cambria Math" w:eastAsia="Calibri" w:hAnsi="Cambria Math" w:cs="Times New Roman"/>
                      <w:sz w:val="16"/>
                    </w:rPr>
                    <m:t>fit</m:t>
                  </m:r>
                </m:sub>
              </m:sSub>
              <m:r>
                <w:rPr>
                  <w:rFonts w:ascii="Cambria Math" w:eastAsia="Calibri" w:hAnsi="Cambria Math" w:cs="Times New Roman"/>
                  <w:sz w:val="16"/>
                </w:rPr>
                <m:t>)</m:t>
              </m:r>
            </m:oMath>
            <w:r w:rsidRPr="008D4B68">
              <w:rPr>
                <w:rFonts w:ascii="Times New Roman" w:eastAsia="Calibri" w:hAnsi="Times New Roman" w:cs="Times New Roman"/>
                <w:sz w:val="16"/>
              </w:rPr>
              <w:t xml:space="preserve"> </w:t>
            </w:r>
            <w:r w:rsidRPr="008D4B68">
              <w:rPr>
                <w:rFonts w:ascii="Times New Roman" w:eastAsia="Times New Roman" w:hAnsi="Times New Roman" w:cs="Times New Roman"/>
                <w:sz w:val="16"/>
              </w:rPr>
              <w:t>of biogas-based electricity generation for Bangladesh is considered as 0.106 $/kWh as agreed for PV.</w:t>
            </w:r>
          </w:p>
        </w:tc>
        <w:tc>
          <w:tcPr>
            <w:tcW w:w="1710" w:type="dxa"/>
          </w:tcPr>
          <w:p w14:paraId="3963B748"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-1","issued":{"date-parts":[["2021"]]},"title":"Forecasting the potential and economic feasibility of power generation using biogas from food waste in Ghana: Evidence from Accra and Kumasi","type":"article-journal","volume":"226"},"uris":["http://www.mendeley.com/documents/?uuid=b6bf6bb5-0823-42b7-a243-5bb4ce24767a"]},{"id":"ITEM-2","itemData":{"author":[{"dropping-particle":"","family":"ISLAM","given":"SYFUL","non-dropping-particle":"","parse-names":false,"suffix":""}],"container-title":"pv magazine","id":"ITEM-2","issued":{"date-parts":[["0"]]},"title":"Bangladesh government signs up for 180 MW of solar electricity","type":"article-newspaper"},"uris":["http://www.mendeley.com/documents/?uuid=e6695ac2-dec2-475f-8402-72426209377b"]}],"mendeley":{"formattedCitation":"[76], [78]","plainTextFormattedCitation":"[76], [78]","previouslyFormattedCitation":"[76], [78]"},"properties":{"noteIndex":0},"schema":"https://github.com/citation-style-language/schema/raw/master/csl-citation.json"}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 [78]</w:t>
            </w:r>
            <w:r w:rsidRPr="008D4B68">
              <w:rPr>
                <w:rFonts w:ascii="Times New Roman" w:hAnsi="Times New Roman" w:cs="Times New Roman"/>
                <w:b/>
                <w:sz w:val="16"/>
              </w:rPr>
              <w:fldChar w:fldCharType="end"/>
            </w:r>
          </w:p>
        </w:tc>
      </w:tr>
      <w:tr w:rsidR="00D577CC" w:rsidRPr="005A59CE" w14:paraId="16003D65" w14:textId="77777777" w:rsidTr="006A31B2">
        <w:tc>
          <w:tcPr>
            <w:tcW w:w="1968" w:type="dxa"/>
          </w:tcPr>
          <w:p w14:paraId="27BD9836" w14:textId="77777777" w:rsidR="00D577CC" w:rsidRPr="008D4B68"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Profit (</w:t>
            </w:r>
            <m:oMath>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profit</m:t>
                  </m:r>
                </m:sub>
              </m:sSub>
              <m:r>
                <w:rPr>
                  <w:rFonts w:ascii="Cambria Math" w:eastAsia="Calibri" w:hAnsi="Cambria Math" w:cs="Times New Roman"/>
                  <w:sz w:val="16"/>
                </w:rPr>
                <m:t>)</m:t>
              </m:r>
            </m:oMath>
          </w:p>
        </w:tc>
        <w:tc>
          <w:tcPr>
            <w:tcW w:w="2352" w:type="dxa"/>
          </w:tcPr>
          <w:p w14:paraId="2F852184" w14:textId="77777777" w:rsidR="00D577CC" w:rsidRPr="008D4B68" w:rsidRDefault="00D577CC" w:rsidP="006A31B2">
            <w:pPr>
              <w:spacing w:line="360" w:lineRule="auto"/>
              <w:rPr>
                <w:rFonts w:ascii="Times New Roman" w:hAnsi="Times New Roman" w:cs="Times New Roman"/>
                <w:b/>
                <w:sz w:val="16"/>
              </w:rPr>
            </w:pPr>
            <m:oMath>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profit</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rev</m:t>
                  </m:r>
                </m:sub>
              </m:sSub>
              <m:r>
                <w:rPr>
                  <w:rFonts w:ascii="Cambria Math" w:eastAsia="Calibri" w:hAnsi="Cambria Math" w:cs="Times New Roman"/>
                  <w:sz w:val="16"/>
                </w:rPr>
                <m:t>-O&amp;</m:t>
              </m:r>
              <m:sSub>
                <m:sSubPr>
                  <m:ctrlPr>
                    <w:rPr>
                      <w:rFonts w:ascii="Cambria Math" w:eastAsia="Calibri" w:hAnsi="Cambria Math" w:cs="Times New Roman"/>
                      <w:i/>
                      <w:sz w:val="16"/>
                    </w:rPr>
                  </m:ctrlPr>
                </m:sSubPr>
                <m:e>
                  <m:r>
                    <w:rPr>
                      <w:rFonts w:ascii="Cambria Math" w:eastAsia="Calibri" w:hAnsi="Cambria Math" w:cs="Times New Roman"/>
                      <w:sz w:val="16"/>
                    </w:rPr>
                    <m:t>M</m:t>
                  </m:r>
                </m:e>
                <m:sub>
                  <m:r>
                    <w:rPr>
                      <w:rFonts w:ascii="Cambria Math" w:eastAsia="Calibri" w:hAnsi="Cambria Math" w:cs="Times New Roman"/>
                      <w:sz w:val="16"/>
                    </w:rPr>
                    <m:t>cst</m:t>
                  </m:r>
                </m:sub>
              </m:sSub>
            </m:oMath>
            <w:r w:rsidRPr="008D4B68">
              <w:rPr>
                <w:rFonts w:ascii="Times New Roman" w:eastAsia="Calibri" w:hAnsi="Times New Roman" w:cs="Times New Roman"/>
                <w:sz w:val="16"/>
              </w:rPr>
              <w:t xml:space="preserve">    </w:t>
            </w:r>
          </w:p>
        </w:tc>
        <w:tc>
          <w:tcPr>
            <w:tcW w:w="3870" w:type="dxa"/>
          </w:tcPr>
          <w:p w14:paraId="21638CE3" w14:textId="77777777" w:rsidR="00D577CC" w:rsidRPr="008D4B68" w:rsidRDefault="00D577CC" w:rsidP="006A31B2">
            <w:pPr>
              <w:spacing w:line="360" w:lineRule="auto"/>
              <w:jc w:val="both"/>
              <w:rPr>
                <w:rFonts w:ascii="Times New Roman" w:eastAsia="Times New Roman" w:hAnsi="Times New Roman" w:cs="Times New Roman"/>
                <w:sz w:val="16"/>
              </w:rPr>
            </w:pPr>
            <w:r w:rsidRPr="008D4B68">
              <w:rPr>
                <w:rFonts w:ascii="Times New Roman" w:eastAsia="Times New Roman" w:hAnsi="Times New Roman" w:cs="Times New Roman"/>
                <w:sz w:val="16"/>
              </w:rPr>
              <w:t xml:space="preserve">The revenue earned from the project is represented as </w:t>
            </w:r>
            <m:oMath>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profit</m:t>
                  </m:r>
                </m:sub>
              </m:sSub>
            </m:oMath>
          </w:p>
        </w:tc>
        <w:tc>
          <w:tcPr>
            <w:tcW w:w="1710" w:type="dxa"/>
          </w:tcPr>
          <w:p w14:paraId="0320A255"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-1","issued":{"date-parts":[["2021"]]},"title":"Forecasting the potential and economic feasibility of power generation using biogas from food waste in Ghana: Evidence from Accra and Kumasi","type":"article-journal","volume":"226"},"uris":["http://www.mendeley.com/documents/?uuid=b6bf6bb5-0823-42b7-a243-5bb4ce24767a"]}],"mendeley":{"formattedCitation":"[76]","plainTextFormattedCitation":"[76]","previouslyFormattedCitation":"[76]"},"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w:t>
            </w:r>
            <w:r w:rsidRPr="008D4B68">
              <w:rPr>
                <w:rFonts w:ascii="Times New Roman" w:hAnsi="Times New Roman" w:cs="Times New Roman"/>
                <w:b/>
                <w:sz w:val="16"/>
              </w:rPr>
              <w:fldChar w:fldCharType="end"/>
            </w:r>
          </w:p>
        </w:tc>
      </w:tr>
      <w:tr w:rsidR="00D577CC" w:rsidRPr="005A59CE" w14:paraId="1E7E96B0" w14:textId="77777777" w:rsidTr="006A31B2">
        <w:trPr>
          <w:trHeight w:val="719"/>
        </w:trPr>
        <w:tc>
          <w:tcPr>
            <w:tcW w:w="1968" w:type="dxa"/>
          </w:tcPr>
          <w:p w14:paraId="22400D1C" w14:textId="77777777" w:rsidR="00D577CC" w:rsidRPr="008D4B68"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Net Cash Flow (</w:t>
            </w:r>
            <m:oMath>
              <m:sSub>
                <m:sSubPr>
                  <m:ctrlPr>
                    <w:rPr>
                      <w:rFonts w:ascii="Cambria Math" w:eastAsia="Calibri" w:hAnsi="Cambria Math" w:cs="Times New Roman"/>
                      <w:i/>
                      <w:sz w:val="16"/>
                    </w:rPr>
                  </m:ctrlPr>
                </m:sSubPr>
                <m:e>
                  <m:r>
                    <w:rPr>
                      <w:rFonts w:ascii="Cambria Math" w:eastAsia="Calibri" w:hAnsi="Cambria Math" w:cs="Times New Roman"/>
                      <w:sz w:val="16"/>
                    </w:rPr>
                    <m:t>L</m:t>
                  </m:r>
                </m:e>
                <m:sub>
                  <m:r>
                    <w:rPr>
                      <w:rFonts w:ascii="Cambria Math" w:eastAsia="Calibri" w:hAnsi="Cambria Math" w:cs="Times New Roman"/>
                      <w:sz w:val="16"/>
                    </w:rPr>
                    <m:t>n</m:t>
                  </m:r>
                </m:sub>
              </m:sSub>
              <m:r>
                <w:rPr>
                  <w:rFonts w:ascii="Cambria Math" w:eastAsia="Calibri" w:hAnsi="Cambria Math" w:cs="Times New Roman"/>
                  <w:sz w:val="16"/>
                </w:rPr>
                <m:t>)</m:t>
              </m:r>
            </m:oMath>
          </w:p>
        </w:tc>
        <w:tc>
          <w:tcPr>
            <w:tcW w:w="2352" w:type="dxa"/>
          </w:tcPr>
          <w:p w14:paraId="0E43A53F" w14:textId="77777777" w:rsidR="00D577CC" w:rsidRPr="008D4B68" w:rsidRDefault="00D577CC" w:rsidP="006A31B2">
            <w:pPr>
              <w:spacing w:line="360" w:lineRule="auto"/>
              <w:rPr>
                <w:rFonts w:ascii="Times New Roman" w:hAnsi="Times New Roman" w:cs="Times New Roman"/>
                <w:b/>
                <w:sz w:val="16"/>
              </w:rPr>
            </w:pPr>
            <m:oMath>
              <m:sSub>
                <m:sSubPr>
                  <m:ctrlPr>
                    <w:rPr>
                      <w:rFonts w:ascii="Cambria Math" w:eastAsia="Calibri" w:hAnsi="Cambria Math" w:cs="Times New Roman"/>
                      <w:i/>
                      <w:sz w:val="16"/>
                    </w:rPr>
                  </m:ctrlPr>
                </m:sSubPr>
                <m:e>
                  <m:r>
                    <w:rPr>
                      <w:rFonts w:ascii="Cambria Math" w:eastAsia="Calibri" w:hAnsi="Cambria Math" w:cs="Times New Roman"/>
                      <w:sz w:val="16"/>
                    </w:rPr>
                    <m:t>L</m:t>
                  </m:r>
                </m:e>
                <m:sub>
                  <m:r>
                    <w:rPr>
                      <w:rFonts w:ascii="Cambria Math" w:eastAsia="Calibri" w:hAnsi="Cambria Math" w:cs="Times New Roman"/>
                      <w:sz w:val="16"/>
                    </w:rPr>
                    <m:t>n</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rev</m:t>
                  </m:r>
                </m:sub>
              </m:sSub>
              <m:r>
                <w:rPr>
                  <w:rFonts w:ascii="Cambria Math" w:eastAsia="Calibri" w:hAnsi="Cambria Math" w:cs="Times New Roman"/>
                  <w:sz w:val="16"/>
                </w:rPr>
                <m:t>-O&amp;</m:t>
              </m:r>
              <m:sSub>
                <m:sSubPr>
                  <m:ctrlPr>
                    <w:rPr>
                      <w:rFonts w:ascii="Cambria Math" w:eastAsia="Calibri" w:hAnsi="Cambria Math" w:cs="Times New Roman"/>
                      <w:i/>
                      <w:sz w:val="16"/>
                    </w:rPr>
                  </m:ctrlPr>
                </m:sSubPr>
                <m:e>
                  <m:r>
                    <w:rPr>
                      <w:rFonts w:ascii="Cambria Math" w:eastAsia="Calibri" w:hAnsi="Cambria Math" w:cs="Times New Roman"/>
                      <w:sz w:val="16"/>
                    </w:rPr>
                    <m:t>M</m:t>
                  </m:r>
                </m:e>
                <m:sub>
                  <m:r>
                    <w:rPr>
                      <w:rFonts w:ascii="Cambria Math" w:eastAsia="Calibri" w:hAnsi="Cambria Math" w:cs="Times New Roman"/>
                      <w:sz w:val="16"/>
                    </w:rPr>
                    <m:t>cst</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INV</m:t>
                  </m:r>
                </m:e>
                <m:sub>
                  <m:r>
                    <w:rPr>
                      <w:rFonts w:ascii="Cambria Math" w:eastAsia="Calibri" w:hAnsi="Cambria Math" w:cs="Times New Roman"/>
                      <w:sz w:val="16"/>
                    </w:rPr>
                    <m:t>cst</m:t>
                  </m:r>
                </m:sub>
              </m:sSub>
              <m:r>
                <w:rPr>
                  <w:rFonts w:ascii="Cambria Math" w:eastAsia="Calibri" w:hAnsi="Cambria Math" w:cs="Times New Roman"/>
                  <w:sz w:val="16"/>
                </w:rPr>
                <m:t>-</m:t>
              </m:r>
              <m:sSub>
                <m:sSubPr>
                  <m:ctrlPr>
                    <w:rPr>
                      <w:rFonts w:ascii="Cambria Math" w:eastAsia="Calibri" w:hAnsi="Cambria Math" w:cs="Times New Roman"/>
                      <w:i/>
                      <w:sz w:val="16"/>
                    </w:rPr>
                  </m:ctrlPr>
                </m:sSubPr>
                <m:e>
                  <m:r>
                    <w:rPr>
                      <w:rFonts w:ascii="Cambria Math" w:eastAsia="Calibri" w:hAnsi="Cambria Math" w:cs="Times New Roman"/>
                      <w:sz w:val="16"/>
                    </w:rPr>
                    <m:t>T</m:t>
                  </m:r>
                </m:e>
                <m:sub>
                  <m:r>
                    <w:rPr>
                      <w:rFonts w:ascii="Cambria Math" w:eastAsia="Calibri" w:hAnsi="Cambria Math" w:cs="Times New Roman"/>
                      <w:sz w:val="16"/>
                    </w:rPr>
                    <m:t>paid</m:t>
                  </m:r>
                </m:sub>
              </m:sSub>
            </m:oMath>
            <w:r w:rsidRPr="008D4B68">
              <w:rPr>
                <w:rFonts w:ascii="Times New Roman" w:eastAsia="Calibri" w:hAnsi="Times New Roman" w:cs="Times New Roman"/>
                <w:sz w:val="16"/>
              </w:rPr>
              <w:t xml:space="preserve">  </w:t>
            </w:r>
          </w:p>
        </w:tc>
        <w:tc>
          <w:tcPr>
            <w:tcW w:w="3870" w:type="dxa"/>
          </w:tcPr>
          <w:p w14:paraId="54270C98" w14:textId="77777777" w:rsidR="00D577CC" w:rsidRPr="008D4B68" w:rsidRDefault="00D577CC" w:rsidP="006A31B2">
            <w:pPr>
              <w:spacing w:line="360" w:lineRule="auto"/>
              <w:jc w:val="both"/>
              <w:rPr>
                <w:rFonts w:ascii="Times New Roman" w:eastAsia="Times New Roman" w:hAnsi="Times New Roman" w:cs="Times New Roman"/>
                <w:sz w:val="16"/>
              </w:rPr>
            </w:pPr>
            <w:r w:rsidRPr="008D4B68">
              <w:rPr>
                <w:rFonts w:ascii="Times New Roman" w:eastAsia="Calibri" w:hAnsi="Times New Roman" w:cs="Times New Roman"/>
                <w:sz w:val="16"/>
              </w:rPr>
              <w:t>The tax paid on the profit of the project is represented as</w:t>
            </w:r>
            <m:oMath>
              <m:r>
                <w:rPr>
                  <w:rFonts w:ascii="Cambria Math" w:eastAsia="Calibri" w:hAnsi="Cambria Math" w:cs="Times New Roman"/>
                  <w:sz w:val="16"/>
                </w:rPr>
                <m:t xml:space="preserve"> </m:t>
              </m:r>
              <m:sSub>
                <m:sSubPr>
                  <m:ctrlPr>
                    <w:rPr>
                      <w:rFonts w:ascii="Cambria Math" w:eastAsia="Calibri" w:hAnsi="Cambria Math" w:cs="Times New Roman"/>
                      <w:i/>
                      <w:sz w:val="16"/>
                    </w:rPr>
                  </m:ctrlPr>
                </m:sSubPr>
                <m:e>
                  <m:r>
                    <w:rPr>
                      <w:rFonts w:ascii="Cambria Math" w:eastAsia="Calibri" w:hAnsi="Cambria Math" w:cs="Times New Roman"/>
                      <w:sz w:val="16"/>
                    </w:rPr>
                    <m:t>T</m:t>
                  </m:r>
                </m:e>
                <m:sub>
                  <m:r>
                    <w:rPr>
                      <w:rFonts w:ascii="Cambria Math" w:eastAsia="Calibri" w:hAnsi="Cambria Math" w:cs="Times New Roman"/>
                      <w:sz w:val="16"/>
                    </w:rPr>
                    <m:t>paid</m:t>
                  </m:r>
                </m:sub>
              </m:sSub>
            </m:oMath>
            <w:r w:rsidRPr="008D4B68">
              <w:rPr>
                <w:rFonts w:ascii="Times New Roman" w:eastAsia="Times New Roman" w:hAnsi="Times New Roman" w:cs="Times New Roman"/>
                <w:sz w:val="16"/>
              </w:rPr>
              <w:t>.</w:t>
            </w:r>
          </w:p>
        </w:tc>
        <w:tc>
          <w:tcPr>
            <w:tcW w:w="1710" w:type="dxa"/>
          </w:tcPr>
          <w:p w14:paraId="791B1196"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-1","issued":{"date-parts":[["2021"]]},"title":"Forecasting the potential and economic feasibility of power generation using biogas from food waste in Ghana: Evidence from Accra and Kumasi","type":"article-journal","volume":"226"},"uris":["http://www.mendeley.com/documents/?uuid=b6bf6bb5-0823-42b7-a243-5bb4ce24767a"]}],"mendeley":{"formattedCitation":"[76]","plainTextFormattedCitation":"[76]","previouslyFormattedCitation":"[76]"},"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w:t>
            </w:r>
            <w:r w:rsidRPr="008D4B68">
              <w:rPr>
                <w:rFonts w:ascii="Times New Roman" w:hAnsi="Times New Roman" w:cs="Times New Roman"/>
                <w:b/>
                <w:sz w:val="16"/>
              </w:rPr>
              <w:fldChar w:fldCharType="end"/>
            </w:r>
          </w:p>
        </w:tc>
      </w:tr>
      <w:tr w:rsidR="00D577CC" w:rsidRPr="005A59CE" w14:paraId="729F6CCF" w14:textId="77777777" w:rsidTr="006A31B2">
        <w:tc>
          <w:tcPr>
            <w:tcW w:w="1968" w:type="dxa"/>
          </w:tcPr>
          <w:p w14:paraId="7967A6B1" w14:textId="77777777" w:rsidR="00D577CC" w:rsidRPr="008D4B68"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Investment Payback Period (IPBP)</w:t>
            </w:r>
          </w:p>
        </w:tc>
        <w:tc>
          <w:tcPr>
            <w:tcW w:w="2352" w:type="dxa"/>
          </w:tcPr>
          <w:p w14:paraId="1872BC74" w14:textId="77777777" w:rsidR="00D577CC" w:rsidRPr="008D4B68" w:rsidRDefault="00D577CC" w:rsidP="006A31B2">
            <w:pPr>
              <w:spacing w:line="360" w:lineRule="auto"/>
              <w:rPr>
                <w:rFonts w:ascii="Times New Roman" w:hAnsi="Times New Roman" w:cs="Times New Roman"/>
                <w:b/>
                <w:sz w:val="16"/>
              </w:rPr>
            </w:pPr>
            <m:oMath>
              <m:r>
                <w:rPr>
                  <w:rFonts w:ascii="Cambria Math" w:eastAsia="Calibri" w:hAnsi="Cambria Math" w:cs="Times New Roman"/>
                  <w:sz w:val="16"/>
                </w:rPr>
                <m:t>IPBP=</m:t>
              </m:r>
              <m:f>
                <m:fPr>
                  <m:ctrlPr>
                    <w:rPr>
                      <w:rFonts w:ascii="Cambria Math" w:eastAsia="Calibri" w:hAnsi="Cambria Math" w:cs="Times New Roman"/>
                      <w:i/>
                      <w:sz w:val="16"/>
                    </w:rPr>
                  </m:ctrlPr>
                </m:fPr>
                <m:num>
                  <m:r>
                    <w:rPr>
                      <w:rFonts w:ascii="Cambria Math" w:eastAsia="Calibri" w:hAnsi="Cambria Math" w:cs="Times New Roman"/>
                      <w:sz w:val="16"/>
                    </w:rPr>
                    <m:t xml:space="preserve">TLCC </m:t>
                  </m:r>
                  <m:d>
                    <m:dPr>
                      <m:ctrlPr>
                        <w:rPr>
                          <w:rFonts w:ascii="Cambria Math" w:eastAsia="Calibri" w:hAnsi="Cambria Math" w:cs="Times New Roman"/>
                          <w:i/>
                          <w:sz w:val="16"/>
                        </w:rPr>
                      </m:ctrlPr>
                    </m:dPr>
                    <m:e>
                      <m:r>
                        <w:rPr>
                          <w:rFonts w:ascii="Cambria Math" w:eastAsia="Calibri" w:hAnsi="Cambria Math" w:cs="Times New Roman"/>
                          <w:sz w:val="16"/>
                        </w:rPr>
                        <m:t>$</m:t>
                      </m:r>
                    </m:e>
                  </m:d>
                </m:num>
                <m:den>
                  <m:sSub>
                    <m:sSubPr>
                      <m:ctrlPr>
                        <w:rPr>
                          <w:rFonts w:ascii="Cambria Math" w:eastAsia="Calibri" w:hAnsi="Cambria Math" w:cs="Times New Roman"/>
                          <w:i/>
                          <w:sz w:val="16"/>
                        </w:rPr>
                      </m:ctrlPr>
                    </m:sSubPr>
                    <m:e>
                      <m:r>
                        <w:rPr>
                          <w:rFonts w:ascii="Cambria Math" w:eastAsia="Calibri" w:hAnsi="Cambria Math" w:cs="Times New Roman"/>
                          <w:sz w:val="16"/>
                        </w:rPr>
                        <m:t>Project</m:t>
                      </m:r>
                    </m:e>
                    <m:sub>
                      <m:r>
                        <w:rPr>
                          <w:rFonts w:ascii="Cambria Math" w:eastAsia="Calibri" w:hAnsi="Cambria Math" w:cs="Times New Roman"/>
                          <w:sz w:val="16"/>
                        </w:rPr>
                        <m:t>profit</m:t>
                      </m:r>
                    </m:sub>
                  </m:sSub>
                  <m:r>
                    <w:rPr>
                      <w:rFonts w:ascii="Cambria Math" w:eastAsia="Calibri" w:hAnsi="Cambria Math" w:cs="Times New Roman"/>
                      <w:sz w:val="16"/>
                    </w:rPr>
                    <m:t xml:space="preserve"> </m:t>
                  </m:r>
                  <m:d>
                    <m:dPr>
                      <m:ctrlPr>
                        <w:rPr>
                          <w:rFonts w:ascii="Cambria Math" w:eastAsia="Calibri" w:hAnsi="Cambria Math" w:cs="Times New Roman"/>
                          <w:i/>
                          <w:sz w:val="16"/>
                        </w:rPr>
                      </m:ctrlPr>
                    </m:dPr>
                    <m:e>
                      <m:f>
                        <m:fPr>
                          <m:ctrlPr>
                            <w:rPr>
                              <w:rFonts w:ascii="Cambria Math" w:eastAsia="Calibri" w:hAnsi="Cambria Math" w:cs="Times New Roman"/>
                              <w:i/>
                              <w:sz w:val="16"/>
                            </w:rPr>
                          </m:ctrlPr>
                        </m:fPr>
                        <m:num>
                          <m:r>
                            <w:rPr>
                              <w:rFonts w:ascii="Cambria Math" w:eastAsia="Calibri" w:hAnsi="Cambria Math" w:cs="Times New Roman"/>
                              <w:sz w:val="16"/>
                            </w:rPr>
                            <m:t>$</m:t>
                          </m:r>
                        </m:num>
                        <m:den>
                          <m:r>
                            <w:rPr>
                              <w:rFonts w:ascii="Cambria Math" w:eastAsia="Calibri" w:hAnsi="Cambria Math" w:cs="Times New Roman"/>
                              <w:sz w:val="16"/>
                            </w:rPr>
                            <m:t>t</m:t>
                          </m:r>
                        </m:den>
                      </m:f>
                    </m:e>
                  </m:d>
                </m:den>
              </m:f>
            </m:oMath>
            <w:r w:rsidRPr="008D4B68">
              <w:rPr>
                <w:rFonts w:ascii="Times New Roman" w:eastAsia="Calibri" w:hAnsi="Times New Roman" w:cs="Times New Roman"/>
                <w:sz w:val="16"/>
              </w:rPr>
              <w:t xml:space="preserve">                           </w:t>
            </w:r>
          </w:p>
        </w:tc>
        <w:tc>
          <w:tcPr>
            <w:tcW w:w="3870" w:type="dxa"/>
          </w:tcPr>
          <w:p w14:paraId="04B47434" w14:textId="77777777" w:rsidR="00D577CC" w:rsidRPr="00D13C4E" w:rsidRDefault="00D577CC" w:rsidP="006A31B2">
            <w:pPr>
              <w:spacing w:line="360" w:lineRule="auto"/>
              <w:jc w:val="both"/>
              <w:rPr>
                <w:rFonts w:ascii="Times New Roman" w:eastAsia="Times New Roman" w:hAnsi="Times New Roman" w:cs="Times New Roman"/>
                <w:sz w:val="16"/>
              </w:rPr>
            </w:pPr>
            <w:r w:rsidRPr="00D13C4E">
              <w:rPr>
                <w:rFonts w:ascii="Times New Roman" w:eastAsia="Times New Roman" w:hAnsi="Times New Roman" w:cs="Times New Roman"/>
                <w:sz w:val="16"/>
              </w:rPr>
              <w:t xml:space="preserve">The investment payback period of the project is represented as </w:t>
            </w:r>
            <m:oMath>
              <m:r>
                <w:rPr>
                  <w:rFonts w:ascii="Cambria Math" w:eastAsia="Calibri" w:hAnsi="Cambria Math" w:cs="Times New Roman"/>
                  <w:sz w:val="16"/>
                </w:rPr>
                <m:t>IPBP</m:t>
              </m:r>
            </m:oMath>
            <w:r w:rsidRPr="00D13C4E">
              <w:rPr>
                <w:rFonts w:ascii="Times New Roman" w:eastAsia="Times New Roman" w:hAnsi="Times New Roman" w:cs="Times New Roman"/>
                <w:sz w:val="16"/>
              </w:rPr>
              <w:t>.</w:t>
            </w:r>
          </w:p>
        </w:tc>
        <w:tc>
          <w:tcPr>
            <w:tcW w:w="1710" w:type="dxa"/>
          </w:tcPr>
          <w:p w14:paraId="19DA9C00"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-1","issued":{"date-parts":[["2021"]]},"title":"Forecasting the potential and economic feasibility of power generation using biogas from food waste in Ghana: Evidence from Accra and Kumasi","type":"article-journal","volume":"226"},"uris":["http://www.mendeley.com/documents/?uuid=b6bf6bb5-0823-42b7-a243-5bb4ce24767a"]}],"mendeley":{"formattedCitation":"[76]","plainTextFormattedCitation":"[76]","previouslyFormattedCitation":"[76]"},"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w:t>
            </w:r>
            <w:r w:rsidRPr="008D4B68">
              <w:rPr>
                <w:rFonts w:ascii="Times New Roman" w:hAnsi="Times New Roman" w:cs="Times New Roman"/>
                <w:b/>
                <w:sz w:val="16"/>
              </w:rPr>
              <w:fldChar w:fldCharType="end"/>
            </w:r>
          </w:p>
        </w:tc>
      </w:tr>
      <w:tr w:rsidR="00D577CC" w:rsidRPr="005A59CE" w14:paraId="3B0B764C" w14:textId="77777777" w:rsidTr="006A31B2">
        <w:tc>
          <w:tcPr>
            <w:tcW w:w="1968" w:type="dxa"/>
          </w:tcPr>
          <w:p w14:paraId="691E45F8" w14:textId="77777777" w:rsidR="00D577CC" w:rsidRPr="008D4B68" w:rsidRDefault="00D577CC" w:rsidP="006A31B2">
            <w:pPr>
              <w:spacing w:line="360" w:lineRule="auto"/>
              <w:rPr>
                <w:rFonts w:ascii="Times New Roman" w:hAnsi="Times New Roman" w:cs="Times New Roman"/>
                <w:b/>
                <w:sz w:val="16"/>
              </w:rPr>
            </w:pPr>
            <w:r w:rsidRPr="008D4B68">
              <w:rPr>
                <w:rFonts w:ascii="Times New Roman" w:eastAsia="Calibri" w:hAnsi="Times New Roman" w:cs="Times New Roman"/>
                <w:sz w:val="16"/>
              </w:rPr>
              <w:t>Internal Rate of Return (IRR)</w:t>
            </w:r>
          </w:p>
        </w:tc>
        <w:tc>
          <w:tcPr>
            <w:tcW w:w="2352" w:type="dxa"/>
          </w:tcPr>
          <w:p w14:paraId="496F3633" w14:textId="77777777" w:rsidR="00D577CC" w:rsidRPr="008D4B68" w:rsidRDefault="00D577CC" w:rsidP="006A31B2">
            <w:pPr>
              <w:spacing w:line="360" w:lineRule="auto"/>
              <w:rPr>
                <w:rFonts w:ascii="Times New Roman" w:hAnsi="Times New Roman" w:cs="Times New Roman"/>
                <w:b/>
                <w:sz w:val="16"/>
              </w:rPr>
            </w:pPr>
            <m:oMath>
              <m:r>
                <w:rPr>
                  <w:rFonts w:ascii="Cambria Math" w:eastAsia="Calibri" w:hAnsi="Cambria Math" w:cs="Times New Roman"/>
                  <w:sz w:val="16"/>
                </w:rPr>
                <m:t>IRR=0=</m:t>
              </m:r>
              <m:nary>
                <m:naryPr>
                  <m:chr m:val="∑"/>
                  <m:limLoc m:val="undOvr"/>
                  <m:ctrlPr>
                    <w:rPr>
                      <w:rFonts w:ascii="Cambria Math" w:eastAsia="Calibri" w:hAnsi="Cambria Math" w:cs="Times New Roman"/>
                      <w:i/>
                      <w:sz w:val="16"/>
                    </w:rPr>
                  </m:ctrlPr>
                </m:naryPr>
                <m:sub>
                  <m:r>
                    <w:rPr>
                      <w:rFonts w:ascii="Cambria Math" w:eastAsia="Calibri" w:hAnsi="Cambria Math" w:cs="Times New Roman"/>
                      <w:sz w:val="16"/>
                    </w:rPr>
                    <m:t>n=0</m:t>
                  </m:r>
                </m:sub>
                <m:sup>
                  <m:r>
                    <w:rPr>
                      <w:rFonts w:ascii="Cambria Math" w:eastAsia="Calibri" w:hAnsi="Cambria Math" w:cs="Times New Roman"/>
                      <w:sz w:val="16"/>
                    </w:rPr>
                    <m:t>t</m:t>
                  </m:r>
                </m:sup>
                <m:e>
                  <m:f>
                    <m:fPr>
                      <m:ctrlPr>
                        <w:rPr>
                          <w:rFonts w:ascii="Cambria Math" w:eastAsia="Calibri" w:hAnsi="Cambria Math" w:cs="Times New Roman"/>
                          <w:i/>
                          <w:sz w:val="16"/>
                        </w:rPr>
                      </m:ctrlPr>
                    </m:fPr>
                    <m:num>
                      <m:sSub>
                        <m:sSubPr>
                          <m:ctrlPr>
                            <w:rPr>
                              <w:rFonts w:ascii="Cambria Math" w:eastAsia="Calibri" w:hAnsi="Cambria Math" w:cs="Times New Roman"/>
                              <w:i/>
                              <w:sz w:val="16"/>
                            </w:rPr>
                          </m:ctrlPr>
                        </m:sSubPr>
                        <m:e>
                          <m:r>
                            <w:rPr>
                              <w:rFonts w:ascii="Cambria Math" w:eastAsia="Calibri" w:hAnsi="Cambria Math" w:cs="Times New Roman"/>
                              <w:sz w:val="16"/>
                            </w:rPr>
                            <m:t>L</m:t>
                          </m:r>
                        </m:e>
                        <m:sub>
                          <m:r>
                            <w:rPr>
                              <w:rFonts w:ascii="Cambria Math" w:eastAsia="Calibri" w:hAnsi="Cambria Math" w:cs="Times New Roman"/>
                              <w:sz w:val="16"/>
                            </w:rPr>
                            <m:t>n</m:t>
                          </m:r>
                        </m:sub>
                      </m:sSub>
                    </m:num>
                    <m:den>
                      <m:sSup>
                        <m:sSupPr>
                          <m:ctrlPr>
                            <w:rPr>
                              <w:rFonts w:ascii="Cambria Math" w:eastAsia="Calibri" w:hAnsi="Cambria Math" w:cs="Times New Roman"/>
                              <w:i/>
                              <w:sz w:val="16"/>
                            </w:rPr>
                          </m:ctrlPr>
                        </m:sSupPr>
                        <m:e>
                          <m:d>
                            <m:dPr>
                              <m:ctrlPr>
                                <w:rPr>
                                  <w:rFonts w:ascii="Cambria Math" w:eastAsia="Calibri" w:hAnsi="Cambria Math" w:cs="Times New Roman"/>
                                  <w:i/>
                                  <w:sz w:val="16"/>
                                </w:rPr>
                              </m:ctrlPr>
                            </m:dPr>
                            <m:e>
                              <m:r>
                                <w:rPr>
                                  <w:rFonts w:ascii="Cambria Math" w:eastAsia="Calibri" w:hAnsi="Cambria Math" w:cs="Times New Roman"/>
                                  <w:sz w:val="16"/>
                                </w:rPr>
                                <m:t>1+IRR</m:t>
                              </m:r>
                            </m:e>
                          </m:d>
                        </m:e>
                        <m:sup>
                          <m:r>
                            <w:rPr>
                              <w:rFonts w:ascii="Cambria Math" w:eastAsia="Calibri" w:hAnsi="Cambria Math" w:cs="Times New Roman"/>
                              <w:sz w:val="16"/>
                            </w:rPr>
                            <m:t>n</m:t>
                          </m:r>
                        </m:sup>
                      </m:sSup>
                    </m:den>
                  </m:f>
                </m:e>
              </m:nary>
            </m:oMath>
            <w:r w:rsidRPr="008D4B68">
              <w:rPr>
                <w:rFonts w:ascii="Times New Roman" w:eastAsia="Calibri" w:hAnsi="Times New Roman" w:cs="Times New Roman"/>
                <w:sz w:val="16"/>
              </w:rPr>
              <w:t xml:space="preserve">       </w:t>
            </w:r>
          </w:p>
        </w:tc>
        <w:tc>
          <w:tcPr>
            <w:tcW w:w="3870" w:type="dxa"/>
          </w:tcPr>
          <w:p w14:paraId="4A7F2D13" w14:textId="77777777" w:rsidR="00D577CC" w:rsidRPr="00D13C4E" w:rsidRDefault="00D577CC" w:rsidP="006A31B2">
            <w:pPr>
              <w:spacing w:line="360" w:lineRule="auto"/>
              <w:jc w:val="both"/>
              <w:rPr>
                <w:rFonts w:ascii="Times New Roman" w:eastAsia="Times New Roman" w:hAnsi="Times New Roman" w:cs="Times New Roman"/>
                <w:sz w:val="16"/>
              </w:rPr>
            </w:pPr>
            <w:r w:rsidRPr="00D13C4E">
              <w:rPr>
                <w:rFonts w:ascii="Times New Roman" w:eastAsia="Times New Roman" w:hAnsi="Times New Roman" w:cs="Times New Roman"/>
                <w:sz w:val="16"/>
              </w:rPr>
              <w:t>The Internal Rate of Return of the project is represented as IRR, the holding period of the project (20 yr) by t and each period represents by n.</w:t>
            </w:r>
          </w:p>
        </w:tc>
        <w:tc>
          <w:tcPr>
            <w:tcW w:w="1710" w:type="dxa"/>
          </w:tcPr>
          <w:p w14:paraId="0BF116FC"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{"citationItems":[{"id":"ITEM-1","itemData":{"DOI":"10.1016/j.energy.2021.120342","ISSN":"03605442","abstract":"Global environmental change is driven by food production. Biogas from food waste is a better source of clean energy. Ghana's energy strategy targets a 10% increase in renewable energy and modern biomass in the national electricity generation mix. Studies on the assessment of electricity generation potential and economic feasibility of biogas to electricity projects in Ghana's major cities are scarcely available. This study assesses the electricity generation potential of biogas from food waste through anaerobic digestion technology. The municipal solid waste generation potential of Accra and Kumasi was estimated from 2020 to 2039. The potential theoretical methane yield from food waste was calculated using Buswell's equation. The study analyzed anaerobic digestion projects’ economic feasibility using the total life cycle cost, net present value, investment payback period, levelized cost of energy, and internal rate of return methods. A sensitivity analysis based on two scenarios (optimistic and pessimistic) was performed to analyze the influence of changes in the composition of food waste, per capita waste generation rate, population growth rate, per capita GDP growth rate, discount rate, capacity factor, electricity generation efficiency, waste collection efficiency, and methane production potential on the economic feasibility of the projects. The main findings indicate that the amount of waste generation in Accra during the project life cycle is 899,000 t/y to 3,359,000 t/y, while that of Kumasi is 915,000 t/y to 3,159,000 t/y. The power generation potential of the project in Accra ranges from 80.43 to 300.49 GWh/y, and in Kumasi ranges from 60.63 to 209.31 GWh/y. Economically, the project is feasible in Accra and Kumasi. The net present value of the project in Accra and Kumasi is $217,800,000 and $156,100,000. The sensitivity analysis shows that the project is infeasible in all the cities with a discount rate exceeding 20%. When the discount rate exceeds 20%, the project becomes highly infeasible in Accra compared to Kumasi. This study will offer itself as scientific guidance for investment in biogas to electricity projects in Ghana's cities.","author":[{"dropping-particle":"","family":"Cudjoe","given":"Dan","non-dropping-particle":"","parse-names":false,"suffix":""},{"dropping-particle":"","family":"Nketiah","given":"Emmanuel","non-dropping-particle":"","parse-names":false,"suffix":""},{"dropping-particle":"","family":"Obuobi","given":"Bright","non-dropping-particle":"","parse-names":false,"suffix":""},{"dropping-particle":"","family":"Adu-Gyamfi","given":"Gibbson","non-dropping-particle":"","parse-names":false,"suffix":""},{"dropping-particle":"","family":"Adjei","given":"Mavis","non-dropping-particle":"","parse-names":false,"suffix":""},{"dropping-particle":"","family":"Zhu","given":"Bangzhu","non-dropping-particle":"","parse-names":false,"suffix":""}],"container-title":"Energy","id":"ITEM-1","issued":{"date-parts":[["2021"]]},"title":"Forecasting the potential and economic feasibility of power generation using biogas from food waste in Ghana: Evidence from Accra and Kumasi","type":"article-journal","volume":"226"},"uris":["http://www.mendeley.com/documents/?uuid=b6bf6bb5-0823-42b7-a243-5bb4ce24767a"]}],"mendeley":{"formattedCitation":"[76]","plainTextFormattedCitation":"[76]","previouslyFormattedCitation":"[76]"},"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[76]</w:t>
            </w:r>
            <w:r w:rsidRPr="008D4B68">
              <w:rPr>
                <w:rFonts w:ascii="Times New Roman" w:hAnsi="Times New Roman" w:cs="Times New Roman"/>
                <w:b/>
                <w:sz w:val="16"/>
              </w:rPr>
              <w:fldChar w:fldCharType="end"/>
            </w:r>
          </w:p>
        </w:tc>
      </w:tr>
      <w:tr w:rsidR="00D577CC" w:rsidRPr="005A59CE" w14:paraId="7F851874" w14:textId="77777777" w:rsidTr="006A31B2">
        <w:tc>
          <w:tcPr>
            <w:tcW w:w="1968" w:type="dxa"/>
          </w:tcPr>
          <w:p w14:paraId="41C616A7" w14:textId="77777777" w:rsidR="00D577CC" w:rsidRPr="008D4B68" w:rsidRDefault="00D577CC" w:rsidP="006A31B2">
            <w:pPr>
              <w:spacing w:line="360" w:lineRule="auto"/>
              <w:rPr>
                <w:rFonts w:ascii="Times New Roman" w:eastAsia="Calibri" w:hAnsi="Times New Roman" w:cs="Times New Roman"/>
                <w:sz w:val="16"/>
              </w:rPr>
            </w:pPr>
            <w:r w:rsidRPr="008D4B68">
              <w:rPr>
                <w:rFonts w:ascii="Times New Roman" w:eastAsia="Calibri" w:hAnsi="Times New Roman" w:cs="Times New Roman"/>
                <w:sz w:val="16"/>
              </w:rPr>
              <w:t>Carbon-di-oxide (CO</w:t>
            </w:r>
            <w:r w:rsidRPr="008D4B68">
              <w:rPr>
                <w:rFonts w:ascii="Times New Roman" w:eastAsia="Calibri" w:hAnsi="Times New Roman" w:cs="Times New Roman"/>
                <w:sz w:val="16"/>
                <w:vertAlign w:val="subscript"/>
              </w:rPr>
              <w:t>2</w:t>
            </w:r>
            <w:r w:rsidRPr="008D4B68">
              <w:rPr>
                <w:rFonts w:ascii="Times New Roman" w:eastAsia="Calibri" w:hAnsi="Times New Roman" w:cs="Times New Roman"/>
                <w:sz w:val="16"/>
              </w:rPr>
              <w:t>) reduction potential</w:t>
            </w:r>
          </w:p>
        </w:tc>
        <w:tc>
          <w:tcPr>
            <w:tcW w:w="2352" w:type="dxa"/>
          </w:tcPr>
          <w:p w14:paraId="675FE4B9" w14:textId="77777777" w:rsidR="00D577CC" w:rsidRPr="008D4B68" w:rsidRDefault="00D577CC" w:rsidP="006A31B2">
            <w:pPr>
              <w:spacing w:line="360" w:lineRule="auto"/>
              <w:rPr>
                <w:rFonts w:ascii="Times New Roman" w:eastAsia="Calibri" w:hAnsi="Times New Roman" w:cs="Times New Roman"/>
                <w:sz w:val="16"/>
                <w:szCs w:val="20"/>
              </w:rPr>
            </w:pPr>
            <m:oMathPara>
              <m:oMath>
                <m:sSub>
                  <m:sSubPr>
                    <m:ctrlPr>
                      <w:rPr>
                        <w:rFonts w:ascii="Cambria Math" w:hAnsi="Cambria Math" w:cs="Times New Roman"/>
                        <w:sz w:val="16"/>
                        <w:szCs w:val="20"/>
                      </w:rPr>
                    </m:ctrlPr>
                  </m:sSubPr>
                  <m:e>
                    <m:r>
                      <w:rPr>
                        <w:rFonts w:ascii="Cambria Math" w:eastAsia="Cambria Math" w:hAnsi="Cambria Math" w:cs="Times New Roman"/>
                        <w:sz w:val="16"/>
                        <w:szCs w:val="20"/>
                      </w:rPr>
                      <m:t>ΔM</m:t>
                    </m:r>
                  </m:e>
                  <m:sub>
                    <m:eqArr>
                      <m:eqArrPr>
                        <m:ctrlPr>
                          <w:rPr>
                            <w:rFonts w:ascii="Cambria Math" w:hAnsi="Cambria Math" w:cs="Times New Roman"/>
                            <w:sz w:val="16"/>
                            <w:szCs w:val="20"/>
                          </w:rPr>
                        </m:ctrlPr>
                      </m:eqArrPr>
                      <m:e>
                        <m:sSub>
                          <m:sSubPr>
                            <m:ctrlPr>
                              <w:rPr>
                                <w:rFonts w:ascii="Cambria Math" w:hAnsi="Cambria Math" w:cs="Times New Roman"/>
                                <w:sz w:val="16"/>
                                <w:szCs w:val="20"/>
                              </w:rPr>
                            </m:ctrlPr>
                          </m:sSubPr>
                          <m:e>
                            <m:r>
                              <w:rPr>
                                <w:rFonts w:ascii="Cambria Math" w:eastAsia="Cambria Math" w:hAnsi="Cambria Math" w:cs="Times New Roman"/>
                                <w:sz w:val="16"/>
                                <w:szCs w:val="20"/>
                              </w:rPr>
                              <m:t>CO</m:t>
                            </m:r>
                          </m:e>
                          <m:sub>
                            <m:r>
                              <w:rPr>
                                <w:rFonts w:ascii="Cambria Math" w:eastAsia="Cambria Math" w:hAnsi="Cambria Math" w:cs="Times New Roman"/>
                                <w:sz w:val="16"/>
                                <w:szCs w:val="20"/>
                              </w:rPr>
                              <m:t>2</m:t>
                            </m:r>
                          </m:sub>
                        </m:sSub>
                        <m:ctrlPr>
                          <w:rPr>
                            <w:rFonts w:ascii="Cambria Math" w:hAnsi="Cambria Math" w:cs="Times New Roman"/>
                            <w:i/>
                            <w:sz w:val="16"/>
                            <w:szCs w:val="20"/>
                          </w:rPr>
                        </m:ctrlPr>
                      </m:e>
                    </m:eqArr>
                  </m:sub>
                </m:sSub>
                <m:r>
                  <w:rPr>
                    <w:rFonts w:ascii="Cambria Math" w:hAnsi="Cambria Math" w:cs="Times New Roman"/>
                    <w:sz w:val="16"/>
                    <w:szCs w:val="20"/>
                  </w:rPr>
                  <m:t>=</m:t>
                </m:r>
                <m:sSub>
                  <m:sSubPr>
                    <m:ctrlPr>
                      <w:rPr>
                        <w:rFonts w:ascii="Cambria Math" w:hAnsi="Cambria Math" w:cs="Times New Roman"/>
                        <w:sz w:val="16"/>
                        <w:szCs w:val="20"/>
                      </w:rPr>
                    </m:ctrlPr>
                  </m:sSubPr>
                  <m:e>
                    <m:r>
                      <w:rPr>
                        <w:rFonts w:ascii="Cambria Math" w:eastAsia="Cambria Math" w:hAnsi="Cambria Math" w:cs="Times New Roman"/>
                        <w:sz w:val="16"/>
                        <w:szCs w:val="20"/>
                      </w:rPr>
                      <m:t>M</m:t>
                    </m:r>
                  </m:e>
                  <m:sub>
                    <m:r>
                      <w:rPr>
                        <w:rFonts w:ascii="Cambria Math" w:eastAsia="Cambria Math" w:hAnsi="Cambria Math" w:cs="Times New Roman"/>
                        <w:sz w:val="16"/>
                        <w:szCs w:val="20"/>
                      </w:rPr>
                      <m:t>diesel</m:t>
                    </m:r>
                  </m:sub>
                </m:sSub>
                <m:r>
                  <w:rPr>
                    <w:rFonts w:ascii="Cambria Math" w:hAnsi="Cambria Math" w:cs="Times New Roman"/>
                    <w:sz w:val="16"/>
                    <w:szCs w:val="20"/>
                  </w:rPr>
                  <m:t>-</m:t>
                </m:r>
                <m:eqArr>
                  <m:eqArrPr>
                    <m:ctrlPr>
                      <w:rPr>
                        <w:rFonts w:ascii="Cambria Math" w:hAnsi="Cambria Math" w:cs="Times New Roman"/>
                        <w:sz w:val="16"/>
                        <w:szCs w:val="20"/>
                      </w:rPr>
                    </m:ctrlPr>
                  </m:eqArrPr>
                  <m:e>
                    <m:sSub>
                      <m:sSubPr>
                        <m:ctrlPr>
                          <w:rPr>
                            <w:rFonts w:ascii="Cambria Math" w:hAnsi="Cambria Math" w:cs="Times New Roman"/>
                            <w:sz w:val="16"/>
                            <w:szCs w:val="20"/>
                          </w:rPr>
                        </m:ctrlPr>
                      </m:sSubPr>
                      <m:e>
                        <m:r>
                          <w:rPr>
                            <w:rFonts w:ascii="Cambria Math" w:eastAsia="Cambria Math" w:hAnsi="Cambria Math" w:cs="Times New Roman"/>
                            <w:sz w:val="16"/>
                            <w:szCs w:val="20"/>
                          </w:rPr>
                          <m:t>M</m:t>
                        </m:r>
                      </m:e>
                      <m:sub>
                        <m:r>
                          <w:rPr>
                            <w:rFonts w:ascii="Cambria Math" w:eastAsia="Cambria Math" w:hAnsi="Cambria Math" w:cs="Times New Roman"/>
                            <w:sz w:val="16"/>
                            <w:szCs w:val="20"/>
                          </w:rPr>
                          <m:t>solar-pyro oil</m:t>
                        </m:r>
                      </m:sub>
                    </m:sSub>
                    <m:ctrlPr>
                      <w:rPr>
                        <w:rFonts w:ascii="Cambria Math" w:hAnsi="Cambria Math" w:cs="Times New Roman"/>
                        <w:i/>
                        <w:sz w:val="16"/>
                        <w:szCs w:val="20"/>
                      </w:rPr>
                    </m:ctrlPr>
                  </m:e>
                </m:eqArr>
              </m:oMath>
            </m:oMathPara>
          </w:p>
          <w:p w14:paraId="64D6882A" w14:textId="77777777" w:rsidR="00D577CC" w:rsidRPr="008D4B68" w:rsidRDefault="00D577CC" w:rsidP="006A31B2">
            <w:pPr>
              <w:spacing w:line="360" w:lineRule="auto"/>
              <w:rPr>
                <w:rFonts w:ascii="Times New Roman" w:eastAsia="Calibri" w:hAnsi="Times New Roman" w:cs="Times New Roman"/>
                <w:sz w:val="16"/>
                <w:szCs w:val="20"/>
              </w:rPr>
            </w:pPr>
            <m:oMath>
              <m:r>
                <w:rPr>
                  <w:rFonts w:ascii="Cambria Math" w:hAnsi="Cambria Math" w:cs="Times New Roman"/>
                  <w:sz w:val="16"/>
                  <w:szCs w:val="20"/>
                </w:rPr>
                <m:t>=(</m:t>
              </m:r>
            </m:oMath>
            <w:r w:rsidRPr="008D4B68">
              <w:rPr>
                <w:rFonts w:ascii="Times New Roman" w:eastAsia="Calibri" w:hAnsi="Times New Roman" w:cs="Times New Roman"/>
                <w:sz w:val="16"/>
                <w:szCs w:val="20"/>
              </w:rPr>
              <w:t xml:space="preserve">2.7 </w:t>
            </w:r>
            <m:oMath>
              <m:r>
                <w:rPr>
                  <w:rFonts w:ascii="Cambria Math" w:eastAsia="Calibri" w:hAnsi="Cambria Math" w:cs="Times New Roman"/>
                  <w:sz w:val="16"/>
                </w:rPr>
                <m:t>×</m:t>
              </m:r>
            </m:oMath>
            <w:r w:rsidRPr="008D4B68">
              <w:rPr>
                <w:rFonts w:ascii="Times New Roman" w:eastAsia="Calibri" w:hAnsi="Times New Roman" w:cs="Times New Roman"/>
                <w:sz w:val="16"/>
                <w:szCs w:val="20"/>
              </w:rPr>
              <w:t xml:space="preserve"> </w:t>
            </w:r>
            <m:oMath>
              <m:sSub>
                <m:sSubPr>
                  <m:ctrlPr>
                    <w:rPr>
                      <w:rFonts w:ascii="Cambria Math" w:eastAsia="Calibri" w:hAnsi="Cambria Math" w:cs="Times New Roman"/>
                      <w:i/>
                      <w:sz w:val="16"/>
                    </w:rPr>
                  </m:ctrlPr>
                </m:sSubPr>
                <m:e>
                  <m:r>
                    <w:rPr>
                      <w:rFonts w:ascii="Cambria Math" w:eastAsia="Calibri" w:hAnsi="Cambria Math" w:cs="Times New Roman"/>
                      <w:sz w:val="16"/>
                    </w:rPr>
                    <m:t>Q</m:t>
                  </m:r>
                </m:e>
                <m:sub>
                  <m:r>
                    <w:rPr>
                      <w:rFonts w:ascii="Cambria Math" w:eastAsia="Calibri" w:hAnsi="Cambria Math" w:cs="Times New Roman"/>
                      <w:sz w:val="16"/>
                    </w:rPr>
                    <m:t>diesel</m:t>
                  </m:r>
                </m:sub>
              </m:sSub>
              <m:r>
                <w:rPr>
                  <w:rFonts w:ascii="Cambria Math" w:eastAsia="Calibri" w:hAnsi="Cambria Math" w:cs="Times New Roman"/>
                  <w:sz w:val="16"/>
                </w:rPr>
                <m:t>)</m:t>
              </m:r>
            </m:oMath>
            <w:r w:rsidRPr="008D4B68">
              <w:rPr>
                <w:rFonts w:ascii="Times New Roman" w:eastAsia="Calibri" w:hAnsi="Times New Roman" w:cs="Times New Roman"/>
                <w:sz w:val="16"/>
                <w:szCs w:val="20"/>
              </w:rPr>
              <w:t xml:space="preserve"> </w:t>
            </w:r>
            <m:oMath>
              <m:r>
                <w:rPr>
                  <w:rFonts w:ascii="Cambria Math" w:hAnsi="Cambria Math" w:cs="Times New Roman"/>
                  <w:sz w:val="16"/>
                  <w:szCs w:val="20"/>
                </w:rPr>
                <m:t>–</m:t>
              </m:r>
            </m:oMath>
            <w:r w:rsidRPr="008D4B68">
              <w:rPr>
                <w:rFonts w:ascii="Times New Roman" w:eastAsia="Calibri" w:hAnsi="Times New Roman" w:cs="Times New Roman"/>
                <w:sz w:val="16"/>
                <w:szCs w:val="20"/>
              </w:rPr>
              <w:t xml:space="preserve"> (</w:t>
            </w:r>
            <m:oMath>
              <m:sSub>
                <m:sSubPr>
                  <m:ctrlPr>
                    <w:rPr>
                      <w:rFonts w:ascii="Cambria Math" w:eastAsia="Calibri" w:hAnsi="Cambria Math" w:cs="Times New Roman"/>
                      <w:i/>
                      <w:sz w:val="16"/>
                    </w:rPr>
                  </m:ctrlPr>
                </m:sSubPr>
                <m:e>
                  <m:r>
                    <w:rPr>
                      <w:rFonts w:ascii="Cambria Math" w:eastAsia="Calibri" w:hAnsi="Cambria Math" w:cs="Times New Roman"/>
                      <w:sz w:val="16"/>
                    </w:rPr>
                    <m:t>E</m:t>
                  </m:r>
                </m:e>
                <m:sub>
                  <m:r>
                    <w:rPr>
                      <w:rFonts w:ascii="Cambria Math" w:eastAsia="Calibri" w:hAnsi="Cambria Math" w:cs="Times New Roman"/>
                      <w:sz w:val="16"/>
                    </w:rPr>
                    <m:t>pyrolytic oil</m:t>
                  </m:r>
                </m:sub>
              </m:sSub>
            </m:oMath>
            <w:r w:rsidRPr="008D4B68">
              <w:rPr>
                <w:rFonts w:ascii="Times New Roman" w:eastAsia="Calibri" w:hAnsi="Times New Roman" w:cs="Times New Roman"/>
                <w:sz w:val="16"/>
                <w:szCs w:val="20"/>
              </w:rPr>
              <w:t>)</w:t>
            </w:r>
          </w:p>
        </w:tc>
        <w:tc>
          <w:tcPr>
            <w:tcW w:w="3870" w:type="dxa"/>
          </w:tcPr>
          <w:p w14:paraId="15328FDF" w14:textId="77777777" w:rsidR="00D577CC" w:rsidRPr="008D4B68" w:rsidRDefault="00D577CC" w:rsidP="006A31B2">
            <w:pPr>
              <w:spacing w:line="360" w:lineRule="auto"/>
              <w:jc w:val="both"/>
              <w:rPr>
                <w:rFonts w:ascii="Times New Roman" w:eastAsia="Times New Roman" w:hAnsi="Times New Roman" w:cs="Times New Roman"/>
                <w:sz w:val="16"/>
              </w:rPr>
            </w:pPr>
            <w:r w:rsidRPr="008D4B68">
              <w:rPr>
                <w:rFonts w:ascii="Times New Roman" w:eastAsia="Times New Roman" w:hAnsi="Times New Roman" w:cs="Times New Roman"/>
                <w:sz w:val="16"/>
              </w:rPr>
              <w:t>The reduction of CO</w:t>
            </w:r>
            <w:r w:rsidRPr="008D4B68">
              <w:rPr>
                <w:rFonts w:ascii="Times New Roman" w:eastAsia="Times New Roman" w:hAnsi="Times New Roman" w:cs="Times New Roman"/>
                <w:sz w:val="16"/>
                <w:vertAlign w:val="subscript"/>
              </w:rPr>
              <w:t>2</w:t>
            </w:r>
            <w:r w:rsidRPr="008D4B68">
              <w:rPr>
                <w:rFonts w:ascii="Times New Roman" w:eastAsia="Times New Roman" w:hAnsi="Times New Roman" w:cs="Times New Roman"/>
                <w:sz w:val="16"/>
              </w:rPr>
              <w:t xml:space="preserve"> emission is presented by </w:t>
            </w:r>
            <m:oMath>
              <m:sSub>
                <m:sSubPr>
                  <m:ctrlPr>
                    <w:rPr>
                      <w:rFonts w:ascii="Cambria Math" w:hAnsi="Cambria Math" w:cs="Times New Roman"/>
                      <w:sz w:val="16"/>
                      <w:szCs w:val="20"/>
                    </w:rPr>
                  </m:ctrlPr>
                </m:sSubPr>
                <m:e>
                  <m:r>
                    <w:rPr>
                      <w:rFonts w:ascii="Cambria Math" w:eastAsia="Cambria Math" w:hAnsi="Cambria Math" w:cs="Times New Roman"/>
                      <w:sz w:val="16"/>
                      <w:szCs w:val="20"/>
                    </w:rPr>
                    <m:t>ΔM</m:t>
                  </m:r>
                </m:e>
                <m:sub>
                  <m:eqArr>
                    <m:eqArrPr>
                      <m:ctrlPr>
                        <w:rPr>
                          <w:rFonts w:ascii="Cambria Math" w:hAnsi="Cambria Math" w:cs="Times New Roman"/>
                          <w:sz w:val="16"/>
                          <w:szCs w:val="20"/>
                        </w:rPr>
                      </m:ctrlPr>
                    </m:eqArrPr>
                    <m:e>
                      <m:sSub>
                        <m:sSubPr>
                          <m:ctrlPr>
                            <w:rPr>
                              <w:rFonts w:ascii="Cambria Math" w:hAnsi="Cambria Math" w:cs="Times New Roman"/>
                              <w:sz w:val="16"/>
                              <w:szCs w:val="20"/>
                            </w:rPr>
                          </m:ctrlPr>
                        </m:sSubPr>
                        <m:e>
                          <m:r>
                            <w:rPr>
                              <w:rFonts w:ascii="Cambria Math" w:eastAsia="Cambria Math" w:hAnsi="Cambria Math" w:cs="Times New Roman"/>
                              <w:sz w:val="16"/>
                              <w:szCs w:val="20"/>
                            </w:rPr>
                            <m:t>CO</m:t>
                          </m:r>
                        </m:e>
                        <m:sub>
                          <m:r>
                            <w:rPr>
                              <w:rFonts w:ascii="Cambria Math" w:eastAsia="Cambria Math" w:hAnsi="Cambria Math" w:cs="Times New Roman"/>
                              <w:sz w:val="16"/>
                              <w:szCs w:val="20"/>
                            </w:rPr>
                            <m:t>2</m:t>
                          </m:r>
                        </m:sub>
                      </m:sSub>
                      <m:ctrlPr>
                        <w:rPr>
                          <w:rFonts w:ascii="Cambria Math" w:hAnsi="Cambria Math" w:cs="Times New Roman"/>
                          <w:i/>
                          <w:sz w:val="16"/>
                          <w:szCs w:val="20"/>
                        </w:rPr>
                      </m:ctrlPr>
                    </m:e>
                  </m:eqArr>
                </m:sub>
              </m:sSub>
            </m:oMath>
            <w:r w:rsidRPr="008D4B68">
              <w:rPr>
                <w:rFonts w:ascii="Times New Roman" w:eastAsia="Times New Roman" w:hAnsi="Times New Roman" w:cs="Times New Roman"/>
                <w:sz w:val="16"/>
                <w:szCs w:val="20"/>
              </w:rPr>
              <w:t xml:space="preserve"> is the difference between emission from diesel operated pump and pyrolytic oil plant. </w:t>
            </w:r>
            <m:oMath>
              <m:sSub>
                <m:sSubPr>
                  <m:ctrlPr>
                    <w:rPr>
                      <w:rFonts w:ascii="Cambria Math" w:eastAsia="Calibri" w:hAnsi="Cambria Math" w:cs="Times New Roman"/>
                      <w:i/>
                      <w:sz w:val="16"/>
                    </w:rPr>
                  </m:ctrlPr>
                </m:sSubPr>
                <m:e>
                  <m:r>
                    <w:rPr>
                      <w:rFonts w:ascii="Cambria Math" w:eastAsia="Calibri" w:hAnsi="Cambria Math" w:cs="Times New Roman"/>
                      <w:sz w:val="16"/>
                    </w:rPr>
                    <m:t>Q</m:t>
                  </m:r>
                </m:e>
                <m:sub>
                  <m:r>
                    <w:rPr>
                      <w:rFonts w:ascii="Cambria Math" w:eastAsia="Calibri" w:hAnsi="Cambria Math" w:cs="Times New Roman"/>
                      <w:sz w:val="16"/>
                    </w:rPr>
                    <m:t>diesel</m:t>
                  </m:r>
                </m:sub>
              </m:sSub>
            </m:oMath>
            <w:r w:rsidRPr="008D4B68">
              <w:rPr>
                <w:rFonts w:ascii="Times New Roman" w:eastAsia="Times New Roman" w:hAnsi="Times New Roman" w:cs="Times New Roman"/>
                <w:sz w:val="16"/>
                <w:szCs w:val="20"/>
              </w:rPr>
              <w:t xml:space="preserve"> and </w:t>
            </w:r>
            <m:oMath>
              <m:sSub>
                <m:sSubPr>
                  <m:ctrlPr>
                    <w:rPr>
                      <w:rFonts w:ascii="Cambria Math" w:eastAsia="Calibri" w:hAnsi="Cambria Math" w:cs="Times New Roman"/>
                      <w:i/>
                      <w:sz w:val="16"/>
                    </w:rPr>
                  </m:ctrlPr>
                </m:sSubPr>
                <m:e>
                  <m:r>
                    <w:rPr>
                      <w:rFonts w:ascii="Cambria Math" w:eastAsia="Calibri" w:hAnsi="Cambria Math" w:cs="Times New Roman"/>
                      <w:sz w:val="16"/>
                    </w:rPr>
                    <m:t>E</m:t>
                  </m:r>
                </m:e>
                <m:sub>
                  <m:r>
                    <w:rPr>
                      <w:rFonts w:ascii="Cambria Math" w:eastAsia="Calibri" w:hAnsi="Cambria Math" w:cs="Times New Roman"/>
                      <w:sz w:val="16"/>
                    </w:rPr>
                    <m:t>pyrolytic oil</m:t>
                  </m:r>
                </m:sub>
              </m:sSub>
            </m:oMath>
            <w:r w:rsidRPr="008D4B68">
              <w:rPr>
                <w:rFonts w:ascii="Times New Roman" w:eastAsia="Times New Roman" w:hAnsi="Times New Roman" w:cs="Times New Roman"/>
                <w:sz w:val="16"/>
                <w:szCs w:val="20"/>
              </w:rPr>
              <w:t xml:space="preserve"> are the equivalent diesel quantity and emission from pyrolytic plant.</w:t>
            </w:r>
          </w:p>
        </w:tc>
        <w:tc>
          <w:tcPr>
            <w:tcW w:w="1710" w:type="dxa"/>
          </w:tcPr>
          <w:p w14:paraId="4FC624F8" w14:textId="77777777" w:rsidR="00D577CC" w:rsidRPr="008D4B68" w:rsidRDefault="00D577CC" w:rsidP="006A31B2">
            <w:pPr>
              <w:rPr>
                <w:rFonts w:ascii="Times New Roman" w:hAnsi="Times New Roman" w:cs="Times New Roman"/>
                <w:b/>
                <w:sz w:val="16"/>
              </w:rPr>
            </w:pPr>
            <w:r w:rsidRPr="008D4B68">
              <w:rPr>
                <w:rFonts w:ascii="Times New Roman" w:hAnsi="Times New Roman" w:cs="Times New Roman"/>
                <w:b/>
                <w:sz w:val="16"/>
              </w:rPr>
              <w:fldChar w:fldCharType="begin" w:fldLock="1"/>
            </w:r>
            <w:r>
              <w:rPr>
                <w:rFonts w:ascii="Times New Roman" w:hAnsi="Times New Roman" w:cs="Times New Roman"/>
                <w:b/>
                <w:sz w:val="16"/>
              </w:rPr>
              <w:instrText>ADDIN CSL_CITATION {"citationItems":[{"id":"ITEM-1","itemData":{"URL":"https://www.nrcan.gc.ca/sites/nrcan/files/oee/pdf/transportation/fuel-efficient-technologies/autosmart_factsheet_9_e.pdf","author":[{"dropping-particle":"","family":"Natural resouces","given":"Canada","non-dropping-particle":"","parse-names":false,"suffix":""}],"id":"ITEM-1","issued":{"date-parts":[["2014"]]},"title":"Learn the facts: Emissions from your vehicle","type":"webpage"},"uris":["http://www.mendeley.com/documents/?uuid=6c76d0be-f2b8-4d0e-bb7b-c7913c7b5a32"]}],"mendeley":{"formattedCitation":"[79]","plainTextFormattedCitation":"[79]","previouslyFormattedCitation":"[79]"},"properties":{"noteIndex":0},"schema":"https://github.com/citation-style-language/schema/raw/master/csl-citation.json"}</w:instrText>
            </w:r>
            <w:r w:rsidRPr="008D4B68">
              <w:rPr>
                <w:rFonts w:ascii="Times New Roman" w:hAnsi="Times New Roman" w:cs="Times New Roman"/>
                <w:b/>
                <w:sz w:val="16"/>
              </w:rPr>
              <w:fldChar w:fldCharType="separate"/>
            </w:r>
            <w:r w:rsidRPr="00316257">
              <w:rPr>
                <w:rFonts w:ascii="Times New Roman" w:hAnsi="Times New Roman" w:cs="Times New Roman"/>
                <w:noProof/>
                <w:sz w:val="16"/>
              </w:rPr>
              <w:t>[79]</w:t>
            </w:r>
            <w:r w:rsidRPr="008D4B68">
              <w:rPr>
                <w:rFonts w:ascii="Times New Roman" w:hAnsi="Times New Roman" w:cs="Times New Roman"/>
                <w:b/>
                <w:sz w:val="16"/>
              </w:rPr>
              <w:fldChar w:fldCharType="end"/>
            </w:r>
          </w:p>
        </w:tc>
      </w:tr>
    </w:tbl>
    <w:p w14:paraId="30081C98" w14:textId="77777777" w:rsidR="00D577CC" w:rsidRPr="008D4B68" w:rsidRDefault="00D577CC" w:rsidP="00D577CC">
      <w:pPr>
        <w:spacing w:after="240" w:line="360" w:lineRule="auto"/>
        <w:jc w:val="both"/>
        <w:rPr>
          <w:rFonts w:ascii="Times New Roman" w:hAnsi="Times New Roman" w:cs="Times New Roman"/>
          <w:color w:val="000000"/>
        </w:rPr>
      </w:pPr>
    </w:p>
    <w:p w14:paraId="1B4039D5"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CC"/>
    <w:rsid w:val="00755780"/>
    <w:rsid w:val="00D57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540E"/>
  <w15:chartTrackingRefBased/>
  <w15:docId w15:val="{D8B66ED8-0163-4238-81B1-9AA8B67E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CC"/>
  </w:style>
  <w:style w:type="paragraph" w:styleId="Heading1">
    <w:name w:val="heading 1"/>
    <w:basedOn w:val="Normal"/>
    <w:next w:val="Normal"/>
    <w:link w:val="Heading1Char"/>
    <w:uiPriority w:val="9"/>
    <w:qFormat/>
    <w:rsid w:val="00D577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7C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5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4344</Words>
  <Characters>24762</Characters>
  <Application>Microsoft Office Word</Application>
  <DocSecurity>0</DocSecurity>
  <Lines>206</Lines>
  <Paragraphs>58</Paragraphs>
  <ScaleCrop>false</ScaleCrop>
  <Company>Springer Nature</Company>
  <LinksUpToDate>false</LinksUpToDate>
  <CharactersWithSpaces>29048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2023-10-03T10:22:00Z</dcterms:created>
  <dcterms:modified xsi:type="dcterms:W3CDTF">2023-10-03T10:22:00Z</dcterms:modified>
</cp:coreProperties>
</file>