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7CA45" w14:textId="77777777" w:rsidR="00B60F3A" w:rsidRPr="005A4163" w:rsidRDefault="00B60F3A" w:rsidP="00B60F3A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41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3. Effects of isolated fungal compounds on NIH-3T3 fibroblast migration</w:t>
      </w:r>
      <w:r w:rsidRPr="005A4163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*, **</w:t>
      </w:r>
    </w:p>
    <w:tbl>
      <w:tblPr>
        <w:tblStyle w:val="TableGrid"/>
        <w:tblW w:w="8587" w:type="dxa"/>
        <w:tblLayout w:type="fixed"/>
        <w:tblLook w:val="04A0" w:firstRow="1" w:lastRow="0" w:firstColumn="1" w:lastColumn="0" w:noHBand="0" w:noVBand="1"/>
      </w:tblPr>
      <w:tblGrid>
        <w:gridCol w:w="715"/>
        <w:gridCol w:w="2652"/>
        <w:gridCol w:w="2610"/>
        <w:gridCol w:w="2610"/>
      </w:tblGrid>
      <w:tr w:rsidR="00B60F3A" w14:paraId="10D9E3AE" w14:textId="77777777" w:rsidTr="00CF052B">
        <w:tc>
          <w:tcPr>
            <w:tcW w:w="715" w:type="dxa"/>
            <w:vMerge w:val="restart"/>
            <w:vAlign w:val="center"/>
          </w:tcPr>
          <w:p w14:paraId="51676BB8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Time point</w:t>
            </w:r>
          </w:p>
        </w:tc>
        <w:tc>
          <w:tcPr>
            <w:tcW w:w="7872" w:type="dxa"/>
            <w:gridSpan w:val="3"/>
            <w:vAlign w:val="center"/>
          </w:tcPr>
          <w:p w14:paraId="079C4398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Wound closure rates (%)</w:t>
            </w:r>
          </w:p>
        </w:tc>
      </w:tr>
      <w:tr w:rsidR="00B60F3A" w14:paraId="05DC8858" w14:textId="77777777" w:rsidTr="00CF052B">
        <w:tc>
          <w:tcPr>
            <w:tcW w:w="715" w:type="dxa"/>
            <w:vMerge/>
            <w:vAlign w:val="center"/>
          </w:tcPr>
          <w:p w14:paraId="12004C4D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  <w:vAlign w:val="center"/>
          </w:tcPr>
          <w:p w14:paraId="307BE164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2610" w:type="dxa"/>
            <w:vAlign w:val="center"/>
          </w:tcPr>
          <w:p w14:paraId="1B8294BE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Cerevisterol </w:t>
            </w:r>
            <w:r w:rsidRPr="005A41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2610" w:type="dxa"/>
            <w:vAlign w:val="center"/>
          </w:tcPr>
          <w:p w14:paraId="7B910793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Aloesol </w:t>
            </w:r>
            <w:r w:rsidRPr="005A416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(2)</w:t>
            </w:r>
          </w:p>
        </w:tc>
      </w:tr>
      <w:tr w:rsidR="00B60F3A" w14:paraId="71A836FC" w14:textId="77777777" w:rsidTr="00CF052B">
        <w:tc>
          <w:tcPr>
            <w:tcW w:w="715" w:type="dxa"/>
            <w:vMerge w:val="restart"/>
          </w:tcPr>
          <w:p w14:paraId="786747D8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Day 0</w:t>
            </w:r>
          </w:p>
        </w:tc>
        <w:tc>
          <w:tcPr>
            <w:tcW w:w="2652" w:type="dxa"/>
          </w:tcPr>
          <w:p w14:paraId="2D3C2C4C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959760B" wp14:editId="48124602">
                  <wp:extent cx="1546860" cy="1063625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1-c.jpg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0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14:paraId="787C18C7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014958B" wp14:editId="30B9AEAB">
                  <wp:extent cx="1577340" cy="1080135"/>
                  <wp:effectExtent l="0" t="0" r="381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ay0-Control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14:paraId="4BCF7AD6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E6EA04D" wp14:editId="55088AB4">
                  <wp:extent cx="1578360" cy="1085007"/>
                  <wp:effectExtent l="0" t="0" r="3175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ay0-Control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823" cy="108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3A" w14:paraId="770E0495" w14:textId="77777777" w:rsidTr="00CF052B">
        <w:tc>
          <w:tcPr>
            <w:tcW w:w="715" w:type="dxa"/>
            <w:vMerge/>
          </w:tcPr>
          <w:p w14:paraId="5D525A2E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B5A81A2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0.03±0.01</w:t>
            </w:r>
          </w:p>
        </w:tc>
        <w:tc>
          <w:tcPr>
            <w:tcW w:w="2610" w:type="dxa"/>
          </w:tcPr>
          <w:p w14:paraId="1A2C0569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0.01±0.01</w:t>
            </w:r>
          </w:p>
        </w:tc>
        <w:tc>
          <w:tcPr>
            <w:tcW w:w="2610" w:type="dxa"/>
          </w:tcPr>
          <w:p w14:paraId="25D853A7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0.02±0.01</w:t>
            </w:r>
          </w:p>
        </w:tc>
      </w:tr>
      <w:tr w:rsidR="00B60F3A" w14:paraId="69370019" w14:textId="77777777" w:rsidTr="00CF052B">
        <w:tc>
          <w:tcPr>
            <w:tcW w:w="715" w:type="dxa"/>
            <w:vMerge/>
          </w:tcPr>
          <w:p w14:paraId="6FD2BCF1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14:paraId="02A74A4A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66D9992D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>p</w:t>
            </w: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&gt;0.05</w:t>
            </w:r>
          </w:p>
        </w:tc>
        <w:tc>
          <w:tcPr>
            <w:tcW w:w="2610" w:type="dxa"/>
          </w:tcPr>
          <w:p w14:paraId="44D63834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>p</w:t>
            </w: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&gt;0.05</w:t>
            </w:r>
          </w:p>
        </w:tc>
      </w:tr>
      <w:tr w:rsidR="00B60F3A" w14:paraId="19EF1C41" w14:textId="77777777" w:rsidTr="00CF052B">
        <w:tc>
          <w:tcPr>
            <w:tcW w:w="715" w:type="dxa"/>
            <w:vMerge w:val="restart"/>
          </w:tcPr>
          <w:p w14:paraId="7E0BBDC8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Day 2</w:t>
            </w:r>
          </w:p>
          <w:p w14:paraId="237CA7C8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(48 h)</w:t>
            </w:r>
          </w:p>
        </w:tc>
        <w:tc>
          <w:tcPr>
            <w:tcW w:w="2652" w:type="dxa"/>
          </w:tcPr>
          <w:p w14:paraId="003D5C88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3BE0856" wp14:editId="6C52A920">
                  <wp:extent cx="1604010" cy="110617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ay2-Control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010" cy="110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14:paraId="4D137BB6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A2F2151" wp14:editId="3D1E0175">
                  <wp:extent cx="1569648" cy="109495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ay2-Cerevisterol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810" cy="109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14:paraId="7F7DD8B2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32AC7F6" wp14:editId="5B45F5C4">
                  <wp:extent cx="1563940" cy="1101090"/>
                  <wp:effectExtent l="0" t="0" r="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ay2-Aloesol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265" cy="11139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3A" w14:paraId="65C81049" w14:textId="77777777" w:rsidTr="00CF052B">
        <w:tc>
          <w:tcPr>
            <w:tcW w:w="715" w:type="dxa"/>
            <w:vMerge/>
          </w:tcPr>
          <w:p w14:paraId="051B9932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14:paraId="0ED0D3C1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12.37±2.15</w:t>
            </w:r>
          </w:p>
        </w:tc>
        <w:tc>
          <w:tcPr>
            <w:tcW w:w="2610" w:type="dxa"/>
          </w:tcPr>
          <w:p w14:paraId="7C585C9D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19.50±3.23</w:t>
            </w:r>
          </w:p>
        </w:tc>
        <w:tc>
          <w:tcPr>
            <w:tcW w:w="2610" w:type="dxa"/>
          </w:tcPr>
          <w:p w14:paraId="64E5FA81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20.41±3.59</w:t>
            </w:r>
          </w:p>
        </w:tc>
      </w:tr>
      <w:tr w:rsidR="00B60F3A" w14:paraId="7977282F" w14:textId="77777777" w:rsidTr="00CF052B">
        <w:tc>
          <w:tcPr>
            <w:tcW w:w="715" w:type="dxa"/>
            <w:vMerge/>
          </w:tcPr>
          <w:p w14:paraId="4725B02A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14:paraId="0BE40777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45FF094B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>p</w:t>
            </w: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&lt;0.05</w:t>
            </w:r>
          </w:p>
        </w:tc>
        <w:tc>
          <w:tcPr>
            <w:tcW w:w="2610" w:type="dxa"/>
          </w:tcPr>
          <w:p w14:paraId="64144A66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>p</w:t>
            </w: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&lt;0.05</w:t>
            </w:r>
          </w:p>
        </w:tc>
      </w:tr>
      <w:tr w:rsidR="00B60F3A" w14:paraId="408042EE" w14:textId="77777777" w:rsidTr="00CF052B">
        <w:tc>
          <w:tcPr>
            <w:tcW w:w="715" w:type="dxa"/>
            <w:vMerge w:val="restart"/>
          </w:tcPr>
          <w:p w14:paraId="6B4D79F3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Day 4</w:t>
            </w:r>
          </w:p>
          <w:p w14:paraId="164C4841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(72 h)</w:t>
            </w:r>
          </w:p>
        </w:tc>
        <w:tc>
          <w:tcPr>
            <w:tcW w:w="2652" w:type="dxa"/>
          </w:tcPr>
          <w:p w14:paraId="077CAB86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5F25265" wp14:editId="5C4FBFA3">
                  <wp:extent cx="1604010" cy="112966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sy4-Control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010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14:paraId="54CCF936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A77ACF9" wp14:editId="5C33C7B6">
                  <wp:extent cx="1602027" cy="1116199"/>
                  <wp:effectExtent l="0" t="0" r="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sy4-Cerevisterol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691" cy="1117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14:paraId="56817C09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98189AD" wp14:editId="098B95A8">
                  <wp:extent cx="1600114" cy="1115695"/>
                  <wp:effectExtent l="0" t="0" r="635" b="825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sy4-Aloesol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06" cy="111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F3A" w14:paraId="2FD64628" w14:textId="77777777" w:rsidTr="00CF052B">
        <w:tc>
          <w:tcPr>
            <w:tcW w:w="715" w:type="dxa"/>
            <w:vMerge/>
          </w:tcPr>
          <w:p w14:paraId="13948040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14:paraId="4308DE48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51.80±3.45</w:t>
            </w:r>
          </w:p>
        </w:tc>
        <w:tc>
          <w:tcPr>
            <w:tcW w:w="2610" w:type="dxa"/>
          </w:tcPr>
          <w:p w14:paraId="4644517D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76.62±4.04</w:t>
            </w:r>
          </w:p>
        </w:tc>
        <w:tc>
          <w:tcPr>
            <w:tcW w:w="2610" w:type="dxa"/>
          </w:tcPr>
          <w:p w14:paraId="45F70060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71.66±3.37</w:t>
            </w:r>
          </w:p>
        </w:tc>
      </w:tr>
      <w:tr w:rsidR="00B60F3A" w14:paraId="58FF7CA2" w14:textId="77777777" w:rsidTr="00CF052B">
        <w:tc>
          <w:tcPr>
            <w:tcW w:w="715" w:type="dxa"/>
            <w:vMerge/>
          </w:tcPr>
          <w:p w14:paraId="4A4E39DB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14:paraId="360E71C8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610" w:type="dxa"/>
          </w:tcPr>
          <w:p w14:paraId="632FDCB9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>p</w:t>
            </w: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&lt;0.05</w:t>
            </w:r>
          </w:p>
        </w:tc>
        <w:tc>
          <w:tcPr>
            <w:tcW w:w="2610" w:type="dxa"/>
          </w:tcPr>
          <w:p w14:paraId="3E338198" w14:textId="77777777" w:rsidR="00B60F3A" w:rsidRPr="005A4163" w:rsidRDefault="00B60F3A" w:rsidP="00CF052B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  <w:r w:rsidRPr="005A4163">
              <w:rPr>
                <w:rFonts w:ascii="Times New Roman" w:hAnsi="Times New Roman" w:cs="Times New Roman"/>
                <w:i/>
                <w:noProof/>
                <w:color w:val="000000" w:themeColor="text1"/>
                <w:sz w:val="20"/>
                <w:szCs w:val="20"/>
              </w:rPr>
              <w:t>p</w:t>
            </w:r>
            <w:r w:rsidRPr="005A4163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  <w:t>&lt;0.05</w:t>
            </w:r>
          </w:p>
        </w:tc>
      </w:tr>
    </w:tbl>
    <w:p w14:paraId="5C5D3994" w14:textId="77777777" w:rsidR="00B60F3A" w:rsidRPr="005A4163" w:rsidRDefault="00B60F3A" w:rsidP="00B60F3A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4163">
        <w:rPr>
          <w:rFonts w:ascii="Times New Roman" w:hAnsi="Times New Roman" w:cs="Times New Roman"/>
          <w:color w:val="000000" w:themeColor="text1"/>
          <w:sz w:val="20"/>
          <w:szCs w:val="20"/>
        </w:rPr>
        <w:t>*Staining of fibroblasts was conducted by sulforhodamine B (SRB)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Pr="00A46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Orellana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and</w:t>
      </w:r>
      <w:r w:rsidRPr="00A469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Kasinski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2016)</w:t>
      </w:r>
      <w:r w:rsidRPr="005A416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F76BDBA" w14:textId="77777777" w:rsidR="00B60F3A" w:rsidRPr="005A4163" w:rsidRDefault="00B60F3A" w:rsidP="00B60F3A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4163">
        <w:rPr>
          <w:rFonts w:ascii="Times New Roman" w:hAnsi="Times New Roman" w:cs="Times New Roman"/>
          <w:color w:val="000000" w:themeColor="text1"/>
          <w:sz w:val="20"/>
          <w:szCs w:val="20"/>
        </w:rPr>
        <w:t>** Representative images were taken by light microscopy at 10x magnification.</w:t>
      </w:r>
    </w:p>
    <w:p w14:paraId="465B8A3B" w14:textId="77777777" w:rsidR="002F0F5E" w:rsidRDefault="00B60F3A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3A"/>
    <w:rsid w:val="0021090F"/>
    <w:rsid w:val="003A76DF"/>
    <w:rsid w:val="00B60F3A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43A8D"/>
  <w15:chartTrackingRefBased/>
  <w15:docId w15:val="{B692CB73-0771-4F36-A713-481824BB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F3A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0F3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>Springer Nature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2023-10-12T16:24:00Z</dcterms:created>
  <dcterms:modified xsi:type="dcterms:W3CDTF">2023-10-12T16:24:00Z</dcterms:modified>
</cp:coreProperties>
</file>