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A713F" w14:textId="77777777" w:rsidR="00213DFE" w:rsidRPr="00613085" w:rsidRDefault="00213DFE" w:rsidP="00213DFE">
      <w:pPr>
        <w:pStyle w:val="MDPI11articletype"/>
        <w:jc w:val="both"/>
        <w:rPr>
          <w:rFonts w:ascii="Times New Roman" w:hAnsi="Times New Roman"/>
        </w:rPr>
      </w:pPr>
      <w:r w:rsidRPr="00613085">
        <w:rPr>
          <w:rFonts w:ascii="Times New Roman" w:hAnsi="Times New Roman"/>
        </w:rPr>
        <w:t>Systematic Review</w:t>
      </w:r>
    </w:p>
    <w:p w14:paraId="5017254C" w14:textId="10F5AF02" w:rsidR="00213DFE" w:rsidRPr="00077506" w:rsidRDefault="00213DFE" w:rsidP="00213DFE">
      <w:pPr>
        <w:pStyle w:val="MDPI12title"/>
        <w:jc w:val="both"/>
        <w:rPr>
          <w:rFonts w:ascii="Times New Roman" w:hAnsi="Times New Roman"/>
          <w:sz w:val="24"/>
          <w:szCs w:val="14"/>
        </w:rPr>
      </w:pPr>
      <w:r w:rsidRPr="00B55A67">
        <w:rPr>
          <w:rFonts w:ascii="Times New Roman" w:hAnsi="Times New Roman"/>
          <w:sz w:val="24"/>
          <w:szCs w:val="14"/>
        </w:rPr>
        <w:t>Prevalence of intentions to receive monkeypox vaccine. A systematic review and meta-analysis</w:t>
      </w:r>
      <w:r>
        <w:rPr>
          <w:rFonts w:ascii="Times New Roman" w:hAnsi="Times New Roman"/>
          <w:sz w:val="24"/>
          <w:szCs w:val="14"/>
        </w:rPr>
        <w:t>.</w:t>
      </w:r>
    </w:p>
    <w:p w14:paraId="22FEC348" w14:textId="2A85D313" w:rsidR="00213DFE" w:rsidRPr="00213DFE" w:rsidRDefault="00213DFE" w:rsidP="00213DFE">
      <w:pPr>
        <w:pStyle w:val="MDPI13authornames"/>
        <w:jc w:val="both"/>
        <w:rPr>
          <w:rFonts w:ascii="Times New Roman" w:hAnsi="Times New Roman"/>
          <w:b w:val="0"/>
          <w:bCs/>
          <w:sz w:val="24"/>
          <w:szCs w:val="24"/>
          <w:lang w:val="es-PE"/>
        </w:rPr>
      </w:pPr>
      <w:bookmarkStart w:id="0" w:name="_Hlk104331878"/>
      <w:r w:rsidRPr="008A608B">
        <w:rPr>
          <w:rFonts w:ascii="Times New Roman" w:hAnsi="Times New Roman"/>
          <w:b w:val="0"/>
          <w:bCs/>
          <w:sz w:val="24"/>
          <w:szCs w:val="24"/>
          <w:lang w:val="es-PE"/>
        </w:rPr>
        <w:t xml:space="preserve">Darwin A. León-Figueroa </w:t>
      </w:r>
      <w:r w:rsidRPr="008A608B">
        <w:rPr>
          <w:rFonts w:ascii="Times New Roman" w:hAnsi="Times New Roman"/>
          <w:b w:val="0"/>
          <w:bCs/>
          <w:sz w:val="24"/>
          <w:szCs w:val="24"/>
          <w:vertAlign w:val="superscript"/>
          <w:lang w:val="es-PE"/>
        </w:rPr>
        <w:t>1</w:t>
      </w:r>
      <w:r w:rsidRPr="008A608B">
        <w:rPr>
          <w:rFonts w:ascii="Times New Roman" w:hAnsi="Times New Roman"/>
          <w:b w:val="0"/>
          <w:bCs/>
          <w:sz w:val="24"/>
          <w:szCs w:val="24"/>
          <w:lang w:val="es-PE"/>
        </w:rPr>
        <w:t xml:space="preserve">, Joshuan J. Barboza </w:t>
      </w:r>
      <w:r>
        <w:rPr>
          <w:rFonts w:ascii="Times New Roman" w:hAnsi="Times New Roman"/>
          <w:b w:val="0"/>
          <w:bCs/>
          <w:sz w:val="24"/>
          <w:szCs w:val="24"/>
          <w:vertAlign w:val="superscript"/>
          <w:lang w:val="es-PE"/>
        </w:rPr>
        <w:t>2</w:t>
      </w:r>
      <w:r w:rsidRPr="0070083B">
        <w:rPr>
          <w:rFonts w:ascii="Times New Roman" w:hAnsi="Times New Roman"/>
          <w:bCs/>
          <w:sz w:val="24"/>
          <w:szCs w:val="24"/>
          <w:lang w:val="es-CO"/>
        </w:rPr>
        <w:t xml:space="preserve">, </w:t>
      </w:r>
      <w:bookmarkEnd w:id="0"/>
      <w:r w:rsidRPr="00213DFE">
        <w:rPr>
          <w:rFonts w:ascii="Times New Roman" w:hAnsi="Times New Roman"/>
          <w:b w:val="0"/>
          <w:bCs/>
          <w:sz w:val="24"/>
          <w:szCs w:val="24"/>
          <w:lang w:val="es-PE"/>
        </w:rPr>
        <w:t xml:space="preserve">Mario J. Valladares-Garrido </w:t>
      </w:r>
      <w:r w:rsidR="006A5E8C">
        <w:rPr>
          <w:rFonts w:ascii="Times New Roman" w:hAnsi="Times New Roman"/>
          <w:b w:val="0"/>
          <w:bCs/>
          <w:sz w:val="24"/>
          <w:szCs w:val="24"/>
          <w:vertAlign w:val="superscript"/>
          <w:lang w:val="es-PE"/>
        </w:rPr>
        <w:t>3</w:t>
      </w:r>
      <w:r w:rsidRPr="00213DFE">
        <w:rPr>
          <w:rFonts w:ascii="Times New Roman" w:hAnsi="Times New Roman"/>
          <w:b w:val="0"/>
          <w:bCs/>
          <w:sz w:val="24"/>
          <w:szCs w:val="24"/>
          <w:vertAlign w:val="superscript"/>
          <w:lang w:val="es-PE"/>
        </w:rPr>
        <w:t>,</w:t>
      </w:r>
      <w:r w:rsidR="006A5E8C">
        <w:rPr>
          <w:rFonts w:ascii="Times New Roman" w:hAnsi="Times New Roman"/>
          <w:b w:val="0"/>
          <w:bCs/>
          <w:sz w:val="24"/>
          <w:szCs w:val="24"/>
          <w:vertAlign w:val="superscript"/>
          <w:lang w:val="es-PE"/>
        </w:rPr>
        <w:t>4</w:t>
      </w:r>
      <w:r w:rsidR="00A11DDF" w:rsidRPr="008A608B">
        <w:rPr>
          <w:rFonts w:ascii="Times New Roman" w:hAnsi="Times New Roman"/>
          <w:b w:val="0"/>
          <w:bCs/>
          <w:sz w:val="24"/>
          <w:szCs w:val="24"/>
          <w:vertAlign w:val="superscript"/>
          <w:lang w:val="es-PE"/>
        </w:rPr>
        <w:t>,</w:t>
      </w:r>
      <w:r w:rsidR="00A11DDF" w:rsidRPr="008A608B">
        <w:rPr>
          <w:rFonts w:ascii="Times New Roman" w:hAnsi="Times New Roman"/>
          <w:b w:val="0"/>
          <w:bCs/>
          <w:sz w:val="24"/>
          <w:szCs w:val="24"/>
          <w:lang w:val="es-PE"/>
        </w:rPr>
        <w:t>*</w:t>
      </w:r>
      <w:r w:rsidRPr="00213DFE">
        <w:rPr>
          <w:rFonts w:ascii="Times New Roman" w:hAnsi="Times New Roman"/>
          <w:bCs/>
          <w:sz w:val="24"/>
          <w:szCs w:val="24"/>
          <w:lang w:val="es-PE"/>
        </w:rPr>
        <w:t>,</w:t>
      </w:r>
      <w:r w:rsidRPr="00213DFE">
        <w:rPr>
          <w:lang w:val="es-PE"/>
        </w:rPr>
        <w:t xml:space="preserve"> </w:t>
      </w:r>
      <w:r w:rsidRPr="00213DFE">
        <w:rPr>
          <w:rFonts w:ascii="Times New Roman" w:hAnsi="Times New Roman"/>
          <w:b w:val="0"/>
          <w:bCs/>
          <w:sz w:val="24"/>
          <w:szCs w:val="24"/>
          <w:lang w:val="es-PE"/>
        </w:rPr>
        <w:t xml:space="preserve">Ranjit Sah </w:t>
      </w:r>
      <w:r w:rsidRPr="00213DFE">
        <w:rPr>
          <w:rFonts w:ascii="Times New Roman" w:hAnsi="Times New Roman"/>
          <w:b w:val="0"/>
          <w:bCs/>
          <w:sz w:val="24"/>
          <w:szCs w:val="24"/>
          <w:vertAlign w:val="superscript"/>
          <w:lang w:val="es-PE"/>
        </w:rPr>
        <w:t>5,6</w:t>
      </w:r>
      <w:r w:rsidR="006A5E8C">
        <w:rPr>
          <w:rFonts w:ascii="Times New Roman" w:hAnsi="Times New Roman"/>
          <w:b w:val="0"/>
          <w:bCs/>
          <w:sz w:val="24"/>
          <w:szCs w:val="24"/>
          <w:vertAlign w:val="superscript"/>
          <w:lang w:val="es-PE"/>
        </w:rPr>
        <w:t>,7</w:t>
      </w:r>
      <w:r w:rsidRPr="00213DFE">
        <w:rPr>
          <w:rFonts w:ascii="Times New Roman" w:hAnsi="Times New Roman"/>
          <w:b w:val="0"/>
          <w:bCs/>
          <w:sz w:val="24"/>
          <w:szCs w:val="24"/>
          <w:lang w:val="es-PE"/>
        </w:rPr>
        <w:t xml:space="preserve">, and Alfonso J. Rodriguez-Morales </w:t>
      </w:r>
      <w:r w:rsidR="006A5E8C">
        <w:rPr>
          <w:rFonts w:ascii="Times New Roman" w:hAnsi="Times New Roman"/>
          <w:b w:val="0"/>
          <w:bCs/>
          <w:sz w:val="24"/>
          <w:szCs w:val="24"/>
          <w:vertAlign w:val="superscript"/>
          <w:lang w:val="es-PE"/>
        </w:rPr>
        <w:t>8</w:t>
      </w:r>
      <w:r w:rsidRPr="00213DFE">
        <w:rPr>
          <w:rFonts w:ascii="Times New Roman" w:hAnsi="Times New Roman"/>
          <w:b w:val="0"/>
          <w:bCs/>
          <w:sz w:val="24"/>
          <w:szCs w:val="24"/>
          <w:vertAlign w:val="superscript"/>
          <w:lang w:val="es-PE"/>
        </w:rPr>
        <w:t>,</w:t>
      </w:r>
      <w:r w:rsidR="006A5E8C">
        <w:rPr>
          <w:rFonts w:ascii="Times New Roman" w:hAnsi="Times New Roman"/>
          <w:b w:val="0"/>
          <w:bCs/>
          <w:sz w:val="24"/>
          <w:szCs w:val="24"/>
          <w:vertAlign w:val="superscript"/>
          <w:lang w:val="es-PE"/>
        </w:rPr>
        <w:t>9</w:t>
      </w:r>
    </w:p>
    <w:p w14:paraId="22965F80" w14:textId="77777777" w:rsidR="00213DFE" w:rsidRPr="008A608B" w:rsidRDefault="00213DFE" w:rsidP="00213DFE">
      <w:pPr>
        <w:pStyle w:val="MDPI16affiliation"/>
        <w:ind w:left="142"/>
        <w:jc w:val="both"/>
        <w:rPr>
          <w:rFonts w:ascii="Times New Roman" w:hAnsi="Times New Roman"/>
          <w:sz w:val="24"/>
          <w:szCs w:val="24"/>
          <w:lang w:val="es-PE"/>
        </w:rPr>
      </w:pPr>
      <w:r w:rsidRPr="008A608B">
        <w:rPr>
          <w:rFonts w:ascii="Times New Roman" w:hAnsi="Times New Roman"/>
          <w:sz w:val="24"/>
          <w:szCs w:val="24"/>
          <w:vertAlign w:val="superscript"/>
          <w:lang w:val="es-PE"/>
        </w:rPr>
        <w:t>1</w:t>
      </w:r>
      <w:r w:rsidRPr="008A608B">
        <w:rPr>
          <w:rFonts w:ascii="Times New Roman" w:hAnsi="Times New Roman"/>
          <w:sz w:val="24"/>
          <w:szCs w:val="24"/>
          <w:lang w:val="es-PE"/>
        </w:rPr>
        <w:tab/>
        <w:t xml:space="preserve">Facultad de Medicina Humana, Universidad de San Martín de Porres, Chiclayo 15011, Peru; </w:t>
      </w:r>
      <w:hyperlink r:id="rId8" w:history="1">
        <w:r w:rsidRPr="008A608B">
          <w:rPr>
            <w:rStyle w:val="Hipervnculo"/>
            <w:rFonts w:ascii="Times New Roman" w:hAnsi="Times New Roman"/>
            <w:sz w:val="24"/>
            <w:szCs w:val="24"/>
            <w:lang w:val="es-PE"/>
          </w:rPr>
          <w:t>darwin_leon@usmp.pe</w:t>
        </w:r>
      </w:hyperlink>
      <w:r w:rsidRPr="008A608B">
        <w:rPr>
          <w:rStyle w:val="Hipervnculo"/>
          <w:rFonts w:ascii="Times New Roman" w:hAnsi="Times New Roman"/>
          <w:sz w:val="24"/>
          <w:szCs w:val="24"/>
          <w:lang w:val="es-PE"/>
        </w:rPr>
        <w:t xml:space="preserve"> </w:t>
      </w:r>
      <w:r w:rsidRPr="008A608B">
        <w:rPr>
          <w:rStyle w:val="Hipervnculo"/>
          <w:rFonts w:ascii="Times New Roman" w:hAnsi="Times New Roman"/>
          <w:color w:val="auto"/>
          <w:sz w:val="24"/>
          <w:szCs w:val="24"/>
          <w:u w:val="none"/>
          <w:lang w:val="es-PE"/>
        </w:rPr>
        <w:t>(DALF)</w:t>
      </w:r>
    </w:p>
    <w:p w14:paraId="7DDA69C5" w14:textId="5456D4E7" w:rsidR="00213DFE" w:rsidRPr="008A608B" w:rsidRDefault="00213DFE" w:rsidP="00213DFE">
      <w:pPr>
        <w:pStyle w:val="MDPI16affiliation"/>
        <w:ind w:left="142"/>
        <w:jc w:val="both"/>
        <w:rPr>
          <w:rStyle w:val="Hipervnculo"/>
          <w:rFonts w:ascii="Times New Roman" w:hAnsi="Times New Roman"/>
          <w:sz w:val="24"/>
          <w:szCs w:val="24"/>
          <w:lang w:val="es-PE"/>
        </w:rPr>
      </w:pPr>
      <w:r>
        <w:rPr>
          <w:rFonts w:ascii="Times New Roman" w:hAnsi="Times New Roman"/>
          <w:sz w:val="24"/>
          <w:szCs w:val="24"/>
          <w:vertAlign w:val="superscript"/>
          <w:lang w:val="es-PE"/>
        </w:rPr>
        <w:t>2</w:t>
      </w:r>
      <w:r w:rsidRPr="008A608B">
        <w:rPr>
          <w:rFonts w:ascii="Times New Roman" w:hAnsi="Times New Roman"/>
          <w:sz w:val="24"/>
          <w:szCs w:val="24"/>
          <w:lang w:val="es-PE"/>
        </w:rPr>
        <w:tab/>
      </w:r>
      <w:r w:rsidR="009A18F8" w:rsidRPr="009A18F8">
        <w:rPr>
          <w:rFonts w:ascii="Times New Roman" w:hAnsi="Times New Roman"/>
          <w:sz w:val="24"/>
          <w:szCs w:val="24"/>
          <w:lang w:val="es-PE"/>
        </w:rPr>
        <w:t>Vicerrectorado de Investigación, Universidad Norbert Wiener, Lima 15046, Peru</w:t>
      </w:r>
      <w:r w:rsidRPr="008A608B">
        <w:rPr>
          <w:rFonts w:ascii="Times New Roman" w:hAnsi="Times New Roman"/>
          <w:sz w:val="24"/>
          <w:szCs w:val="24"/>
          <w:lang w:val="es-PE"/>
        </w:rPr>
        <w:t xml:space="preserve">; </w:t>
      </w:r>
      <w:hyperlink r:id="rId9" w:history="1">
        <w:r w:rsidRPr="008A608B">
          <w:rPr>
            <w:rStyle w:val="Hipervnculo"/>
            <w:rFonts w:ascii="Times New Roman" w:hAnsi="Times New Roman"/>
            <w:sz w:val="24"/>
            <w:szCs w:val="24"/>
            <w:lang w:val="es-PE"/>
          </w:rPr>
          <w:t>jbarbozameca@gmail.com</w:t>
        </w:r>
      </w:hyperlink>
    </w:p>
    <w:p w14:paraId="3956F6F1" w14:textId="4092FCE4" w:rsidR="009F70FB" w:rsidRPr="00CD20B5" w:rsidRDefault="006A5E8C" w:rsidP="009F70FB">
      <w:pPr>
        <w:pStyle w:val="MDPI16affiliation"/>
        <w:ind w:left="142"/>
        <w:jc w:val="both"/>
        <w:rPr>
          <w:rFonts w:ascii="Times New Roman" w:hAnsi="Times New Roman"/>
          <w:sz w:val="24"/>
          <w:szCs w:val="24"/>
          <w:lang w:val="es-PE"/>
        </w:rPr>
      </w:pPr>
      <w:r>
        <w:rPr>
          <w:rFonts w:ascii="Times New Roman" w:hAnsi="Times New Roman"/>
          <w:sz w:val="24"/>
          <w:szCs w:val="24"/>
          <w:vertAlign w:val="superscript"/>
          <w:lang w:val="es-PE"/>
        </w:rPr>
        <w:t>3</w:t>
      </w:r>
      <w:r w:rsidR="009F70FB" w:rsidRPr="00CD20B5">
        <w:rPr>
          <w:rFonts w:ascii="Times New Roman" w:hAnsi="Times New Roman"/>
          <w:sz w:val="24"/>
          <w:szCs w:val="24"/>
          <w:lang w:val="es-PE"/>
        </w:rPr>
        <w:tab/>
        <w:t>Universidad Continental, Lima 15046, Peru;</w:t>
      </w:r>
      <w:r w:rsidR="009F70FB" w:rsidRPr="00CD20B5">
        <w:rPr>
          <w:lang w:val="es-PE"/>
        </w:rPr>
        <w:t xml:space="preserve"> </w:t>
      </w:r>
      <w:hyperlink r:id="rId10" w:history="1">
        <w:r w:rsidR="009F70FB" w:rsidRPr="00CD20B5">
          <w:rPr>
            <w:rStyle w:val="Hipervnculo"/>
            <w:rFonts w:ascii="Times New Roman" w:hAnsi="Times New Roman"/>
            <w:sz w:val="24"/>
            <w:szCs w:val="24"/>
            <w:lang w:val="es-PE"/>
          </w:rPr>
          <w:t>mvalladares@continental.edu.pe</w:t>
        </w:r>
      </w:hyperlink>
      <w:r w:rsidR="009F70FB" w:rsidRPr="00CD20B5">
        <w:rPr>
          <w:rFonts w:ascii="Times New Roman" w:hAnsi="Times New Roman"/>
          <w:sz w:val="24"/>
          <w:szCs w:val="24"/>
          <w:lang w:val="es-PE"/>
        </w:rPr>
        <w:t xml:space="preserve"> </w:t>
      </w:r>
    </w:p>
    <w:p w14:paraId="584C45BB" w14:textId="30AFD89F" w:rsidR="009F70FB" w:rsidRPr="00CD20B5" w:rsidRDefault="006A5E8C" w:rsidP="009F70FB">
      <w:pPr>
        <w:pStyle w:val="MDPI16affiliation"/>
        <w:ind w:left="142"/>
        <w:jc w:val="both"/>
        <w:rPr>
          <w:rFonts w:ascii="Times New Roman" w:hAnsi="Times New Roman"/>
          <w:sz w:val="24"/>
          <w:szCs w:val="24"/>
          <w:lang w:val="es-PE"/>
        </w:rPr>
      </w:pPr>
      <w:r>
        <w:rPr>
          <w:rFonts w:ascii="Times New Roman" w:hAnsi="Times New Roman"/>
          <w:sz w:val="24"/>
          <w:szCs w:val="24"/>
          <w:vertAlign w:val="superscript"/>
          <w:lang w:val="es-PE"/>
        </w:rPr>
        <w:t>4</w:t>
      </w:r>
      <w:r w:rsidR="009F70FB" w:rsidRPr="00CD20B5">
        <w:rPr>
          <w:rFonts w:ascii="Times New Roman" w:hAnsi="Times New Roman"/>
          <w:sz w:val="24"/>
          <w:szCs w:val="24"/>
          <w:lang w:val="es-PE"/>
        </w:rPr>
        <w:tab/>
        <w:t>Oficina de Epidemiología, Hospital Regional Lambayeque, Chiclayo 14012, Peru</w:t>
      </w:r>
    </w:p>
    <w:p w14:paraId="2CFAE051" w14:textId="1C0F693E" w:rsidR="00213DFE" w:rsidRPr="008A608B" w:rsidRDefault="006A5E8C" w:rsidP="00213DFE">
      <w:pPr>
        <w:pStyle w:val="MDPI16affiliation"/>
        <w:ind w:left="142"/>
        <w:jc w:val="both"/>
        <w:rPr>
          <w:rFonts w:ascii="Times New Roman" w:hAnsi="Times New Roman"/>
          <w:sz w:val="24"/>
          <w:szCs w:val="24"/>
        </w:rPr>
      </w:pPr>
      <w:r>
        <w:rPr>
          <w:rFonts w:ascii="Times New Roman" w:hAnsi="Times New Roman"/>
          <w:sz w:val="24"/>
          <w:szCs w:val="24"/>
          <w:vertAlign w:val="superscript"/>
        </w:rPr>
        <w:t>5</w:t>
      </w:r>
      <w:r w:rsidR="00213DFE" w:rsidRPr="008A608B">
        <w:rPr>
          <w:rFonts w:ascii="Times New Roman" w:hAnsi="Times New Roman"/>
          <w:sz w:val="24"/>
          <w:szCs w:val="24"/>
        </w:rPr>
        <w:tab/>
        <w:t xml:space="preserve">Department of Microbiology, Tribhuvan University Teaching Hospital, Institute of Medicine, Kathmandu 44600, Nepal; </w:t>
      </w:r>
      <w:hyperlink r:id="rId11" w:history="1">
        <w:r w:rsidR="00213DFE" w:rsidRPr="008A608B">
          <w:rPr>
            <w:rStyle w:val="Hipervnculo"/>
            <w:rFonts w:ascii="Times New Roman" w:hAnsi="Times New Roman"/>
            <w:sz w:val="24"/>
            <w:szCs w:val="24"/>
          </w:rPr>
          <w:t>ranjitsah@iom.edu.np</w:t>
        </w:r>
      </w:hyperlink>
      <w:r w:rsidR="00213DFE" w:rsidRPr="008A608B">
        <w:rPr>
          <w:rFonts w:ascii="Times New Roman" w:hAnsi="Times New Roman"/>
          <w:sz w:val="24"/>
          <w:szCs w:val="24"/>
        </w:rPr>
        <w:t xml:space="preserve"> </w:t>
      </w:r>
    </w:p>
    <w:p w14:paraId="2F7C5134" w14:textId="0EE29DEB" w:rsidR="00213DFE" w:rsidRPr="008A608B" w:rsidRDefault="006A5E8C" w:rsidP="00213DFE">
      <w:pPr>
        <w:pStyle w:val="MDPI16affiliation"/>
        <w:ind w:left="142"/>
        <w:jc w:val="both"/>
        <w:rPr>
          <w:rFonts w:ascii="Times New Roman" w:hAnsi="Times New Roman"/>
          <w:sz w:val="24"/>
          <w:szCs w:val="24"/>
        </w:rPr>
      </w:pPr>
      <w:r>
        <w:rPr>
          <w:rFonts w:ascii="Times New Roman" w:hAnsi="Times New Roman"/>
          <w:sz w:val="24"/>
          <w:szCs w:val="24"/>
          <w:vertAlign w:val="superscript"/>
        </w:rPr>
        <w:t>6</w:t>
      </w:r>
      <w:r w:rsidR="00213DFE" w:rsidRPr="008A608B">
        <w:rPr>
          <w:rFonts w:ascii="Times New Roman" w:hAnsi="Times New Roman"/>
          <w:sz w:val="24"/>
          <w:szCs w:val="24"/>
        </w:rPr>
        <w:tab/>
        <w:t>Department of Microbiology, Dr. D. Y. Patil Medical College, Hospital and Research Centre, Dr. D. Y. Patil Vidyapeeth, Pune 411018, Maharashtra, India</w:t>
      </w:r>
    </w:p>
    <w:p w14:paraId="4F440032" w14:textId="38476798" w:rsidR="00213DFE" w:rsidRPr="008A608B" w:rsidRDefault="006A5E8C" w:rsidP="00213DFE">
      <w:pPr>
        <w:pStyle w:val="MDPI16affiliation"/>
        <w:ind w:left="142"/>
        <w:jc w:val="both"/>
        <w:rPr>
          <w:rFonts w:ascii="Times New Roman" w:hAnsi="Times New Roman"/>
          <w:sz w:val="24"/>
          <w:szCs w:val="24"/>
        </w:rPr>
      </w:pPr>
      <w:r>
        <w:rPr>
          <w:rFonts w:ascii="Times New Roman" w:hAnsi="Times New Roman"/>
          <w:sz w:val="24"/>
          <w:szCs w:val="24"/>
          <w:vertAlign w:val="superscript"/>
        </w:rPr>
        <w:t>7</w:t>
      </w:r>
      <w:r w:rsidR="00213DFE" w:rsidRPr="008A608B">
        <w:rPr>
          <w:rFonts w:ascii="Times New Roman" w:hAnsi="Times New Roman"/>
          <w:sz w:val="24"/>
          <w:szCs w:val="24"/>
        </w:rPr>
        <w:tab/>
        <w:t>Department of Public Health Dentistry, Dr. D.Y. Patil Dental College and Hospital, Dr. D.Y. Patil Vidyapeeth, Pune 411018, Maharashtra, India.</w:t>
      </w:r>
    </w:p>
    <w:p w14:paraId="6DBB5CE1" w14:textId="7D5E1705" w:rsidR="00213DFE" w:rsidRPr="008A608B" w:rsidRDefault="006A5E8C" w:rsidP="00213DFE">
      <w:pPr>
        <w:pStyle w:val="MDPI16affiliation"/>
        <w:ind w:left="142"/>
        <w:jc w:val="both"/>
        <w:rPr>
          <w:rFonts w:ascii="Times New Roman" w:hAnsi="Times New Roman"/>
          <w:sz w:val="24"/>
          <w:szCs w:val="24"/>
        </w:rPr>
      </w:pPr>
      <w:bookmarkStart w:id="1" w:name="_Hlk121910869"/>
      <w:r>
        <w:rPr>
          <w:rFonts w:ascii="Times New Roman" w:hAnsi="Times New Roman"/>
          <w:sz w:val="24"/>
          <w:szCs w:val="24"/>
          <w:vertAlign w:val="superscript"/>
        </w:rPr>
        <w:t>8</w:t>
      </w:r>
      <w:r w:rsidR="00213DFE" w:rsidRPr="008A608B">
        <w:rPr>
          <w:rFonts w:ascii="Times New Roman" w:hAnsi="Times New Roman"/>
          <w:sz w:val="24"/>
          <w:szCs w:val="24"/>
        </w:rPr>
        <w:tab/>
        <w:t xml:space="preserve">Master of Clinical Epidemiology and Biostatistics, Universidad Cientifica del Sur, Lima 15067, Peru; </w:t>
      </w:r>
      <w:hyperlink r:id="rId12" w:history="1">
        <w:r w:rsidR="00213DFE" w:rsidRPr="008A608B">
          <w:rPr>
            <w:rStyle w:val="Hipervnculo"/>
            <w:rFonts w:ascii="Times New Roman" w:hAnsi="Times New Roman"/>
            <w:sz w:val="24"/>
            <w:szCs w:val="24"/>
          </w:rPr>
          <w:t>arodriguezmo@cientifica.edu.pe</w:t>
        </w:r>
      </w:hyperlink>
      <w:r w:rsidR="00213DFE" w:rsidRPr="008A608B">
        <w:rPr>
          <w:rFonts w:ascii="Times New Roman" w:hAnsi="Times New Roman"/>
          <w:sz w:val="24"/>
          <w:szCs w:val="24"/>
        </w:rPr>
        <w:t xml:space="preserve"> </w:t>
      </w:r>
    </w:p>
    <w:p w14:paraId="47E708E4" w14:textId="57C87C42" w:rsidR="00213DFE" w:rsidRPr="00F97FE3" w:rsidRDefault="006A5E8C" w:rsidP="00213DFE">
      <w:pPr>
        <w:pStyle w:val="MDPI16affiliation"/>
        <w:ind w:left="142"/>
        <w:jc w:val="both"/>
        <w:rPr>
          <w:rFonts w:ascii="Times New Roman" w:hAnsi="Times New Roman"/>
          <w:sz w:val="24"/>
          <w:szCs w:val="24"/>
        </w:rPr>
      </w:pPr>
      <w:r>
        <w:rPr>
          <w:rFonts w:ascii="Times New Roman" w:hAnsi="Times New Roman"/>
          <w:sz w:val="24"/>
          <w:szCs w:val="24"/>
          <w:vertAlign w:val="superscript"/>
        </w:rPr>
        <w:t>9</w:t>
      </w:r>
      <w:r w:rsidR="00213DFE" w:rsidRPr="008A608B">
        <w:rPr>
          <w:rFonts w:ascii="Times New Roman" w:hAnsi="Times New Roman"/>
          <w:sz w:val="24"/>
          <w:szCs w:val="24"/>
        </w:rPr>
        <w:tab/>
        <w:t xml:space="preserve">Gilbert and Rose-Marie Chagoury School of Medicine, Lebanese American University, Beirut 1102, Lebanon; </w:t>
      </w:r>
      <w:hyperlink r:id="rId13" w:history="1">
        <w:r w:rsidR="00213DFE" w:rsidRPr="008A608B">
          <w:rPr>
            <w:rStyle w:val="Hipervnculo"/>
            <w:rFonts w:ascii="Times New Roman" w:hAnsi="Times New Roman"/>
            <w:sz w:val="24"/>
            <w:szCs w:val="24"/>
          </w:rPr>
          <w:t>alphonso.morales@lau.edu.lb</w:t>
        </w:r>
      </w:hyperlink>
      <w:r w:rsidR="00213DFE">
        <w:rPr>
          <w:rFonts w:ascii="Times New Roman" w:hAnsi="Times New Roman"/>
          <w:sz w:val="24"/>
          <w:szCs w:val="24"/>
        </w:rPr>
        <w:t xml:space="preserve"> </w:t>
      </w:r>
    </w:p>
    <w:bookmarkEnd w:id="1"/>
    <w:p w14:paraId="054CF510" w14:textId="77777777" w:rsidR="00213DFE" w:rsidRPr="00F97FE3" w:rsidRDefault="00213DFE" w:rsidP="00213DFE">
      <w:pPr>
        <w:pStyle w:val="MDPI16affiliation"/>
        <w:ind w:left="142"/>
        <w:jc w:val="both"/>
        <w:rPr>
          <w:rFonts w:ascii="Times New Roman" w:hAnsi="Times New Roman"/>
          <w:sz w:val="24"/>
          <w:szCs w:val="24"/>
        </w:rPr>
      </w:pPr>
    </w:p>
    <w:p w14:paraId="74621F4E" w14:textId="77777777" w:rsidR="00213DFE" w:rsidRPr="00F97FE3" w:rsidRDefault="00213DFE" w:rsidP="00213DFE">
      <w:pPr>
        <w:pStyle w:val="MDPI16affiliation"/>
        <w:ind w:left="0" w:firstLine="0"/>
        <w:jc w:val="both"/>
        <w:rPr>
          <w:rFonts w:ascii="Times New Roman" w:hAnsi="Times New Roman"/>
          <w:b/>
          <w:sz w:val="24"/>
          <w:szCs w:val="24"/>
        </w:rPr>
      </w:pPr>
    </w:p>
    <w:p w14:paraId="7357F1E3" w14:textId="11C5F355" w:rsidR="00213DFE" w:rsidRPr="00F97FE3" w:rsidRDefault="00213DFE" w:rsidP="00446A6C">
      <w:pPr>
        <w:pStyle w:val="MDPI16affiliation"/>
        <w:ind w:left="142"/>
        <w:rPr>
          <w:rFonts w:ascii="Times New Roman" w:hAnsi="Times New Roman"/>
          <w:sz w:val="24"/>
          <w:szCs w:val="24"/>
        </w:rPr>
      </w:pPr>
      <w:r w:rsidRPr="00CE29D9">
        <w:rPr>
          <w:rFonts w:ascii="Times New Roman" w:hAnsi="Times New Roman"/>
          <w:b/>
          <w:sz w:val="24"/>
          <w:szCs w:val="24"/>
          <w:lang w:val="pt-BR"/>
        </w:rPr>
        <w:t>*</w:t>
      </w:r>
      <w:r w:rsidRPr="00CE29D9">
        <w:rPr>
          <w:rFonts w:ascii="Times New Roman" w:hAnsi="Times New Roman"/>
          <w:sz w:val="24"/>
          <w:szCs w:val="24"/>
          <w:lang w:val="pt-BR"/>
        </w:rPr>
        <w:tab/>
      </w:r>
      <w:r w:rsidRPr="00CE29D9">
        <w:rPr>
          <w:rFonts w:ascii="Times New Roman" w:hAnsi="Times New Roman"/>
          <w:b/>
          <w:bCs/>
          <w:sz w:val="24"/>
          <w:szCs w:val="24"/>
          <w:lang w:val="pt-BR"/>
        </w:rPr>
        <w:t>Correspondence</w:t>
      </w:r>
      <w:r w:rsidRPr="00CE29D9">
        <w:rPr>
          <w:rFonts w:ascii="Times New Roman" w:hAnsi="Times New Roman"/>
          <w:sz w:val="24"/>
          <w:szCs w:val="24"/>
          <w:lang w:val="pt-BR"/>
        </w:rPr>
        <w:t xml:space="preserve">: </w:t>
      </w:r>
      <w:r w:rsidR="00446A6C" w:rsidRPr="00446A6C">
        <w:rPr>
          <w:rFonts w:ascii="Times New Roman" w:hAnsi="Times New Roman"/>
          <w:sz w:val="24"/>
          <w:szCs w:val="24"/>
        </w:rPr>
        <w:t xml:space="preserve">Correspondence: </w:t>
      </w:r>
      <w:hyperlink r:id="rId14" w:history="1">
        <w:r w:rsidR="00446A6C" w:rsidRPr="00446A6C">
          <w:rPr>
            <w:rStyle w:val="Hipervnculo"/>
            <w:rFonts w:ascii="Times New Roman" w:hAnsi="Times New Roman"/>
            <w:sz w:val="24"/>
            <w:szCs w:val="24"/>
          </w:rPr>
          <w:t>mvalladares@continental.edu.pe</w:t>
        </w:r>
      </w:hyperlink>
      <w:r w:rsidR="00446A6C" w:rsidRPr="00446A6C">
        <w:rPr>
          <w:rFonts w:ascii="Times New Roman" w:hAnsi="Times New Roman"/>
          <w:sz w:val="24"/>
          <w:szCs w:val="24"/>
        </w:rPr>
        <w:t xml:space="preserve"> ; Tel.: +51 944 655 396</w:t>
      </w:r>
    </w:p>
    <w:p w14:paraId="305F65A3" w14:textId="56CAFA73" w:rsidR="006A4EF7" w:rsidRPr="00DC1405" w:rsidRDefault="006A4EF7" w:rsidP="00364DC6">
      <w:pPr>
        <w:pStyle w:val="MDPI16affiliation"/>
        <w:rPr>
          <w:b/>
          <w:lang w:val="es-PE"/>
        </w:rPr>
      </w:pPr>
    </w:p>
    <w:p w14:paraId="43F6FE9F" w14:textId="3F7A2EB5" w:rsidR="006A4EF7" w:rsidRPr="00DC1405" w:rsidRDefault="006A4EF7" w:rsidP="00364DC6">
      <w:pPr>
        <w:pStyle w:val="MDPI16affiliation"/>
        <w:rPr>
          <w:b/>
          <w:lang w:val="es-PE"/>
        </w:rPr>
      </w:pPr>
    </w:p>
    <w:p w14:paraId="48114AB3" w14:textId="77777777" w:rsidR="006A4EF7" w:rsidRPr="00DC1405" w:rsidRDefault="006A4EF7" w:rsidP="00364DC6">
      <w:pPr>
        <w:pStyle w:val="MDPI16affiliation"/>
        <w:rPr>
          <w:b/>
          <w:lang w:val="es-PE"/>
        </w:rPr>
      </w:pPr>
    </w:p>
    <w:p w14:paraId="1F030A5D" w14:textId="52B15FEF" w:rsidR="006A4EF7" w:rsidRPr="00DC1405" w:rsidRDefault="006A4EF7" w:rsidP="00364DC6">
      <w:pPr>
        <w:pStyle w:val="MDPI16affiliation"/>
        <w:rPr>
          <w:b/>
          <w:lang w:val="es-PE"/>
        </w:rPr>
      </w:pPr>
    </w:p>
    <w:p w14:paraId="79BA3EF8" w14:textId="5A6B7F94" w:rsidR="006A4EF7" w:rsidRPr="00DC1405" w:rsidRDefault="006A4EF7" w:rsidP="00364DC6">
      <w:pPr>
        <w:pStyle w:val="MDPI16affiliation"/>
        <w:rPr>
          <w:b/>
          <w:lang w:val="es-PE"/>
        </w:rPr>
      </w:pPr>
    </w:p>
    <w:p w14:paraId="4A9873F1" w14:textId="77777777" w:rsidR="001031FF" w:rsidRPr="00DC1405" w:rsidRDefault="001031FF" w:rsidP="00364DC6">
      <w:pPr>
        <w:pStyle w:val="MDPI16affiliation"/>
        <w:rPr>
          <w:b/>
          <w:lang w:val="es-PE"/>
        </w:rPr>
      </w:pPr>
    </w:p>
    <w:p w14:paraId="2E64DA44" w14:textId="77777777" w:rsidR="001031FF" w:rsidRPr="00DC1405" w:rsidRDefault="001031FF" w:rsidP="00364DC6">
      <w:pPr>
        <w:pStyle w:val="MDPI16affiliation"/>
        <w:rPr>
          <w:b/>
          <w:lang w:val="es-PE"/>
        </w:rPr>
      </w:pPr>
    </w:p>
    <w:p w14:paraId="63E16BE7" w14:textId="77777777" w:rsidR="001031FF" w:rsidRPr="00DC1405" w:rsidRDefault="001031FF" w:rsidP="00364DC6">
      <w:pPr>
        <w:pStyle w:val="MDPI16affiliation"/>
        <w:rPr>
          <w:b/>
          <w:lang w:val="es-PE"/>
        </w:rPr>
      </w:pPr>
    </w:p>
    <w:p w14:paraId="362A89D6" w14:textId="77777777" w:rsidR="001031FF" w:rsidRPr="00DC1405" w:rsidRDefault="001031FF" w:rsidP="00364DC6">
      <w:pPr>
        <w:pStyle w:val="MDPI16affiliation"/>
        <w:rPr>
          <w:b/>
          <w:lang w:val="es-PE"/>
        </w:rPr>
      </w:pPr>
    </w:p>
    <w:p w14:paraId="49B06382" w14:textId="77777777" w:rsidR="001031FF" w:rsidRPr="00DC1405" w:rsidRDefault="001031FF" w:rsidP="00364DC6">
      <w:pPr>
        <w:pStyle w:val="MDPI16affiliation"/>
        <w:rPr>
          <w:b/>
          <w:lang w:val="es-PE"/>
        </w:rPr>
      </w:pPr>
    </w:p>
    <w:p w14:paraId="3628E105" w14:textId="77777777" w:rsidR="001031FF" w:rsidRPr="00DC1405" w:rsidRDefault="001031FF" w:rsidP="00364DC6">
      <w:pPr>
        <w:pStyle w:val="MDPI16affiliation"/>
        <w:rPr>
          <w:b/>
          <w:lang w:val="es-PE"/>
        </w:rPr>
      </w:pPr>
    </w:p>
    <w:p w14:paraId="035926DE" w14:textId="77777777" w:rsidR="001031FF" w:rsidRPr="00DC1405" w:rsidRDefault="001031FF" w:rsidP="00364DC6">
      <w:pPr>
        <w:pStyle w:val="MDPI16affiliation"/>
        <w:rPr>
          <w:b/>
          <w:lang w:val="es-PE"/>
        </w:rPr>
      </w:pPr>
    </w:p>
    <w:p w14:paraId="19AD0AC8" w14:textId="77777777" w:rsidR="001031FF" w:rsidRPr="00DC1405" w:rsidRDefault="001031FF" w:rsidP="00364DC6">
      <w:pPr>
        <w:pStyle w:val="MDPI16affiliation"/>
        <w:rPr>
          <w:b/>
          <w:lang w:val="es-PE"/>
        </w:rPr>
      </w:pPr>
    </w:p>
    <w:p w14:paraId="318F5B0A" w14:textId="77777777" w:rsidR="001031FF" w:rsidRPr="00DC1405" w:rsidRDefault="001031FF" w:rsidP="00364DC6">
      <w:pPr>
        <w:pStyle w:val="MDPI16affiliation"/>
        <w:rPr>
          <w:b/>
          <w:lang w:val="es-PE"/>
        </w:rPr>
      </w:pPr>
    </w:p>
    <w:p w14:paraId="310FEC42" w14:textId="77777777" w:rsidR="001031FF" w:rsidRPr="00DC1405" w:rsidRDefault="001031FF" w:rsidP="00364DC6">
      <w:pPr>
        <w:pStyle w:val="MDPI16affiliation"/>
        <w:rPr>
          <w:b/>
          <w:lang w:val="es-PE"/>
        </w:rPr>
      </w:pPr>
    </w:p>
    <w:p w14:paraId="29A701BA" w14:textId="77777777" w:rsidR="001031FF" w:rsidRPr="00DC1405" w:rsidRDefault="001031FF" w:rsidP="00364DC6">
      <w:pPr>
        <w:pStyle w:val="MDPI16affiliation"/>
        <w:rPr>
          <w:b/>
          <w:lang w:val="es-PE"/>
        </w:rPr>
      </w:pPr>
    </w:p>
    <w:p w14:paraId="3E554434" w14:textId="77777777" w:rsidR="001031FF" w:rsidRPr="00DC1405" w:rsidRDefault="001031FF" w:rsidP="00364DC6">
      <w:pPr>
        <w:pStyle w:val="MDPI16affiliation"/>
        <w:rPr>
          <w:b/>
          <w:lang w:val="es-PE"/>
        </w:rPr>
      </w:pPr>
    </w:p>
    <w:p w14:paraId="21241B3F" w14:textId="77777777" w:rsidR="001031FF" w:rsidRPr="00DC1405" w:rsidRDefault="001031FF" w:rsidP="00364DC6">
      <w:pPr>
        <w:pStyle w:val="MDPI16affiliation"/>
        <w:rPr>
          <w:b/>
          <w:lang w:val="es-PE"/>
        </w:rPr>
      </w:pPr>
    </w:p>
    <w:p w14:paraId="118BDD02" w14:textId="77777777" w:rsidR="001031FF" w:rsidRPr="00DC1405" w:rsidRDefault="001031FF" w:rsidP="00364DC6">
      <w:pPr>
        <w:pStyle w:val="MDPI16affiliation"/>
        <w:rPr>
          <w:b/>
          <w:lang w:val="es-PE"/>
        </w:rPr>
      </w:pPr>
    </w:p>
    <w:p w14:paraId="482BF40C" w14:textId="77777777" w:rsidR="001031FF" w:rsidRPr="00DC1405" w:rsidRDefault="001031FF" w:rsidP="00364DC6">
      <w:pPr>
        <w:pStyle w:val="MDPI16affiliation"/>
        <w:rPr>
          <w:b/>
          <w:lang w:val="es-PE"/>
        </w:rPr>
      </w:pPr>
    </w:p>
    <w:p w14:paraId="46AB6CF3" w14:textId="77777777" w:rsidR="001031FF" w:rsidRPr="00DC1405" w:rsidRDefault="001031FF" w:rsidP="00364DC6">
      <w:pPr>
        <w:pStyle w:val="MDPI16affiliation"/>
        <w:rPr>
          <w:b/>
          <w:lang w:val="es-PE"/>
        </w:rPr>
      </w:pPr>
    </w:p>
    <w:p w14:paraId="6954C83C" w14:textId="77777777" w:rsidR="001031FF" w:rsidRPr="00DC1405" w:rsidRDefault="001031FF" w:rsidP="00364DC6">
      <w:pPr>
        <w:pStyle w:val="MDPI16affiliation"/>
        <w:rPr>
          <w:b/>
          <w:lang w:val="es-PE"/>
        </w:rPr>
      </w:pPr>
    </w:p>
    <w:p w14:paraId="36EED715" w14:textId="77777777" w:rsidR="001031FF" w:rsidRPr="00DC1405" w:rsidRDefault="001031FF" w:rsidP="00364DC6">
      <w:pPr>
        <w:pStyle w:val="MDPI16affiliation"/>
        <w:rPr>
          <w:b/>
          <w:lang w:val="es-PE"/>
        </w:rPr>
      </w:pPr>
    </w:p>
    <w:p w14:paraId="2BC8A4C6" w14:textId="77777777" w:rsidR="001031FF" w:rsidRPr="00DC1405" w:rsidRDefault="001031FF" w:rsidP="00364DC6">
      <w:pPr>
        <w:pStyle w:val="MDPI16affiliation"/>
        <w:rPr>
          <w:b/>
          <w:lang w:val="es-PE"/>
        </w:rPr>
      </w:pPr>
    </w:p>
    <w:p w14:paraId="2206A525" w14:textId="77777777" w:rsidR="001031FF" w:rsidRPr="00DC1405" w:rsidRDefault="001031FF" w:rsidP="00364DC6">
      <w:pPr>
        <w:pStyle w:val="MDPI16affiliation"/>
        <w:rPr>
          <w:b/>
          <w:lang w:val="es-PE"/>
        </w:rPr>
      </w:pPr>
    </w:p>
    <w:p w14:paraId="690A46B3" w14:textId="4A473D7C" w:rsidR="006A4EF7" w:rsidRPr="00DC1405" w:rsidRDefault="006A4EF7" w:rsidP="00364DC6">
      <w:pPr>
        <w:pStyle w:val="MDPI16affiliation"/>
        <w:rPr>
          <w:b/>
          <w:lang w:val="es-PE"/>
        </w:rPr>
      </w:pPr>
    </w:p>
    <w:p w14:paraId="2A0E8C93" w14:textId="0B33A4AB" w:rsidR="006A4EF7" w:rsidRPr="00DC1405" w:rsidRDefault="006A4EF7" w:rsidP="00364DC6">
      <w:pPr>
        <w:pStyle w:val="MDPI16affiliation"/>
        <w:rPr>
          <w:b/>
          <w:lang w:val="es-PE"/>
        </w:rPr>
      </w:pPr>
    </w:p>
    <w:p w14:paraId="5740EF9D" w14:textId="71353C6A" w:rsidR="006A4EF7" w:rsidRPr="00DC1405" w:rsidRDefault="006A4EF7" w:rsidP="00364DC6">
      <w:pPr>
        <w:pStyle w:val="MDPI16affiliation"/>
        <w:rPr>
          <w:b/>
          <w:lang w:val="es-PE"/>
        </w:rPr>
      </w:pPr>
    </w:p>
    <w:p w14:paraId="225B9B4E" w14:textId="2F61CF49" w:rsidR="006A4EF7" w:rsidRPr="00DC1405" w:rsidRDefault="006A4EF7" w:rsidP="00364DC6">
      <w:pPr>
        <w:pStyle w:val="MDPI16affiliation"/>
        <w:rPr>
          <w:b/>
          <w:lang w:val="es-PE"/>
        </w:rPr>
      </w:pPr>
    </w:p>
    <w:p w14:paraId="181CA71F" w14:textId="059689BD" w:rsidR="00994880" w:rsidRPr="00392CD0" w:rsidRDefault="00994880" w:rsidP="00A90C11">
      <w:pPr>
        <w:pStyle w:val="MDPI62BackMatter"/>
        <w:ind w:left="0"/>
        <w:rPr>
          <w:b/>
          <w:sz w:val="28"/>
          <w:szCs w:val="32"/>
        </w:rPr>
      </w:pPr>
      <w:r w:rsidRPr="00392CD0">
        <w:rPr>
          <w:b/>
          <w:sz w:val="28"/>
          <w:szCs w:val="32"/>
        </w:rPr>
        <w:lastRenderedPageBreak/>
        <w:t>Supplementary material</w:t>
      </w:r>
    </w:p>
    <w:p w14:paraId="0678989E" w14:textId="3A016145" w:rsidR="00FE59C4" w:rsidRPr="00392CD0" w:rsidRDefault="005464B5" w:rsidP="008535D2">
      <w:pPr>
        <w:pStyle w:val="MDPI62BackMatter"/>
        <w:numPr>
          <w:ilvl w:val="0"/>
          <w:numId w:val="25"/>
        </w:numPr>
        <w:rPr>
          <w:bCs/>
          <w:sz w:val="22"/>
          <w:szCs w:val="24"/>
        </w:rPr>
      </w:pPr>
      <w:r w:rsidRPr="00392CD0">
        <w:rPr>
          <w:b/>
          <w:sz w:val="22"/>
          <w:szCs w:val="24"/>
        </w:rPr>
        <w:t xml:space="preserve">Table S1. </w:t>
      </w:r>
      <w:r w:rsidR="00FE59C4" w:rsidRPr="00392CD0">
        <w:rPr>
          <w:b/>
          <w:sz w:val="22"/>
          <w:szCs w:val="24"/>
        </w:rPr>
        <w:t>PRISMA Checklist</w:t>
      </w:r>
      <w:r w:rsidR="00FE59C4" w:rsidRPr="00392CD0">
        <w:rPr>
          <w:bCs/>
          <w:sz w:val="22"/>
          <w:szCs w:val="24"/>
        </w:rPr>
        <w:t xml:space="preserve"> (PRISMA 2020 Main Checklist and PRIMSA Abstract Checklist)</w:t>
      </w:r>
    </w:p>
    <w:p w14:paraId="4D9B4ABB" w14:textId="2ECFF679" w:rsidR="00994880" w:rsidRPr="00392CD0" w:rsidRDefault="00123558" w:rsidP="008535D2">
      <w:pPr>
        <w:pStyle w:val="MDPI62BackMatter"/>
        <w:numPr>
          <w:ilvl w:val="0"/>
          <w:numId w:val="25"/>
        </w:numPr>
        <w:rPr>
          <w:bCs/>
          <w:sz w:val="22"/>
          <w:szCs w:val="24"/>
        </w:rPr>
      </w:pPr>
      <w:r w:rsidRPr="00392CD0">
        <w:rPr>
          <w:b/>
          <w:sz w:val="22"/>
          <w:szCs w:val="24"/>
        </w:rPr>
        <w:t>Table</w:t>
      </w:r>
      <w:r w:rsidR="00D14D6E" w:rsidRPr="00392CD0">
        <w:rPr>
          <w:b/>
          <w:sz w:val="22"/>
          <w:szCs w:val="24"/>
        </w:rPr>
        <w:t xml:space="preserve"> S2</w:t>
      </w:r>
      <w:r w:rsidRPr="00392CD0">
        <w:rPr>
          <w:b/>
          <w:sz w:val="22"/>
          <w:szCs w:val="24"/>
        </w:rPr>
        <w:t>.</w:t>
      </w:r>
      <w:r w:rsidRPr="00392CD0">
        <w:rPr>
          <w:bCs/>
          <w:sz w:val="22"/>
          <w:szCs w:val="24"/>
        </w:rPr>
        <w:t xml:space="preserve"> The adjusted search terms as per searched electronic databases.</w:t>
      </w:r>
    </w:p>
    <w:p w14:paraId="167760A0" w14:textId="2E64865F" w:rsidR="00123558" w:rsidRPr="00392CD0" w:rsidRDefault="00123558" w:rsidP="008535D2">
      <w:pPr>
        <w:pStyle w:val="MDPI62BackMatter"/>
        <w:numPr>
          <w:ilvl w:val="0"/>
          <w:numId w:val="25"/>
        </w:numPr>
        <w:rPr>
          <w:bCs/>
          <w:sz w:val="22"/>
          <w:szCs w:val="24"/>
        </w:rPr>
      </w:pPr>
      <w:r w:rsidRPr="00392CD0">
        <w:rPr>
          <w:b/>
          <w:sz w:val="22"/>
          <w:szCs w:val="24"/>
        </w:rPr>
        <w:t>Table</w:t>
      </w:r>
      <w:r w:rsidR="00D14D6E" w:rsidRPr="00392CD0">
        <w:rPr>
          <w:b/>
          <w:sz w:val="22"/>
          <w:szCs w:val="24"/>
        </w:rPr>
        <w:t xml:space="preserve"> S3</w:t>
      </w:r>
      <w:r w:rsidRPr="00392CD0">
        <w:rPr>
          <w:b/>
          <w:sz w:val="22"/>
          <w:szCs w:val="24"/>
        </w:rPr>
        <w:t>.</w:t>
      </w:r>
      <w:r w:rsidRPr="00392CD0">
        <w:rPr>
          <w:bCs/>
          <w:sz w:val="22"/>
          <w:szCs w:val="24"/>
        </w:rPr>
        <w:t xml:space="preserve"> Quality of the included studies</w:t>
      </w:r>
    </w:p>
    <w:p w14:paraId="7EBEA839" w14:textId="05F9AB58" w:rsidR="00CB0920" w:rsidRPr="00392CD0" w:rsidRDefault="00CB0920" w:rsidP="00CB0920">
      <w:pPr>
        <w:pStyle w:val="MDPI62BackMatter"/>
        <w:numPr>
          <w:ilvl w:val="0"/>
          <w:numId w:val="25"/>
        </w:numPr>
        <w:rPr>
          <w:bCs/>
          <w:sz w:val="22"/>
          <w:szCs w:val="24"/>
        </w:rPr>
      </w:pPr>
      <w:r w:rsidRPr="00392CD0">
        <w:rPr>
          <w:b/>
          <w:bCs/>
          <w:sz w:val="22"/>
          <w:szCs w:val="24"/>
        </w:rPr>
        <w:t>Figure S1</w:t>
      </w:r>
      <w:r w:rsidRPr="00392CD0">
        <w:rPr>
          <w:bCs/>
          <w:sz w:val="22"/>
          <w:szCs w:val="24"/>
        </w:rPr>
        <w:t>: Forest plot illustrating the combined prevalence of vaccine refusal against monkeypox.</w:t>
      </w:r>
    </w:p>
    <w:p w14:paraId="199D1F64" w14:textId="1764B5A4" w:rsidR="00285438" w:rsidRPr="00392CD0" w:rsidRDefault="00285438" w:rsidP="00285438">
      <w:pPr>
        <w:pStyle w:val="MDPI62BackMatter"/>
        <w:numPr>
          <w:ilvl w:val="0"/>
          <w:numId w:val="25"/>
        </w:numPr>
        <w:rPr>
          <w:bCs/>
          <w:sz w:val="22"/>
          <w:szCs w:val="24"/>
        </w:rPr>
      </w:pPr>
      <w:r w:rsidRPr="00392CD0">
        <w:rPr>
          <w:b/>
          <w:bCs/>
          <w:sz w:val="22"/>
          <w:szCs w:val="24"/>
        </w:rPr>
        <w:t>Figure S2.</w:t>
      </w:r>
      <w:r w:rsidRPr="00392CD0">
        <w:rPr>
          <w:bCs/>
          <w:sz w:val="22"/>
          <w:szCs w:val="24"/>
        </w:rPr>
        <w:t xml:space="preserve"> Forest plot illustrating the prevalence of monkeypox vaccination intention among according to continents.</w:t>
      </w:r>
    </w:p>
    <w:p w14:paraId="0022C3C8" w14:textId="0C7E88E8" w:rsidR="00D56C99" w:rsidRPr="00392CD0" w:rsidRDefault="00D56C99" w:rsidP="00D56C99">
      <w:pPr>
        <w:pStyle w:val="MDPI62BackMatter"/>
        <w:numPr>
          <w:ilvl w:val="0"/>
          <w:numId w:val="25"/>
        </w:numPr>
        <w:rPr>
          <w:bCs/>
          <w:sz w:val="22"/>
          <w:szCs w:val="24"/>
        </w:rPr>
      </w:pPr>
      <w:r w:rsidRPr="00392CD0">
        <w:rPr>
          <w:b/>
          <w:bCs/>
          <w:sz w:val="22"/>
          <w:szCs w:val="24"/>
        </w:rPr>
        <w:t>Figure S3.</w:t>
      </w:r>
      <w:r w:rsidRPr="00392CD0">
        <w:rPr>
          <w:bCs/>
          <w:sz w:val="22"/>
          <w:szCs w:val="24"/>
        </w:rPr>
        <w:t xml:space="preserve"> Forest plot illustrating the prevalence of monkeypox vaccination rejection among according to continents.</w:t>
      </w:r>
    </w:p>
    <w:p w14:paraId="0AE265A7" w14:textId="06239205" w:rsidR="00DF7BFB" w:rsidRPr="00392CD0" w:rsidRDefault="00DF7BFB" w:rsidP="00DF7BFB">
      <w:pPr>
        <w:pStyle w:val="MDPI62BackMatter"/>
        <w:numPr>
          <w:ilvl w:val="0"/>
          <w:numId w:val="25"/>
        </w:numPr>
        <w:rPr>
          <w:bCs/>
          <w:sz w:val="22"/>
          <w:szCs w:val="24"/>
        </w:rPr>
      </w:pPr>
      <w:r w:rsidRPr="00392CD0">
        <w:rPr>
          <w:b/>
          <w:bCs/>
          <w:sz w:val="22"/>
          <w:szCs w:val="24"/>
        </w:rPr>
        <w:t>Figure S4</w:t>
      </w:r>
      <w:r w:rsidRPr="00392CD0">
        <w:rPr>
          <w:bCs/>
          <w:sz w:val="22"/>
          <w:szCs w:val="24"/>
        </w:rPr>
        <w:t>. Forest plot illustrating the prevalence of monkeypox vaccination intention among study subjects.</w:t>
      </w:r>
    </w:p>
    <w:p w14:paraId="277D5FEE" w14:textId="706127AD" w:rsidR="00747664" w:rsidRPr="00392CD0" w:rsidRDefault="00747664" w:rsidP="00747664">
      <w:pPr>
        <w:pStyle w:val="MDPI62BackMatter"/>
        <w:numPr>
          <w:ilvl w:val="0"/>
          <w:numId w:val="25"/>
        </w:numPr>
        <w:rPr>
          <w:bCs/>
          <w:sz w:val="22"/>
          <w:szCs w:val="24"/>
        </w:rPr>
      </w:pPr>
      <w:r w:rsidRPr="00392CD0">
        <w:rPr>
          <w:b/>
          <w:bCs/>
          <w:sz w:val="22"/>
          <w:szCs w:val="24"/>
        </w:rPr>
        <w:t>Figure S5</w:t>
      </w:r>
      <w:r w:rsidRPr="00392CD0">
        <w:rPr>
          <w:bCs/>
          <w:sz w:val="22"/>
          <w:szCs w:val="24"/>
        </w:rPr>
        <w:t>. Forest plot illustrating the prevalence of monkeypox vaccination rejection among study subjects.</w:t>
      </w:r>
    </w:p>
    <w:p w14:paraId="19274D41" w14:textId="1EBD1981" w:rsidR="00123558" w:rsidRPr="00392CD0" w:rsidRDefault="00B65085" w:rsidP="008535D2">
      <w:pPr>
        <w:pStyle w:val="MDPI62BackMatter"/>
        <w:numPr>
          <w:ilvl w:val="0"/>
          <w:numId w:val="25"/>
        </w:numPr>
        <w:rPr>
          <w:b/>
          <w:sz w:val="22"/>
          <w:szCs w:val="24"/>
        </w:rPr>
      </w:pPr>
      <w:r w:rsidRPr="00392CD0">
        <w:rPr>
          <w:b/>
          <w:sz w:val="22"/>
          <w:szCs w:val="24"/>
        </w:rPr>
        <w:t>References</w:t>
      </w:r>
    </w:p>
    <w:p w14:paraId="01AB5840" w14:textId="77777777" w:rsidR="00123558" w:rsidRDefault="00123558" w:rsidP="00A90C11">
      <w:pPr>
        <w:pStyle w:val="MDPI62BackMatter"/>
        <w:ind w:left="0"/>
        <w:rPr>
          <w:bCs/>
        </w:rPr>
      </w:pPr>
    </w:p>
    <w:p w14:paraId="38842DD5" w14:textId="77777777" w:rsidR="00123558" w:rsidRDefault="00123558" w:rsidP="00A90C11">
      <w:pPr>
        <w:pStyle w:val="MDPI62BackMatter"/>
        <w:ind w:left="0"/>
        <w:rPr>
          <w:bCs/>
        </w:rPr>
      </w:pPr>
    </w:p>
    <w:p w14:paraId="26130D7A" w14:textId="77777777" w:rsidR="00123558" w:rsidRDefault="00123558" w:rsidP="00A90C11">
      <w:pPr>
        <w:pStyle w:val="MDPI62BackMatter"/>
        <w:ind w:left="0"/>
        <w:rPr>
          <w:bCs/>
        </w:rPr>
      </w:pPr>
    </w:p>
    <w:p w14:paraId="3A0E4752" w14:textId="77777777" w:rsidR="00123558" w:rsidRDefault="00123558" w:rsidP="00A90C11">
      <w:pPr>
        <w:pStyle w:val="MDPI62BackMatter"/>
        <w:ind w:left="0"/>
        <w:rPr>
          <w:bCs/>
        </w:rPr>
      </w:pPr>
    </w:p>
    <w:p w14:paraId="473EC67B" w14:textId="77777777" w:rsidR="00123558" w:rsidRDefault="00123558" w:rsidP="00A90C11">
      <w:pPr>
        <w:pStyle w:val="MDPI62BackMatter"/>
        <w:ind w:left="0"/>
        <w:rPr>
          <w:bCs/>
        </w:rPr>
      </w:pPr>
    </w:p>
    <w:p w14:paraId="1A4CBF62" w14:textId="77777777" w:rsidR="00123558" w:rsidRDefault="00123558" w:rsidP="00A90C11">
      <w:pPr>
        <w:pStyle w:val="MDPI62BackMatter"/>
        <w:ind w:left="0"/>
        <w:rPr>
          <w:bCs/>
        </w:rPr>
      </w:pPr>
    </w:p>
    <w:p w14:paraId="578081D7" w14:textId="77777777" w:rsidR="00123558" w:rsidRDefault="00123558" w:rsidP="00A90C11">
      <w:pPr>
        <w:pStyle w:val="MDPI62BackMatter"/>
        <w:ind w:left="0"/>
        <w:rPr>
          <w:bCs/>
        </w:rPr>
      </w:pPr>
    </w:p>
    <w:p w14:paraId="7C2D379C" w14:textId="77777777" w:rsidR="00123558" w:rsidRDefault="00123558" w:rsidP="00A90C11">
      <w:pPr>
        <w:pStyle w:val="MDPI62BackMatter"/>
        <w:ind w:left="0"/>
        <w:rPr>
          <w:bCs/>
        </w:rPr>
      </w:pPr>
    </w:p>
    <w:p w14:paraId="47A3B36A" w14:textId="77777777" w:rsidR="00123558" w:rsidRDefault="00123558" w:rsidP="00A90C11">
      <w:pPr>
        <w:pStyle w:val="MDPI62BackMatter"/>
        <w:ind w:left="0"/>
        <w:rPr>
          <w:bCs/>
        </w:rPr>
      </w:pPr>
    </w:p>
    <w:p w14:paraId="618B2EB5" w14:textId="77777777" w:rsidR="00123558" w:rsidRDefault="00123558" w:rsidP="00A90C11">
      <w:pPr>
        <w:pStyle w:val="MDPI62BackMatter"/>
        <w:ind w:left="0"/>
        <w:rPr>
          <w:bCs/>
        </w:rPr>
      </w:pPr>
    </w:p>
    <w:p w14:paraId="13770DE4" w14:textId="77777777" w:rsidR="00123558" w:rsidRDefault="00123558" w:rsidP="00A90C11">
      <w:pPr>
        <w:pStyle w:val="MDPI62BackMatter"/>
        <w:ind w:left="0"/>
        <w:rPr>
          <w:bCs/>
        </w:rPr>
      </w:pPr>
    </w:p>
    <w:p w14:paraId="5087189C" w14:textId="77777777" w:rsidR="00123558" w:rsidRDefault="00123558" w:rsidP="00A90C11">
      <w:pPr>
        <w:pStyle w:val="MDPI62BackMatter"/>
        <w:ind w:left="0"/>
        <w:rPr>
          <w:bCs/>
        </w:rPr>
      </w:pPr>
    </w:p>
    <w:p w14:paraId="389DC705" w14:textId="77777777" w:rsidR="00123558" w:rsidRDefault="00123558" w:rsidP="00A90C11">
      <w:pPr>
        <w:pStyle w:val="MDPI62BackMatter"/>
        <w:ind w:left="0"/>
        <w:rPr>
          <w:bCs/>
        </w:rPr>
      </w:pPr>
    </w:p>
    <w:p w14:paraId="59CA3309" w14:textId="77777777" w:rsidR="00123558" w:rsidRDefault="00123558" w:rsidP="00A90C11">
      <w:pPr>
        <w:pStyle w:val="MDPI62BackMatter"/>
        <w:ind w:left="0"/>
        <w:rPr>
          <w:bCs/>
        </w:rPr>
      </w:pPr>
    </w:p>
    <w:p w14:paraId="5E4EA030" w14:textId="77777777" w:rsidR="00123558" w:rsidRDefault="00123558" w:rsidP="00A90C11">
      <w:pPr>
        <w:pStyle w:val="MDPI62BackMatter"/>
        <w:ind w:left="0"/>
        <w:rPr>
          <w:bCs/>
        </w:rPr>
      </w:pPr>
    </w:p>
    <w:p w14:paraId="6635ADEC" w14:textId="77777777" w:rsidR="00123558" w:rsidRDefault="00123558" w:rsidP="00A90C11">
      <w:pPr>
        <w:pStyle w:val="MDPI62BackMatter"/>
        <w:ind w:left="0"/>
        <w:rPr>
          <w:bCs/>
        </w:rPr>
      </w:pPr>
    </w:p>
    <w:p w14:paraId="1D4BE86A" w14:textId="77777777" w:rsidR="00123558" w:rsidRDefault="00123558" w:rsidP="00A90C11">
      <w:pPr>
        <w:pStyle w:val="MDPI62BackMatter"/>
        <w:ind w:left="0"/>
        <w:rPr>
          <w:bCs/>
        </w:rPr>
      </w:pPr>
    </w:p>
    <w:p w14:paraId="572C0BDA" w14:textId="77777777" w:rsidR="00123558" w:rsidRDefault="00123558" w:rsidP="00A90C11">
      <w:pPr>
        <w:pStyle w:val="MDPI62BackMatter"/>
        <w:ind w:left="0"/>
        <w:rPr>
          <w:bCs/>
        </w:rPr>
      </w:pPr>
    </w:p>
    <w:p w14:paraId="6B41EE50" w14:textId="77777777" w:rsidR="00123558" w:rsidRDefault="00123558" w:rsidP="00A90C11">
      <w:pPr>
        <w:pStyle w:val="MDPI62BackMatter"/>
        <w:ind w:left="0"/>
        <w:rPr>
          <w:bCs/>
        </w:rPr>
      </w:pPr>
    </w:p>
    <w:p w14:paraId="1BE2A418" w14:textId="77777777" w:rsidR="00123558" w:rsidRDefault="00123558" w:rsidP="00A90C11">
      <w:pPr>
        <w:pStyle w:val="MDPI62BackMatter"/>
        <w:ind w:left="0"/>
        <w:rPr>
          <w:bCs/>
        </w:rPr>
      </w:pPr>
    </w:p>
    <w:p w14:paraId="71067C0C" w14:textId="77777777" w:rsidR="00123558" w:rsidRDefault="00123558" w:rsidP="00A90C11">
      <w:pPr>
        <w:pStyle w:val="MDPI62BackMatter"/>
        <w:ind w:left="0"/>
        <w:rPr>
          <w:bCs/>
        </w:rPr>
      </w:pPr>
    </w:p>
    <w:p w14:paraId="2ADB9BC0" w14:textId="77777777" w:rsidR="00123558" w:rsidRDefault="00123558" w:rsidP="00A90C11">
      <w:pPr>
        <w:pStyle w:val="MDPI62BackMatter"/>
        <w:ind w:left="0"/>
        <w:rPr>
          <w:bCs/>
        </w:rPr>
      </w:pPr>
    </w:p>
    <w:p w14:paraId="13700BC3" w14:textId="77777777" w:rsidR="00123558" w:rsidRDefault="00123558" w:rsidP="00A90C11">
      <w:pPr>
        <w:pStyle w:val="MDPI62BackMatter"/>
        <w:ind w:left="0"/>
        <w:rPr>
          <w:bCs/>
        </w:rPr>
      </w:pPr>
    </w:p>
    <w:p w14:paraId="49605D49" w14:textId="363EB108" w:rsidR="008535D2" w:rsidRPr="002F0B92" w:rsidRDefault="00BB12D6" w:rsidP="002F0B92">
      <w:pPr>
        <w:pStyle w:val="MDPI62BackMatter"/>
        <w:ind w:left="0"/>
        <w:jc w:val="center"/>
        <w:rPr>
          <w:bCs/>
          <w:sz w:val="22"/>
          <w:szCs w:val="24"/>
        </w:rPr>
      </w:pPr>
      <w:r w:rsidRPr="002F0B92">
        <w:rPr>
          <w:b/>
          <w:sz w:val="22"/>
          <w:szCs w:val="24"/>
        </w:rPr>
        <w:lastRenderedPageBreak/>
        <w:t xml:space="preserve">Table S1. </w:t>
      </w:r>
      <w:r w:rsidR="008535D2" w:rsidRPr="002F0B92">
        <w:rPr>
          <w:b/>
          <w:sz w:val="22"/>
          <w:szCs w:val="24"/>
        </w:rPr>
        <w:t>PRISMA Checklist</w:t>
      </w:r>
      <w:r w:rsidR="00D14D6E" w:rsidRPr="002F0B92">
        <w:rPr>
          <w:bCs/>
          <w:sz w:val="22"/>
          <w:szCs w:val="24"/>
        </w:rPr>
        <w:t xml:space="preserve"> </w:t>
      </w:r>
      <w:r w:rsidR="008535D2" w:rsidRPr="002F0B92">
        <w:rPr>
          <w:bCs/>
          <w:sz w:val="22"/>
          <w:szCs w:val="24"/>
        </w:rPr>
        <w:t>(PRISMA 2020 Main Checklist and PRIMSA Abstract Checklist)</w:t>
      </w:r>
    </w:p>
    <w:p w14:paraId="2B9E9994" w14:textId="77777777" w:rsidR="00F76882" w:rsidRPr="00F76882" w:rsidRDefault="00F76882" w:rsidP="00F76882">
      <w:pPr>
        <w:pStyle w:val="Ttulo1"/>
        <w:rPr>
          <w:rFonts w:ascii="Times New Roman" w:hAnsi="Times New Roman" w:cs="Times New Roman"/>
          <w:sz w:val="22"/>
          <w:szCs w:val="22"/>
        </w:rPr>
      </w:pPr>
      <w:bookmarkStart w:id="2" w:name="prisma-2020-main-checklist"/>
      <w:r w:rsidRPr="00F76882">
        <w:rPr>
          <w:rFonts w:ascii="Times New Roman" w:hAnsi="Times New Roman" w:cs="Times New Roman"/>
          <w:sz w:val="22"/>
          <w:szCs w:val="22"/>
        </w:rPr>
        <w:t>PRISMA 2020 Main Checklist</w:t>
      </w:r>
    </w:p>
    <w:tbl>
      <w:tblPr>
        <w:tblW w:w="0" w:type="auto"/>
        <w:jc w:val="center"/>
        <w:tblLook w:val="0420" w:firstRow="1" w:lastRow="0" w:firstColumn="0" w:lastColumn="0" w:noHBand="0" w:noVBand="1"/>
      </w:tblPr>
      <w:tblGrid>
        <w:gridCol w:w="1984"/>
        <w:gridCol w:w="470"/>
        <w:gridCol w:w="4847"/>
        <w:gridCol w:w="1183"/>
      </w:tblGrid>
      <w:tr w:rsidR="00F76882" w:rsidRPr="00F07F60" w14:paraId="1BC1BBBD" w14:textId="77777777" w:rsidTr="008143C9">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7E76A033"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27ECB1C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3E6CCC7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6EED2C19"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b/>
                <w:color w:val="FFFFFF"/>
                <w:sz w:val="18"/>
                <w:szCs w:val="18"/>
              </w:rPr>
              <w:t>Location where item is reported</w:t>
            </w:r>
          </w:p>
        </w:tc>
      </w:tr>
      <w:tr w:rsidR="00F76882" w:rsidRPr="00F07F60" w14:paraId="62E45C64"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24BF07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TITLE</w:t>
            </w:r>
          </w:p>
        </w:tc>
        <w:tc>
          <w:tcPr>
            <w:tcW w:w="0" w:type="auto"/>
            <w:shd w:val="clear" w:color="auto" w:fill="FFFFCC"/>
            <w:tcMar>
              <w:top w:w="0" w:type="dxa"/>
              <w:left w:w="0" w:type="dxa"/>
              <w:bottom w:w="0" w:type="dxa"/>
              <w:right w:w="0" w:type="dxa"/>
            </w:tcMar>
          </w:tcPr>
          <w:p w14:paraId="6655D967"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06823723"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4C89F0B6"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0390930E"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DB9663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Title</w:t>
            </w:r>
          </w:p>
        </w:tc>
        <w:tc>
          <w:tcPr>
            <w:tcW w:w="0" w:type="auto"/>
            <w:shd w:val="clear" w:color="auto" w:fill="FFFFFF"/>
            <w:tcMar>
              <w:top w:w="0" w:type="dxa"/>
              <w:left w:w="0" w:type="dxa"/>
              <w:bottom w:w="0" w:type="dxa"/>
              <w:right w:w="0" w:type="dxa"/>
            </w:tcMar>
          </w:tcPr>
          <w:p w14:paraId="7C92DF1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w:t>
            </w:r>
          </w:p>
        </w:tc>
        <w:tc>
          <w:tcPr>
            <w:tcW w:w="0" w:type="auto"/>
            <w:shd w:val="clear" w:color="auto" w:fill="FFFFFF"/>
            <w:tcMar>
              <w:top w:w="0" w:type="dxa"/>
              <w:left w:w="0" w:type="dxa"/>
              <w:bottom w:w="0" w:type="dxa"/>
              <w:right w:w="0" w:type="dxa"/>
            </w:tcMar>
          </w:tcPr>
          <w:p w14:paraId="2985351F"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7653AFE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w:t>
            </w:r>
          </w:p>
        </w:tc>
      </w:tr>
      <w:tr w:rsidR="00F76882" w:rsidRPr="00F07F60" w14:paraId="7F577828"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5C663B0E"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ABSTRACT</w:t>
            </w:r>
          </w:p>
        </w:tc>
        <w:tc>
          <w:tcPr>
            <w:tcW w:w="0" w:type="auto"/>
            <w:shd w:val="clear" w:color="auto" w:fill="FFFFCC"/>
            <w:tcMar>
              <w:top w:w="0" w:type="dxa"/>
              <w:left w:w="0" w:type="dxa"/>
              <w:bottom w:w="0" w:type="dxa"/>
              <w:right w:w="0" w:type="dxa"/>
            </w:tcMar>
          </w:tcPr>
          <w:p w14:paraId="58F4600D"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3215B601"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05F411B1"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764781EF"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9A993F6"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Abstract</w:t>
            </w:r>
          </w:p>
        </w:tc>
        <w:tc>
          <w:tcPr>
            <w:tcW w:w="0" w:type="auto"/>
            <w:shd w:val="clear" w:color="auto" w:fill="FFFFFF"/>
            <w:tcMar>
              <w:top w:w="0" w:type="dxa"/>
              <w:left w:w="0" w:type="dxa"/>
              <w:bottom w:w="0" w:type="dxa"/>
              <w:right w:w="0" w:type="dxa"/>
            </w:tcMar>
          </w:tcPr>
          <w:p w14:paraId="599E20E7"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w:t>
            </w:r>
          </w:p>
        </w:tc>
        <w:tc>
          <w:tcPr>
            <w:tcW w:w="0" w:type="auto"/>
            <w:shd w:val="clear" w:color="auto" w:fill="FFFFFF"/>
            <w:tcMar>
              <w:top w:w="0" w:type="dxa"/>
              <w:left w:w="0" w:type="dxa"/>
              <w:bottom w:w="0" w:type="dxa"/>
              <w:right w:w="0" w:type="dxa"/>
            </w:tcMar>
          </w:tcPr>
          <w:p w14:paraId="22612446"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03B9498E"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0FC21CAF"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0509441"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INTRODUCTION</w:t>
            </w:r>
          </w:p>
        </w:tc>
        <w:tc>
          <w:tcPr>
            <w:tcW w:w="0" w:type="auto"/>
            <w:shd w:val="clear" w:color="auto" w:fill="FFFFCC"/>
            <w:tcMar>
              <w:top w:w="0" w:type="dxa"/>
              <w:left w:w="0" w:type="dxa"/>
              <w:bottom w:w="0" w:type="dxa"/>
              <w:right w:w="0" w:type="dxa"/>
            </w:tcMar>
          </w:tcPr>
          <w:p w14:paraId="1E5440C8"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2145F0DB"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1335BDE1"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2466985A"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4D3250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Rationale</w:t>
            </w:r>
          </w:p>
        </w:tc>
        <w:tc>
          <w:tcPr>
            <w:tcW w:w="0" w:type="auto"/>
            <w:shd w:val="clear" w:color="auto" w:fill="FFFFFF"/>
            <w:tcMar>
              <w:top w:w="0" w:type="dxa"/>
              <w:left w:w="0" w:type="dxa"/>
              <w:bottom w:w="0" w:type="dxa"/>
              <w:right w:w="0" w:type="dxa"/>
            </w:tcMar>
          </w:tcPr>
          <w:p w14:paraId="5340C4B4"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c>
          <w:tcPr>
            <w:tcW w:w="0" w:type="auto"/>
            <w:shd w:val="clear" w:color="auto" w:fill="FFFFFF"/>
            <w:tcMar>
              <w:top w:w="0" w:type="dxa"/>
              <w:left w:w="0" w:type="dxa"/>
              <w:bottom w:w="0" w:type="dxa"/>
              <w:right w:w="0" w:type="dxa"/>
            </w:tcMar>
          </w:tcPr>
          <w:p w14:paraId="76C6FF9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4B48014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w:t>
            </w:r>
          </w:p>
        </w:tc>
      </w:tr>
      <w:tr w:rsidR="00F76882" w:rsidRPr="00F07F60" w14:paraId="2BC01417"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EF8313"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Objectives</w:t>
            </w:r>
          </w:p>
        </w:tc>
        <w:tc>
          <w:tcPr>
            <w:tcW w:w="0" w:type="auto"/>
            <w:shd w:val="clear" w:color="auto" w:fill="FFFFFF"/>
            <w:tcMar>
              <w:top w:w="0" w:type="dxa"/>
              <w:left w:w="0" w:type="dxa"/>
              <w:bottom w:w="0" w:type="dxa"/>
              <w:right w:w="0" w:type="dxa"/>
            </w:tcMar>
          </w:tcPr>
          <w:p w14:paraId="1584233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c>
          <w:tcPr>
            <w:tcW w:w="0" w:type="auto"/>
            <w:shd w:val="clear" w:color="auto" w:fill="FFFFFF"/>
            <w:tcMar>
              <w:top w:w="0" w:type="dxa"/>
              <w:left w:w="0" w:type="dxa"/>
              <w:bottom w:w="0" w:type="dxa"/>
              <w:right w:w="0" w:type="dxa"/>
            </w:tcMar>
          </w:tcPr>
          <w:p w14:paraId="0948522C"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36851D4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2-3</w:t>
            </w:r>
          </w:p>
        </w:tc>
      </w:tr>
      <w:tr w:rsidR="00F76882" w:rsidRPr="00F07F60" w14:paraId="52708921"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2CF892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METHODS</w:t>
            </w:r>
          </w:p>
        </w:tc>
        <w:tc>
          <w:tcPr>
            <w:tcW w:w="0" w:type="auto"/>
            <w:shd w:val="clear" w:color="auto" w:fill="FFFFCC"/>
            <w:tcMar>
              <w:top w:w="0" w:type="dxa"/>
              <w:left w:w="0" w:type="dxa"/>
              <w:bottom w:w="0" w:type="dxa"/>
              <w:right w:w="0" w:type="dxa"/>
            </w:tcMar>
          </w:tcPr>
          <w:p w14:paraId="6ECD6BFD"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59B4CC69"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0812C086"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33E8C7D2"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2499686"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Eligibility criteria</w:t>
            </w:r>
          </w:p>
        </w:tc>
        <w:tc>
          <w:tcPr>
            <w:tcW w:w="0" w:type="auto"/>
            <w:shd w:val="clear" w:color="auto" w:fill="FFFFFF"/>
            <w:tcMar>
              <w:top w:w="0" w:type="dxa"/>
              <w:left w:w="0" w:type="dxa"/>
              <w:bottom w:w="0" w:type="dxa"/>
              <w:right w:w="0" w:type="dxa"/>
            </w:tcMar>
          </w:tcPr>
          <w:p w14:paraId="1C205CD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c>
          <w:tcPr>
            <w:tcW w:w="0" w:type="auto"/>
            <w:shd w:val="clear" w:color="auto" w:fill="FFFFFF"/>
            <w:tcMar>
              <w:top w:w="0" w:type="dxa"/>
              <w:left w:w="0" w:type="dxa"/>
              <w:bottom w:w="0" w:type="dxa"/>
              <w:right w:w="0" w:type="dxa"/>
            </w:tcMar>
          </w:tcPr>
          <w:p w14:paraId="2097370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64267F2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r>
      <w:tr w:rsidR="00F76882" w:rsidRPr="00F07F60" w14:paraId="6B64A052"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446962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Information sources</w:t>
            </w:r>
          </w:p>
        </w:tc>
        <w:tc>
          <w:tcPr>
            <w:tcW w:w="0" w:type="auto"/>
            <w:shd w:val="clear" w:color="auto" w:fill="FFFFFF"/>
            <w:tcMar>
              <w:top w:w="0" w:type="dxa"/>
              <w:left w:w="0" w:type="dxa"/>
              <w:bottom w:w="0" w:type="dxa"/>
              <w:right w:w="0" w:type="dxa"/>
            </w:tcMar>
          </w:tcPr>
          <w:p w14:paraId="22FB78B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6</w:t>
            </w:r>
          </w:p>
        </w:tc>
        <w:tc>
          <w:tcPr>
            <w:tcW w:w="0" w:type="auto"/>
            <w:shd w:val="clear" w:color="auto" w:fill="FFFFFF"/>
            <w:tcMar>
              <w:top w:w="0" w:type="dxa"/>
              <w:left w:w="0" w:type="dxa"/>
              <w:bottom w:w="0" w:type="dxa"/>
              <w:right w:w="0" w:type="dxa"/>
            </w:tcMar>
          </w:tcPr>
          <w:p w14:paraId="2451D0F4"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71C9F262"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r>
      <w:tr w:rsidR="00F76882" w:rsidRPr="00F07F60" w14:paraId="2DC45C98"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675A69"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Search strategy</w:t>
            </w:r>
          </w:p>
        </w:tc>
        <w:tc>
          <w:tcPr>
            <w:tcW w:w="0" w:type="auto"/>
            <w:shd w:val="clear" w:color="auto" w:fill="FFFFFF"/>
            <w:tcMar>
              <w:top w:w="0" w:type="dxa"/>
              <w:left w:w="0" w:type="dxa"/>
              <w:bottom w:w="0" w:type="dxa"/>
              <w:right w:w="0" w:type="dxa"/>
            </w:tcMar>
          </w:tcPr>
          <w:p w14:paraId="2E0421E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7</w:t>
            </w:r>
          </w:p>
        </w:tc>
        <w:tc>
          <w:tcPr>
            <w:tcW w:w="0" w:type="auto"/>
            <w:shd w:val="clear" w:color="auto" w:fill="FFFFFF"/>
            <w:tcMar>
              <w:top w:w="0" w:type="dxa"/>
              <w:left w:w="0" w:type="dxa"/>
              <w:bottom w:w="0" w:type="dxa"/>
              <w:right w:w="0" w:type="dxa"/>
            </w:tcMar>
          </w:tcPr>
          <w:p w14:paraId="6F9621E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6D9FFD4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r>
      <w:tr w:rsidR="00F76882" w:rsidRPr="00F07F60" w14:paraId="7CC3C2E2"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120F7E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Selection process</w:t>
            </w:r>
          </w:p>
        </w:tc>
        <w:tc>
          <w:tcPr>
            <w:tcW w:w="0" w:type="auto"/>
            <w:shd w:val="clear" w:color="auto" w:fill="FFFFFF"/>
            <w:tcMar>
              <w:top w:w="0" w:type="dxa"/>
              <w:left w:w="0" w:type="dxa"/>
              <w:bottom w:w="0" w:type="dxa"/>
              <w:right w:w="0" w:type="dxa"/>
            </w:tcMar>
          </w:tcPr>
          <w:p w14:paraId="48D42E97"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8</w:t>
            </w:r>
          </w:p>
        </w:tc>
        <w:tc>
          <w:tcPr>
            <w:tcW w:w="0" w:type="auto"/>
            <w:shd w:val="clear" w:color="auto" w:fill="FFFFFF"/>
            <w:tcMar>
              <w:top w:w="0" w:type="dxa"/>
              <w:left w:w="0" w:type="dxa"/>
              <w:bottom w:w="0" w:type="dxa"/>
              <w:right w:w="0" w:type="dxa"/>
            </w:tcMar>
          </w:tcPr>
          <w:p w14:paraId="0F0C3B7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6352DBB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r>
      <w:tr w:rsidR="00F76882" w:rsidRPr="00F07F60" w14:paraId="5B0EC8D3"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D185C46"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Data collection process</w:t>
            </w:r>
          </w:p>
        </w:tc>
        <w:tc>
          <w:tcPr>
            <w:tcW w:w="0" w:type="auto"/>
            <w:shd w:val="clear" w:color="auto" w:fill="FFFFFF"/>
            <w:tcMar>
              <w:top w:w="0" w:type="dxa"/>
              <w:left w:w="0" w:type="dxa"/>
              <w:bottom w:w="0" w:type="dxa"/>
              <w:right w:w="0" w:type="dxa"/>
            </w:tcMar>
          </w:tcPr>
          <w:p w14:paraId="2A98D328"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9</w:t>
            </w:r>
          </w:p>
        </w:tc>
        <w:tc>
          <w:tcPr>
            <w:tcW w:w="0" w:type="auto"/>
            <w:shd w:val="clear" w:color="auto" w:fill="FFFFFF"/>
            <w:tcMar>
              <w:top w:w="0" w:type="dxa"/>
              <w:left w:w="0" w:type="dxa"/>
              <w:bottom w:w="0" w:type="dxa"/>
              <w:right w:w="0" w:type="dxa"/>
            </w:tcMar>
          </w:tcPr>
          <w:p w14:paraId="43E9646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6BBD5FB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597B9C40"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13B278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Data items</w:t>
            </w:r>
          </w:p>
        </w:tc>
        <w:tc>
          <w:tcPr>
            <w:tcW w:w="0" w:type="auto"/>
            <w:shd w:val="clear" w:color="auto" w:fill="FFFFFF"/>
            <w:tcMar>
              <w:top w:w="0" w:type="dxa"/>
              <w:left w:w="0" w:type="dxa"/>
              <w:bottom w:w="0" w:type="dxa"/>
              <w:right w:w="0" w:type="dxa"/>
            </w:tcMar>
          </w:tcPr>
          <w:p w14:paraId="3568874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10a</w:t>
            </w:r>
          </w:p>
        </w:tc>
        <w:tc>
          <w:tcPr>
            <w:tcW w:w="0" w:type="auto"/>
            <w:shd w:val="clear" w:color="auto" w:fill="FFFFFF"/>
            <w:tcMar>
              <w:top w:w="0" w:type="dxa"/>
              <w:left w:w="0" w:type="dxa"/>
              <w:bottom w:w="0" w:type="dxa"/>
              <w:right w:w="0" w:type="dxa"/>
            </w:tcMar>
          </w:tcPr>
          <w:p w14:paraId="061AF78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5396C11F"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2E2D80C8"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62622DB"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30142312"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10b</w:t>
            </w:r>
          </w:p>
        </w:tc>
        <w:tc>
          <w:tcPr>
            <w:tcW w:w="0" w:type="auto"/>
            <w:shd w:val="clear" w:color="auto" w:fill="FFFFFF"/>
            <w:tcMar>
              <w:top w:w="0" w:type="dxa"/>
              <w:left w:w="0" w:type="dxa"/>
              <w:bottom w:w="0" w:type="dxa"/>
              <w:right w:w="0" w:type="dxa"/>
            </w:tcMar>
          </w:tcPr>
          <w:p w14:paraId="0F923897"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7791C488"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4B0A35CE"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2B23760"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Study risk of bias assessment</w:t>
            </w:r>
          </w:p>
        </w:tc>
        <w:tc>
          <w:tcPr>
            <w:tcW w:w="0" w:type="auto"/>
            <w:shd w:val="clear" w:color="auto" w:fill="FFFFFF"/>
            <w:tcMar>
              <w:top w:w="0" w:type="dxa"/>
              <w:left w:w="0" w:type="dxa"/>
              <w:bottom w:w="0" w:type="dxa"/>
              <w:right w:w="0" w:type="dxa"/>
            </w:tcMar>
          </w:tcPr>
          <w:p w14:paraId="2A0312A0"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11</w:t>
            </w:r>
          </w:p>
        </w:tc>
        <w:tc>
          <w:tcPr>
            <w:tcW w:w="0" w:type="auto"/>
            <w:shd w:val="clear" w:color="auto" w:fill="FFFFFF"/>
            <w:tcMar>
              <w:top w:w="0" w:type="dxa"/>
              <w:left w:w="0" w:type="dxa"/>
              <w:bottom w:w="0" w:type="dxa"/>
              <w:right w:w="0" w:type="dxa"/>
            </w:tcMar>
          </w:tcPr>
          <w:p w14:paraId="52EE592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1CDFA6AE"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7D17A054"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1BEFC72"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Effect measures</w:t>
            </w:r>
          </w:p>
        </w:tc>
        <w:tc>
          <w:tcPr>
            <w:tcW w:w="0" w:type="auto"/>
            <w:shd w:val="clear" w:color="auto" w:fill="FFFFFF"/>
            <w:tcMar>
              <w:top w:w="0" w:type="dxa"/>
              <w:left w:w="0" w:type="dxa"/>
              <w:bottom w:w="0" w:type="dxa"/>
              <w:right w:w="0" w:type="dxa"/>
            </w:tcMar>
          </w:tcPr>
          <w:p w14:paraId="76E78EB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12</w:t>
            </w:r>
          </w:p>
        </w:tc>
        <w:tc>
          <w:tcPr>
            <w:tcW w:w="0" w:type="auto"/>
            <w:shd w:val="clear" w:color="auto" w:fill="FFFFFF"/>
            <w:tcMar>
              <w:top w:w="0" w:type="dxa"/>
              <w:left w:w="0" w:type="dxa"/>
              <w:bottom w:w="0" w:type="dxa"/>
              <w:right w:w="0" w:type="dxa"/>
            </w:tcMar>
          </w:tcPr>
          <w:p w14:paraId="2C5B9CA9"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5195DBA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7606543F"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6EA57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Synthesis methods</w:t>
            </w:r>
          </w:p>
        </w:tc>
        <w:tc>
          <w:tcPr>
            <w:tcW w:w="0" w:type="auto"/>
            <w:shd w:val="clear" w:color="auto" w:fill="FFFFFF"/>
            <w:tcMar>
              <w:top w:w="0" w:type="dxa"/>
              <w:left w:w="0" w:type="dxa"/>
              <w:bottom w:w="0" w:type="dxa"/>
              <w:right w:w="0" w:type="dxa"/>
            </w:tcMar>
          </w:tcPr>
          <w:p w14:paraId="45CF605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13a</w:t>
            </w:r>
          </w:p>
        </w:tc>
        <w:tc>
          <w:tcPr>
            <w:tcW w:w="0" w:type="auto"/>
            <w:shd w:val="clear" w:color="auto" w:fill="FFFFFF"/>
            <w:tcMar>
              <w:top w:w="0" w:type="dxa"/>
              <w:left w:w="0" w:type="dxa"/>
              <w:bottom w:w="0" w:type="dxa"/>
              <w:right w:w="0" w:type="dxa"/>
            </w:tcMar>
          </w:tcPr>
          <w:p w14:paraId="3FAF985C"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4E74E87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2508B712" w14:textId="77777777" w:rsidTr="008143C9">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6BDAF83C"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4A71FFA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13b</w:t>
            </w:r>
          </w:p>
        </w:tc>
        <w:tc>
          <w:tcPr>
            <w:tcW w:w="0" w:type="auto"/>
            <w:shd w:val="clear" w:color="auto" w:fill="FFFFFF"/>
            <w:tcMar>
              <w:top w:w="0" w:type="dxa"/>
              <w:left w:w="0" w:type="dxa"/>
              <w:bottom w:w="0" w:type="dxa"/>
              <w:right w:w="0" w:type="dxa"/>
            </w:tcMar>
          </w:tcPr>
          <w:p w14:paraId="126A364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0FB16F5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1746C799"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A63E0F0"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44B9484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13c</w:t>
            </w:r>
          </w:p>
        </w:tc>
        <w:tc>
          <w:tcPr>
            <w:tcW w:w="0" w:type="auto"/>
            <w:shd w:val="clear" w:color="auto" w:fill="FFFFFF"/>
            <w:tcMar>
              <w:top w:w="0" w:type="dxa"/>
              <w:left w:w="0" w:type="dxa"/>
              <w:bottom w:w="0" w:type="dxa"/>
              <w:right w:w="0" w:type="dxa"/>
            </w:tcMar>
          </w:tcPr>
          <w:p w14:paraId="1315C320"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44EB707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4CCDC74E"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1163F2CE"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4266817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13d</w:t>
            </w:r>
          </w:p>
        </w:tc>
        <w:tc>
          <w:tcPr>
            <w:tcW w:w="0" w:type="auto"/>
            <w:shd w:val="clear" w:color="auto" w:fill="FFFFFF"/>
            <w:tcMar>
              <w:top w:w="0" w:type="dxa"/>
              <w:left w:w="0" w:type="dxa"/>
              <w:bottom w:w="0" w:type="dxa"/>
              <w:right w:w="0" w:type="dxa"/>
            </w:tcMar>
          </w:tcPr>
          <w:p w14:paraId="718231CF"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2ABDC22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3308E8AD"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D63C837"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4804A76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13e</w:t>
            </w:r>
          </w:p>
        </w:tc>
        <w:tc>
          <w:tcPr>
            <w:tcW w:w="0" w:type="auto"/>
            <w:shd w:val="clear" w:color="auto" w:fill="FFFFFF"/>
            <w:tcMar>
              <w:top w:w="0" w:type="dxa"/>
              <w:left w:w="0" w:type="dxa"/>
              <w:bottom w:w="0" w:type="dxa"/>
              <w:right w:w="0" w:type="dxa"/>
            </w:tcMar>
          </w:tcPr>
          <w:p w14:paraId="7596971E"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2D305A67"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09458213"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7D304B8"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7568F8CF"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13f</w:t>
            </w:r>
          </w:p>
        </w:tc>
        <w:tc>
          <w:tcPr>
            <w:tcW w:w="0" w:type="auto"/>
            <w:shd w:val="clear" w:color="auto" w:fill="FFFFFF"/>
            <w:tcMar>
              <w:top w:w="0" w:type="dxa"/>
              <w:left w:w="0" w:type="dxa"/>
              <w:bottom w:w="0" w:type="dxa"/>
              <w:right w:w="0" w:type="dxa"/>
            </w:tcMar>
          </w:tcPr>
          <w:p w14:paraId="571E01A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35333A04"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7B683275"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A9BC57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Reporting bias assessment</w:t>
            </w:r>
          </w:p>
        </w:tc>
        <w:tc>
          <w:tcPr>
            <w:tcW w:w="0" w:type="auto"/>
            <w:shd w:val="clear" w:color="auto" w:fill="FFFFFF"/>
            <w:tcMar>
              <w:top w:w="0" w:type="dxa"/>
              <w:left w:w="0" w:type="dxa"/>
              <w:bottom w:w="0" w:type="dxa"/>
              <w:right w:w="0" w:type="dxa"/>
            </w:tcMar>
          </w:tcPr>
          <w:p w14:paraId="54F3CA7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14</w:t>
            </w:r>
          </w:p>
        </w:tc>
        <w:tc>
          <w:tcPr>
            <w:tcW w:w="0" w:type="auto"/>
            <w:shd w:val="clear" w:color="auto" w:fill="FFFFFF"/>
            <w:tcMar>
              <w:top w:w="0" w:type="dxa"/>
              <w:left w:w="0" w:type="dxa"/>
              <w:bottom w:w="0" w:type="dxa"/>
              <w:right w:w="0" w:type="dxa"/>
            </w:tcMar>
          </w:tcPr>
          <w:p w14:paraId="27AAF559"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6493210F"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5A2DD4BD"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764B5E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Certainty assessment</w:t>
            </w:r>
          </w:p>
        </w:tc>
        <w:tc>
          <w:tcPr>
            <w:tcW w:w="0" w:type="auto"/>
            <w:shd w:val="clear" w:color="auto" w:fill="FFFFFF"/>
            <w:tcMar>
              <w:top w:w="0" w:type="dxa"/>
              <w:left w:w="0" w:type="dxa"/>
              <w:bottom w:w="0" w:type="dxa"/>
              <w:right w:w="0" w:type="dxa"/>
            </w:tcMar>
          </w:tcPr>
          <w:p w14:paraId="1DA43604"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15</w:t>
            </w:r>
          </w:p>
        </w:tc>
        <w:tc>
          <w:tcPr>
            <w:tcW w:w="0" w:type="auto"/>
            <w:shd w:val="clear" w:color="auto" w:fill="FFFFFF"/>
            <w:tcMar>
              <w:top w:w="0" w:type="dxa"/>
              <w:left w:w="0" w:type="dxa"/>
              <w:bottom w:w="0" w:type="dxa"/>
              <w:right w:w="0" w:type="dxa"/>
            </w:tcMar>
          </w:tcPr>
          <w:p w14:paraId="3FB90707"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384F6DA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2D913318"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B473E4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RESULTS</w:t>
            </w:r>
          </w:p>
        </w:tc>
        <w:tc>
          <w:tcPr>
            <w:tcW w:w="0" w:type="auto"/>
            <w:shd w:val="clear" w:color="auto" w:fill="FFFFCC"/>
            <w:tcMar>
              <w:top w:w="0" w:type="dxa"/>
              <w:left w:w="0" w:type="dxa"/>
              <w:bottom w:w="0" w:type="dxa"/>
              <w:right w:w="0" w:type="dxa"/>
            </w:tcMar>
          </w:tcPr>
          <w:p w14:paraId="672D5860"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51A43D41"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24CED369"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5027FAA7"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661F24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Study selection</w:t>
            </w:r>
          </w:p>
        </w:tc>
        <w:tc>
          <w:tcPr>
            <w:tcW w:w="0" w:type="auto"/>
            <w:shd w:val="clear" w:color="auto" w:fill="FFFFFF"/>
            <w:tcMar>
              <w:top w:w="0" w:type="dxa"/>
              <w:left w:w="0" w:type="dxa"/>
              <w:bottom w:w="0" w:type="dxa"/>
              <w:right w:w="0" w:type="dxa"/>
            </w:tcMar>
          </w:tcPr>
          <w:p w14:paraId="6698E12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16a</w:t>
            </w:r>
          </w:p>
        </w:tc>
        <w:tc>
          <w:tcPr>
            <w:tcW w:w="0" w:type="auto"/>
            <w:shd w:val="clear" w:color="auto" w:fill="FFFFFF"/>
            <w:tcMar>
              <w:top w:w="0" w:type="dxa"/>
              <w:left w:w="0" w:type="dxa"/>
              <w:bottom w:w="0" w:type="dxa"/>
              <w:right w:w="0" w:type="dxa"/>
            </w:tcMar>
          </w:tcPr>
          <w:p w14:paraId="1202F1C3"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16016FB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0D3E9D63"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8C7A878"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0E96C83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16b</w:t>
            </w:r>
          </w:p>
        </w:tc>
        <w:tc>
          <w:tcPr>
            <w:tcW w:w="0" w:type="auto"/>
            <w:shd w:val="clear" w:color="auto" w:fill="FFFFFF"/>
            <w:tcMar>
              <w:top w:w="0" w:type="dxa"/>
              <w:left w:w="0" w:type="dxa"/>
              <w:bottom w:w="0" w:type="dxa"/>
              <w:right w:w="0" w:type="dxa"/>
            </w:tcMar>
          </w:tcPr>
          <w:p w14:paraId="498C419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24BD4CF8"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r>
      <w:tr w:rsidR="00F76882" w:rsidRPr="00F07F60" w14:paraId="63A6A672"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628A9E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lastRenderedPageBreak/>
              <w:t>Study characteristics</w:t>
            </w:r>
          </w:p>
        </w:tc>
        <w:tc>
          <w:tcPr>
            <w:tcW w:w="0" w:type="auto"/>
            <w:shd w:val="clear" w:color="auto" w:fill="FFFFFF"/>
            <w:tcMar>
              <w:top w:w="0" w:type="dxa"/>
              <w:left w:w="0" w:type="dxa"/>
              <w:bottom w:w="0" w:type="dxa"/>
              <w:right w:w="0" w:type="dxa"/>
            </w:tcMar>
          </w:tcPr>
          <w:p w14:paraId="510A823E"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17</w:t>
            </w:r>
          </w:p>
        </w:tc>
        <w:tc>
          <w:tcPr>
            <w:tcW w:w="0" w:type="auto"/>
            <w:shd w:val="clear" w:color="auto" w:fill="FFFFFF"/>
            <w:tcMar>
              <w:top w:w="0" w:type="dxa"/>
              <w:left w:w="0" w:type="dxa"/>
              <w:bottom w:w="0" w:type="dxa"/>
              <w:right w:w="0" w:type="dxa"/>
            </w:tcMar>
          </w:tcPr>
          <w:p w14:paraId="1B336C60"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1ED16F47"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5738EEA7"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B4C5156"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Risk of bias in studies</w:t>
            </w:r>
          </w:p>
        </w:tc>
        <w:tc>
          <w:tcPr>
            <w:tcW w:w="0" w:type="auto"/>
            <w:shd w:val="clear" w:color="auto" w:fill="FFFFFF"/>
            <w:tcMar>
              <w:top w:w="0" w:type="dxa"/>
              <w:left w:w="0" w:type="dxa"/>
              <w:bottom w:w="0" w:type="dxa"/>
              <w:right w:w="0" w:type="dxa"/>
            </w:tcMar>
          </w:tcPr>
          <w:p w14:paraId="09D915A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18</w:t>
            </w:r>
          </w:p>
        </w:tc>
        <w:tc>
          <w:tcPr>
            <w:tcW w:w="0" w:type="auto"/>
            <w:shd w:val="clear" w:color="auto" w:fill="FFFFFF"/>
            <w:tcMar>
              <w:top w:w="0" w:type="dxa"/>
              <w:left w:w="0" w:type="dxa"/>
              <w:bottom w:w="0" w:type="dxa"/>
              <w:right w:w="0" w:type="dxa"/>
            </w:tcMar>
          </w:tcPr>
          <w:p w14:paraId="681F7C9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1AFC2C37"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0C5BE4E7"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E28711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Results of individual studies</w:t>
            </w:r>
          </w:p>
        </w:tc>
        <w:tc>
          <w:tcPr>
            <w:tcW w:w="0" w:type="auto"/>
            <w:shd w:val="clear" w:color="auto" w:fill="FFFFFF"/>
            <w:tcMar>
              <w:top w:w="0" w:type="dxa"/>
              <w:left w:w="0" w:type="dxa"/>
              <w:bottom w:w="0" w:type="dxa"/>
              <w:right w:w="0" w:type="dxa"/>
            </w:tcMar>
          </w:tcPr>
          <w:p w14:paraId="3087FCF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19</w:t>
            </w:r>
          </w:p>
        </w:tc>
        <w:tc>
          <w:tcPr>
            <w:tcW w:w="0" w:type="auto"/>
            <w:shd w:val="clear" w:color="auto" w:fill="FFFFFF"/>
            <w:tcMar>
              <w:top w:w="0" w:type="dxa"/>
              <w:left w:w="0" w:type="dxa"/>
              <w:bottom w:w="0" w:type="dxa"/>
              <w:right w:w="0" w:type="dxa"/>
            </w:tcMar>
          </w:tcPr>
          <w:p w14:paraId="6C014A21"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0885B420"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087691D5"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C692B04"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Results of syntheses</w:t>
            </w:r>
          </w:p>
        </w:tc>
        <w:tc>
          <w:tcPr>
            <w:tcW w:w="0" w:type="auto"/>
            <w:shd w:val="clear" w:color="auto" w:fill="FFFFFF"/>
            <w:tcMar>
              <w:top w:w="0" w:type="dxa"/>
              <w:left w:w="0" w:type="dxa"/>
              <w:bottom w:w="0" w:type="dxa"/>
              <w:right w:w="0" w:type="dxa"/>
            </w:tcMar>
          </w:tcPr>
          <w:p w14:paraId="29A3FBA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20a</w:t>
            </w:r>
          </w:p>
        </w:tc>
        <w:tc>
          <w:tcPr>
            <w:tcW w:w="0" w:type="auto"/>
            <w:shd w:val="clear" w:color="auto" w:fill="FFFFFF"/>
            <w:tcMar>
              <w:top w:w="0" w:type="dxa"/>
              <w:left w:w="0" w:type="dxa"/>
              <w:bottom w:w="0" w:type="dxa"/>
              <w:right w:w="0" w:type="dxa"/>
            </w:tcMar>
          </w:tcPr>
          <w:p w14:paraId="12FA7FF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2F0C5DC8"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41285685" w14:textId="77777777" w:rsidTr="008143C9">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47C5597E"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79070AB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20b</w:t>
            </w:r>
          </w:p>
        </w:tc>
        <w:tc>
          <w:tcPr>
            <w:tcW w:w="0" w:type="auto"/>
            <w:shd w:val="clear" w:color="auto" w:fill="FFFFFF"/>
            <w:tcMar>
              <w:top w:w="0" w:type="dxa"/>
              <w:left w:w="0" w:type="dxa"/>
              <w:bottom w:w="0" w:type="dxa"/>
              <w:right w:w="0" w:type="dxa"/>
            </w:tcMar>
          </w:tcPr>
          <w:p w14:paraId="1E3212E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020CD3D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36097348"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38BFD9E"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6C8D63F2"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20c</w:t>
            </w:r>
          </w:p>
        </w:tc>
        <w:tc>
          <w:tcPr>
            <w:tcW w:w="0" w:type="auto"/>
            <w:shd w:val="clear" w:color="auto" w:fill="FFFFFF"/>
            <w:tcMar>
              <w:top w:w="0" w:type="dxa"/>
              <w:left w:w="0" w:type="dxa"/>
              <w:bottom w:w="0" w:type="dxa"/>
              <w:right w:w="0" w:type="dxa"/>
            </w:tcMar>
          </w:tcPr>
          <w:p w14:paraId="07403B0C"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4625DFD9"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4C8D1C41"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39856C4"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26456D3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20d</w:t>
            </w:r>
          </w:p>
        </w:tc>
        <w:tc>
          <w:tcPr>
            <w:tcW w:w="0" w:type="auto"/>
            <w:shd w:val="clear" w:color="auto" w:fill="FFFFFF"/>
            <w:tcMar>
              <w:top w:w="0" w:type="dxa"/>
              <w:left w:w="0" w:type="dxa"/>
              <w:bottom w:w="0" w:type="dxa"/>
              <w:right w:w="0" w:type="dxa"/>
            </w:tcMar>
          </w:tcPr>
          <w:p w14:paraId="507C239C"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456EF3D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5C7B12A4"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C81B657"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Reporting biases</w:t>
            </w:r>
          </w:p>
        </w:tc>
        <w:tc>
          <w:tcPr>
            <w:tcW w:w="0" w:type="auto"/>
            <w:shd w:val="clear" w:color="auto" w:fill="FFFFFF"/>
            <w:tcMar>
              <w:top w:w="0" w:type="dxa"/>
              <w:left w:w="0" w:type="dxa"/>
              <w:bottom w:w="0" w:type="dxa"/>
              <w:right w:w="0" w:type="dxa"/>
            </w:tcMar>
          </w:tcPr>
          <w:p w14:paraId="773D017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21</w:t>
            </w:r>
          </w:p>
        </w:tc>
        <w:tc>
          <w:tcPr>
            <w:tcW w:w="0" w:type="auto"/>
            <w:shd w:val="clear" w:color="auto" w:fill="FFFFFF"/>
            <w:tcMar>
              <w:top w:w="0" w:type="dxa"/>
              <w:left w:w="0" w:type="dxa"/>
              <w:bottom w:w="0" w:type="dxa"/>
              <w:right w:w="0" w:type="dxa"/>
            </w:tcMar>
          </w:tcPr>
          <w:p w14:paraId="7A6D441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4CD9D988"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601BEA18"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8870E6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Certainty of evidence</w:t>
            </w:r>
          </w:p>
        </w:tc>
        <w:tc>
          <w:tcPr>
            <w:tcW w:w="0" w:type="auto"/>
            <w:shd w:val="clear" w:color="auto" w:fill="FFFFFF"/>
            <w:tcMar>
              <w:top w:w="0" w:type="dxa"/>
              <w:left w:w="0" w:type="dxa"/>
              <w:bottom w:w="0" w:type="dxa"/>
              <w:right w:w="0" w:type="dxa"/>
            </w:tcMar>
          </w:tcPr>
          <w:p w14:paraId="70410DD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22</w:t>
            </w:r>
          </w:p>
        </w:tc>
        <w:tc>
          <w:tcPr>
            <w:tcW w:w="0" w:type="auto"/>
            <w:shd w:val="clear" w:color="auto" w:fill="FFFFFF"/>
            <w:tcMar>
              <w:top w:w="0" w:type="dxa"/>
              <w:left w:w="0" w:type="dxa"/>
              <w:bottom w:w="0" w:type="dxa"/>
              <w:right w:w="0" w:type="dxa"/>
            </w:tcMar>
          </w:tcPr>
          <w:p w14:paraId="0ABCCB66"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07D3B6E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r>
      <w:tr w:rsidR="00F76882" w:rsidRPr="00F07F60" w14:paraId="76804EF3"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9F08D70"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DISCUSSION</w:t>
            </w:r>
          </w:p>
        </w:tc>
        <w:tc>
          <w:tcPr>
            <w:tcW w:w="0" w:type="auto"/>
            <w:shd w:val="clear" w:color="auto" w:fill="FFFFCC"/>
            <w:tcMar>
              <w:top w:w="0" w:type="dxa"/>
              <w:left w:w="0" w:type="dxa"/>
              <w:bottom w:w="0" w:type="dxa"/>
              <w:right w:w="0" w:type="dxa"/>
            </w:tcMar>
          </w:tcPr>
          <w:p w14:paraId="0C6EB8B0"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0EAFF7DB"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0FC43DB7"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39C6F4BE"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361A65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Discussion</w:t>
            </w:r>
          </w:p>
        </w:tc>
        <w:tc>
          <w:tcPr>
            <w:tcW w:w="0" w:type="auto"/>
            <w:shd w:val="clear" w:color="auto" w:fill="FFFFFF"/>
            <w:tcMar>
              <w:top w:w="0" w:type="dxa"/>
              <w:left w:w="0" w:type="dxa"/>
              <w:bottom w:w="0" w:type="dxa"/>
              <w:right w:w="0" w:type="dxa"/>
            </w:tcMar>
          </w:tcPr>
          <w:p w14:paraId="4436CDA4"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23a</w:t>
            </w:r>
          </w:p>
        </w:tc>
        <w:tc>
          <w:tcPr>
            <w:tcW w:w="0" w:type="auto"/>
            <w:shd w:val="clear" w:color="auto" w:fill="FFFFFF"/>
            <w:tcMar>
              <w:top w:w="0" w:type="dxa"/>
              <w:left w:w="0" w:type="dxa"/>
              <w:bottom w:w="0" w:type="dxa"/>
              <w:right w:w="0" w:type="dxa"/>
            </w:tcMar>
          </w:tcPr>
          <w:p w14:paraId="057BE05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7C5A9304"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6</w:t>
            </w:r>
          </w:p>
        </w:tc>
      </w:tr>
      <w:tr w:rsidR="00F76882" w:rsidRPr="00F07F60" w14:paraId="21BF626A" w14:textId="77777777" w:rsidTr="008143C9">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0A7F345"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662C542A"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23b</w:t>
            </w:r>
          </w:p>
        </w:tc>
        <w:tc>
          <w:tcPr>
            <w:tcW w:w="0" w:type="auto"/>
            <w:shd w:val="clear" w:color="auto" w:fill="FFFFFF"/>
            <w:tcMar>
              <w:top w:w="0" w:type="dxa"/>
              <w:left w:w="0" w:type="dxa"/>
              <w:bottom w:w="0" w:type="dxa"/>
              <w:right w:w="0" w:type="dxa"/>
            </w:tcMar>
          </w:tcPr>
          <w:p w14:paraId="4DA5AEA4"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6829AC2E"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6</w:t>
            </w:r>
          </w:p>
        </w:tc>
      </w:tr>
      <w:tr w:rsidR="00F76882" w:rsidRPr="00F07F60" w14:paraId="17BDBFC5"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62F4018"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1DBAAC6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23c</w:t>
            </w:r>
          </w:p>
        </w:tc>
        <w:tc>
          <w:tcPr>
            <w:tcW w:w="0" w:type="auto"/>
            <w:shd w:val="clear" w:color="auto" w:fill="FFFFFF"/>
            <w:tcMar>
              <w:top w:w="0" w:type="dxa"/>
              <w:left w:w="0" w:type="dxa"/>
              <w:bottom w:w="0" w:type="dxa"/>
              <w:right w:w="0" w:type="dxa"/>
            </w:tcMar>
          </w:tcPr>
          <w:p w14:paraId="1D75343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3461671E"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7</w:t>
            </w:r>
          </w:p>
        </w:tc>
      </w:tr>
      <w:tr w:rsidR="00F76882" w:rsidRPr="00F07F60" w14:paraId="3E15FCCF"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572A22F"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79C4D90F"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23d</w:t>
            </w:r>
          </w:p>
        </w:tc>
        <w:tc>
          <w:tcPr>
            <w:tcW w:w="0" w:type="auto"/>
            <w:shd w:val="clear" w:color="auto" w:fill="FFFFFF"/>
            <w:tcMar>
              <w:top w:w="0" w:type="dxa"/>
              <w:left w:w="0" w:type="dxa"/>
              <w:bottom w:w="0" w:type="dxa"/>
              <w:right w:w="0" w:type="dxa"/>
            </w:tcMar>
          </w:tcPr>
          <w:p w14:paraId="0FC81B8C"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0AD5908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7</w:t>
            </w:r>
          </w:p>
        </w:tc>
      </w:tr>
      <w:tr w:rsidR="00F76882" w:rsidRPr="00F07F60" w14:paraId="6AF32D0E"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C90576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OTHER INFORMATION</w:t>
            </w:r>
          </w:p>
        </w:tc>
        <w:tc>
          <w:tcPr>
            <w:tcW w:w="0" w:type="auto"/>
            <w:shd w:val="clear" w:color="auto" w:fill="FFFFCC"/>
            <w:tcMar>
              <w:top w:w="0" w:type="dxa"/>
              <w:left w:w="0" w:type="dxa"/>
              <w:bottom w:w="0" w:type="dxa"/>
              <w:right w:w="0" w:type="dxa"/>
            </w:tcMar>
          </w:tcPr>
          <w:p w14:paraId="7876122F"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64A49A5F"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19C30DC0"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568C545B"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1455A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Registration and protocol</w:t>
            </w:r>
          </w:p>
        </w:tc>
        <w:tc>
          <w:tcPr>
            <w:tcW w:w="0" w:type="auto"/>
            <w:shd w:val="clear" w:color="auto" w:fill="FFFFFF"/>
            <w:tcMar>
              <w:top w:w="0" w:type="dxa"/>
              <w:left w:w="0" w:type="dxa"/>
              <w:bottom w:w="0" w:type="dxa"/>
              <w:right w:w="0" w:type="dxa"/>
            </w:tcMar>
          </w:tcPr>
          <w:p w14:paraId="3D274408"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24a</w:t>
            </w:r>
          </w:p>
        </w:tc>
        <w:tc>
          <w:tcPr>
            <w:tcW w:w="0" w:type="auto"/>
            <w:shd w:val="clear" w:color="auto" w:fill="FFFFFF"/>
            <w:tcMar>
              <w:top w:w="0" w:type="dxa"/>
              <w:left w:w="0" w:type="dxa"/>
              <w:bottom w:w="0" w:type="dxa"/>
              <w:right w:w="0" w:type="dxa"/>
            </w:tcMar>
          </w:tcPr>
          <w:p w14:paraId="2669C89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4342037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r>
      <w:tr w:rsidR="00F76882" w:rsidRPr="00F07F60" w14:paraId="6305DAFF" w14:textId="77777777" w:rsidTr="008143C9">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608D1C9F"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208FD96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24b</w:t>
            </w:r>
          </w:p>
        </w:tc>
        <w:tc>
          <w:tcPr>
            <w:tcW w:w="0" w:type="auto"/>
            <w:shd w:val="clear" w:color="auto" w:fill="FFFFFF"/>
            <w:tcMar>
              <w:top w:w="0" w:type="dxa"/>
              <w:left w:w="0" w:type="dxa"/>
              <w:bottom w:w="0" w:type="dxa"/>
              <w:right w:w="0" w:type="dxa"/>
            </w:tcMar>
          </w:tcPr>
          <w:p w14:paraId="49931B01"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2B7FDB1E"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r>
      <w:tr w:rsidR="00F76882" w:rsidRPr="00F07F60" w14:paraId="39D646C6" w14:textId="77777777" w:rsidTr="008143C9">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2AF6551" w14:textId="77777777" w:rsidR="00F76882" w:rsidRPr="00F07F60" w:rsidRDefault="00F76882" w:rsidP="008143C9">
            <w:pPr>
              <w:spacing w:before="100" w:after="100"/>
              <w:ind w:left="100" w:right="100"/>
              <w:rPr>
                <w:rFonts w:ascii="Times New Roman" w:hAnsi="Times New Roman"/>
              </w:rPr>
            </w:pPr>
          </w:p>
        </w:tc>
        <w:tc>
          <w:tcPr>
            <w:tcW w:w="0" w:type="auto"/>
            <w:shd w:val="clear" w:color="auto" w:fill="FFFFFF"/>
            <w:tcMar>
              <w:top w:w="0" w:type="dxa"/>
              <w:left w:w="0" w:type="dxa"/>
              <w:bottom w:w="0" w:type="dxa"/>
              <w:right w:w="0" w:type="dxa"/>
            </w:tcMar>
          </w:tcPr>
          <w:p w14:paraId="4DCEB7D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24c</w:t>
            </w:r>
          </w:p>
        </w:tc>
        <w:tc>
          <w:tcPr>
            <w:tcW w:w="0" w:type="auto"/>
            <w:shd w:val="clear" w:color="auto" w:fill="FFFFFF"/>
            <w:tcMar>
              <w:top w:w="0" w:type="dxa"/>
              <w:left w:w="0" w:type="dxa"/>
              <w:bottom w:w="0" w:type="dxa"/>
              <w:right w:w="0" w:type="dxa"/>
            </w:tcMar>
          </w:tcPr>
          <w:p w14:paraId="0E7027E6"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7FB7662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r>
      <w:tr w:rsidR="00F76882" w:rsidRPr="00F07F60" w14:paraId="11D7279B"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C65EFB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Support</w:t>
            </w:r>
          </w:p>
        </w:tc>
        <w:tc>
          <w:tcPr>
            <w:tcW w:w="0" w:type="auto"/>
            <w:shd w:val="clear" w:color="auto" w:fill="FFFFFF"/>
            <w:tcMar>
              <w:top w:w="0" w:type="dxa"/>
              <w:left w:w="0" w:type="dxa"/>
              <w:bottom w:w="0" w:type="dxa"/>
              <w:right w:w="0" w:type="dxa"/>
            </w:tcMar>
          </w:tcPr>
          <w:p w14:paraId="1DAA6539"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25</w:t>
            </w:r>
          </w:p>
        </w:tc>
        <w:tc>
          <w:tcPr>
            <w:tcW w:w="0" w:type="auto"/>
            <w:shd w:val="clear" w:color="auto" w:fill="FFFFFF"/>
            <w:tcMar>
              <w:top w:w="0" w:type="dxa"/>
              <w:left w:w="0" w:type="dxa"/>
              <w:bottom w:w="0" w:type="dxa"/>
              <w:right w:w="0" w:type="dxa"/>
            </w:tcMar>
          </w:tcPr>
          <w:p w14:paraId="2CFA0D7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0FE2FB80"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7</w:t>
            </w:r>
          </w:p>
        </w:tc>
      </w:tr>
      <w:tr w:rsidR="00F76882" w:rsidRPr="00F07F60" w14:paraId="3E7D3232"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6173171"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Competing interests</w:t>
            </w:r>
          </w:p>
        </w:tc>
        <w:tc>
          <w:tcPr>
            <w:tcW w:w="0" w:type="auto"/>
            <w:shd w:val="clear" w:color="auto" w:fill="FFFFFF"/>
            <w:tcMar>
              <w:top w:w="0" w:type="dxa"/>
              <w:left w:w="0" w:type="dxa"/>
              <w:bottom w:w="0" w:type="dxa"/>
              <w:right w:w="0" w:type="dxa"/>
            </w:tcMar>
          </w:tcPr>
          <w:p w14:paraId="42D05E2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26</w:t>
            </w:r>
          </w:p>
        </w:tc>
        <w:tc>
          <w:tcPr>
            <w:tcW w:w="0" w:type="auto"/>
            <w:shd w:val="clear" w:color="auto" w:fill="FFFFFF"/>
            <w:tcMar>
              <w:top w:w="0" w:type="dxa"/>
              <w:left w:w="0" w:type="dxa"/>
              <w:bottom w:w="0" w:type="dxa"/>
              <w:right w:w="0" w:type="dxa"/>
            </w:tcMar>
          </w:tcPr>
          <w:p w14:paraId="4EB87DB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16BBD23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7</w:t>
            </w:r>
          </w:p>
        </w:tc>
      </w:tr>
      <w:tr w:rsidR="00F76882" w:rsidRPr="00F07F60" w14:paraId="5BF98F3B" w14:textId="77777777" w:rsidTr="008143C9">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63FB7F4E"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424FB6B1"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07207899"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03BF465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7</w:t>
            </w:r>
          </w:p>
        </w:tc>
      </w:tr>
    </w:tbl>
    <w:p w14:paraId="0FF8A34D" w14:textId="77777777" w:rsidR="00F76882" w:rsidRPr="00F07F60" w:rsidRDefault="00F76882" w:rsidP="00F76882">
      <w:pPr>
        <w:pStyle w:val="Ttulo5"/>
        <w:rPr>
          <w:rFonts w:ascii="Times New Roman" w:hAnsi="Times New Roman" w:cs="Times New Roman"/>
        </w:rPr>
      </w:pPr>
      <w:bookmarkStart w:id="3" w:name="section"/>
    </w:p>
    <w:p w14:paraId="509D84C8" w14:textId="77777777" w:rsidR="00F76882" w:rsidRPr="00F76882" w:rsidRDefault="00F76882" w:rsidP="00F76882">
      <w:pPr>
        <w:pStyle w:val="Ttulo1"/>
        <w:rPr>
          <w:rFonts w:ascii="Times New Roman" w:hAnsi="Times New Roman" w:cs="Times New Roman"/>
          <w:sz w:val="22"/>
          <w:szCs w:val="22"/>
        </w:rPr>
      </w:pPr>
      <w:bookmarkStart w:id="4" w:name="primsa-abstract-checklist"/>
      <w:bookmarkEnd w:id="2"/>
      <w:bookmarkEnd w:id="3"/>
      <w:r w:rsidRPr="00F76882">
        <w:rPr>
          <w:rFonts w:ascii="Times New Roman" w:hAnsi="Times New Roman" w:cs="Times New Roman"/>
          <w:sz w:val="22"/>
          <w:szCs w:val="22"/>
        </w:rPr>
        <w:t>PRIMSA Abstract Checklist</w:t>
      </w:r>
    </w:p>
    <w:tbl>
      <w:tblPr>
        <w:tblW w:w="0" w:type="auto"/>
        <w:jc w:val="center"/>
        <w:tblLook w:val="0420" w:firstRow="1" w:lastRow="0" w:firstColumn="0" w:lastColumn="0" w:noHBand="0" w:noVBand="1"/>
      </w:tblPr>
      <w:tblGrid>
        <w:gridCol w:w="1621"/>
        <w:gridCol w:w="465"/>
        <w:gridCol w:w="5378"/>
        <w:gridCol w:w="1020"/>
      </w:tblGrid>
      <w:tr w:rsidR="00F76882" w:rsidRPr="00F07F60" w14:paraId="20E43113" w14:textId="77777777" w:rsidTr="008143C9">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45FBD542"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9310E54"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9FFA60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7F920C0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b/>
                <w:color w:val="FFFFFF"/>
                <w:sz w:val="18"/>
                <w:szCs w:val="18"/>
              </w:rPr>
              <w:t>Reported?</w:t>
            </w:r>
          </w:p>
        </w:tc>
      </w:tr>
      <w:tr w:rsidR="00F76882" w:rsidRPr="00F07F60" w14:paraId="7A4FD61F"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D3B7925"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TITLE</w:t>
            </w:r>
          </w:p>
        </w:tc>
        <w:tc>
          <w:tcPr>
            <w:tcW w:w="0" w:type="auto"/>
            <w:shd w:val="clear" w:color="auto" w:fill="FFFFCC"/>
            <w:tcMar>
              <w:top w:w="0" w:type="dxa"/>
              <w:left w:w="0" w:type="dxa"/>
              <w:bottom w:w="0" w:type="dxa"/>
              <w:right w:w="0" w:type="dxa"/>
            </w:tcMar>
          </w:tcPr>
          <w:p w14:paraId="1DA37914"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2368B8D4"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03875837"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343F9476"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3D6608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Title</w:t>
            </w:r>
          </w:p>
        </w:tc>
        <w:tc>
          <w:tcPr>
            <w:tcW w:w="0" w:type="auto"/>
            <w:shd w:val="clear" w:color="auto" w:fill="FFFFFF"/>
            <w:tcMar>
              <w:top w:w="0" w:type="dxa"/>
              <w:left w:w="0" w:type="dxa"/>
              <w:bottom w:w="0" w:type="dxa"/>
              <w:right w:w="0" w:type="dxa"/>
            </w:tcMar>
          </w:tcPr>
          <w:p w14:paraId="324282F2"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w:t>
            </w:r>
          </w:p>
        </w:tc>
        <w:tc>
          <w:tcPr>
            <w:tcW w:w="0" w:type="auto"/>
            <w:shd w:val="clear" w:color="auto" w:fill="FFFFFF"/>
            <w:tcMar>
              <w:top w:w="0" w:type="dxa"/>
              <w:left w:w="0" w:type="dxa"/>
              <w:bottom w:w="0" w:type="dxa"/>
              <w:right w:w="0" w:type="dxa"/>
            </w:tcMar>
          </w:tcPr>
          <w:p w14:paraId="3CA65E92"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5586ED04"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20BC673E"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62F3CD3"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BACKGROUND</w:t>
            </w:r>
          </w:p>
        </w:tc>
        <w:tc>
          <w:tcPr>
            <w:tcW w:w="0" w:type="auto"/>
            <w:shd w:val="clear" w:color="auto" w:fill="FFFFCC"/>
            <w:tcMar>
              <w:top w:w="0" w:type="dxa"/>
              <w:left w:w="0" w:type="dxa"/>
              <w:bottom w:w="0" w:type="dxa"/>
              <w:right w:w="0" w:type="dxa"/>
            </w:tcMar>
          </w:tcPr>
          <w:p w14:paraId="5D3D28D7"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0E54B72B"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6303B826"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258A5629"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6D17C67"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Objectives</w:t>
            </w:r>
          </w:p>
        </w:tc>
        <w:tc>
          <w:tcPr>
            <w:tcW w:w="0" w:type="auto"/>
            <w:shd w:val="clear" w:color="auto" w:fill="FFFFFF"/>
            <w:tcMar>
              <w:top w:w="0" w:type="dxa"/>
              <w:left w:w="0" w:type="dxa"/>
              <w:bottom w:w="0" w:type="dxa"/>
              <w:right w:w="0" w:type="dxa"/>
            </w:tcMar>
          </w:tcPr>
          <w:p w14:paraId="5D9E752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2</w:t>
            </w:r>
          </w:p>
        </w:tc>
        <w:tc>
          <w:tcPr>
            <w:tcW w:w="0" w:type="auto"/>
            <w:shd w:val="clear" w:color="auto" w:fill="FFFFFF"/>
            <w:tcMar>
              <w:top w:w="0" w:type="dxa"/>
              <w:left w:w="0" w:type="dxa"/>
              <w:bottom w:w="0" w:type="dxa"/>
              <w:right w:w="0" w:type="dxa"/>
            </w:tcMar>
          </w:tcPr>
          <w:p w14:paraId="23021FA2"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23844CF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5E2625CE"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7182AF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METHODS</w:t>
            </w:r>
          </w:p>
        </w:tc>
        <w:tc>
          <w:tcPr>
            <w:tcW w:w="0" w:type="auto"/>
            <w:shd w:val="clear" w:color="auto" w:fill="FFFFCC"/>
            <w:tcMar>
              <w:top w:w="0" w:type="dxa"/>
              <w:left w:w="0" w:type="dxa"/>
              <w:bottom w:w="0" w:type="dxa"/>
              <w:right w:w="0" w:type="dxa"/>
            </w:tcMar>
          </w:tcPr>
          <w:p w14:paraId="0535889F"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71C70065"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7A670B37"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472F3DDB"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8852E2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Eligibility criteria</w:t>
            </w:r>
          </w:p>
        </w:tc>
        <w:tc>
          <w:tcPr>
            <w:tcW w:w="0" w:type="auto"/>
            <w:shd w:val="clear" w:color="auto" w:fill="FFFFFF"/>
            <w:tcMar>
              <w:top w:w="0" w:type="dxa"/>
              <w:left w:w="0" w:type="dxa"/>
              <w:bottom w:w="0" w:type="dxa"/>
              <w:right w:w="0" w:type="dxa"/>
            </w:tcMar>
          </w:tcPr>
          <w:p w14:paraId="28491BC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3</w:t>
            </w:r>
          </w:p>
        </w:tc>
        <w:tc>
          <w:tcPr>
            <w:tcW w:w="0" w:type="auto"/>
            <w:shd w:val="clear" w:color="auto" w:fill="FFFFFF"/>
            <w:tcMar>
              <w:top w:w="0" w:type="dxa"/>
              <w:left w:w="0" w:type="dxa"/>
              <w:bottom w:w="0" w:type="dxa"/>
              <w:right w:w="0" w:type="dxa"/>
            </w:tcMar>
          </w:tcPr>
          <w:p w14:paraId="17BAD04C"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74D5BFE2"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2D55840A"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A64E507"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Information sources</w:t>
            </w:r>
          </w:p>
        </w:tc>
        <w:tc>
          <w:tcPr>
            <w:tcW w:w="0" w:type="auto"/>
            <w:shd w:val="clear" w:color="auto" w:fill="FFFFFF"/>
            <w:tcMar>
              <w:top w:w="0" w:type="dxa"/>
              <w:left w:w="0" w:type="dxa"/>
              <w:bottom w:w="0" w:type="dxa"/>
              <w:right w:w="0" w:type="dxa"/>
            </w:tcMar>
          </w:tcPr>
          <w:p w14:paraId="0BB34205"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4</w:t>
            </w:r>
          </w:p>
        </w:tc>
        <w:tc>
          <w:tcPr>
            <w:tcW w:w="0" w:type="auto"/>
            <w:shd w:val="clear" w:color="auto" w:fill="FFFFFF"/>
            <w:tcMar>
              <w:top w:w="0" w:type="dxa"/>
              <w:left w:w="0" w:type="dxa"/>
              <w:bottom w:w="0" w:type="dxa"/>
              <w:right w:w="0" w:type="dxa"/>
            </w:tcMar>
          </w:tcPr>
          <w:p w14:paraId="76F872AF"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34549E9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1BC071D6"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4B7446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Risk of bias</w:t>
            </w:r>
          </w:p>
        </w:tc>
        <w:tc>
          <w:tcPr>
            <w:tcW w:w="0" w:type="auto"/>
            <w:shd w:val="clear" w:color="auto" w:fill="FFFFFF"/>
            <w:tcMar>
              <w:top w:w="0" w:type="dxa"/>
              <w:left w:w="0" w:type="dxa"/>
              <w:bottom w:w="0" w:type="dxa"/>
              <w:right w:w="0" w:type="dxa"/>
            </w:tcMar>
          </w:tcPr>
          <w:p w14:paraId="45C81C47"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5</w:t>
            </w:r>
          </w:p>
        </w:tc>
        <w:tc>
          <w:tcPr>
            <w:tcW w:w="0" w:type="auto"/>
            <w:shd w:val="clear" w:color="auto" w:fill="FFFFFF"/>
            <w:tcMar>
              <w:top w:w="0" w:type="dxa"/>
              <w:left w:w="0" w:type="dxa"/>
              <w:bottom w:w="0" w:type="dxa"/>
              <w:right w:w="0" w:type="dxa"/>
            </w:tcMar>
          </w:tcPr>
          <w:p w14:paraId="28F1A91C"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59F15E6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7EAE5B3B"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0DBEA5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Synthesis of results</w:t>
            </w:r>
          </w:p>
        </w:tc>
        <w:tc>
          <w:tcPr>
            <w:tcW w:w="0" w:type="auto"/>
            <w:shd w:val="clear" w:color="auto" w:fill="FFFFFF"/>
            <w:tcMar>
              <w:top w:w="0" w:type="dxa"/>
              <w:left w:w="0" w:type="dxa"/>
              <w:bottom w:w="0" w:type="dxa"/>
              <w:right w:w="0" w:type="dxa"/>
            </w:tcMar>
          </w:tcPr>
          <w:p w14:paraId="4FBA165F"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6</w:t>
            </w:r>
          </w:p>
        </w:tc>
        <w:tc>
          <w:tcPr>
            <w:tcW w:w="0" w:type="auto"/>
            <w:shd w:val="clear" w:color="auto" w:fill="FFFFFF"/>
            <w:tcMar>
              <w:top w:w="0" w:type="dxa"/>
              <w:left w:w="0" w:type="dxa"/>
              <w:bottom w:w="0" w:type="dxa"/>
              <w:right w:w="0" w:type="dxa"/>
            </w:tcMar>
          </w:tcPr>
          <w:p w14:paraId="30F923A3"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60D8F7F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2696E367"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1EEDAB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RESULTS</w:t>
            </w:r>
          </w:p>
        </w:tc>
        <w:tc>
          <w:tcPr>
            <w:tcW w:w="0" w:type="auto"/>
            <w:shd w:val="clear" w:color="auto" w:fill="FFFFCC"/>
            <w:tcMar>
              <w:top w:w="0" w:type="dxa"/>
              <w:left w:w="0" w:type="dxa"/>
              <w:bottom w:w="0" w:type="dxa"/>
              <w:right w:w="0" w:type="dxa"/>
            </w:tcMar>
          </w:tcPr>
          <w:p w14:paraId="4349C173"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7F8F353D"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33FA5B8C"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7B552A2A"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59E9C3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Included studies</w:t>
            </w:r>
          </w:p>
        </w:tc>
        <w:tc>
          <w:tcPr>
            <w:tcW w:w="0" w:type="auto"/>
            <w:shd w:val="clear" w:color="auto" w:fill="FFFFFF"/>
            <w:tcMar>
              <w:top w:w="0" w:type="dxa"/>
              <w:left w:w="0" w:type="dxa"/>
              <w:bottom w:w="0" w:type="dxa"/>
              <w:right w:w="0" w:type="dxa"/>
            </w:tcMar>
          </w:tcPr>
          <w:p w14:paraId="30DBD3DB"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7</w:t>
            </w:r>
          </w:p>
        </w:tc>
        <w:tc>
          <w:tcPr>
            <w:tcW w:w="0" w:type="auto"/>
            <w:shd w:val="clear" w:color="auto" w:fill="FFFFFF"/>
            <w:tcMar>
              <w:top w:w="0" w:type="dxa"/>
              <w:left w:w="0" w:type="dxa"/>
              <w:bottom w:w="0" w:type="dxa"/>
              <w:right w:w="0" w:type="dxa"/>
            </w:tcMar>
          </w:tcPr>
          <w:p w14:paraId="7C5B454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547DDB5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4423179E"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D3F93FB"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Synthesis of results</w:t>
            </w:r>
          </w:p>
        </w:tc>
        <w:tc>
          <w:tcPr>
            <w:tcW w:w="0" w:type="auto"/>
            <w:shd w:val="clear" w:color="auto" w:fill="FFFFFF"/>
            <w:tcMar>
              <w:top w:w="0" w:type="dxa"/>
              <w:left w:w="0" w:type="dxa"/>
              <w:bottom w:w="0" w:type="dxa"/>
              <w:right w:w="0" w:type="dxa"/>
            </w:tcMar>
          </w:tcPr>
          <w:p w14:paraId="5B1CCE70"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8</w:t>
            </w:r>
          </w:p>
        </w:tc>
        <w:tc>
          <w:tcPr>
            <w:tcW w:w="0" w:type="auto"/>
            <w:shd w:val="clear" w:color="auto" w:fill="FFFFFF"/>
            <w:tcMar>
              <w:top w:w="0" w:type="dxa"/>
              <w:left w:w="0" w:type="dxa"/>
              <w:bottom w:w="0" w:type="dxa"/>
              <w:right w:w="0" w:type="dxa"/>
            </w:tcMar>
          </w:tcPr>
          <w:p w14:paraId="7B2878BF"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5AAD445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7D8EC2E5"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14DDEB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DISCUSSION</w:t>
            </w:r>
          </w:p>
        </w:tc>
        <w:tc>
          <w:tcPr>
            <w:tcW w:w="0" w:type="auto"/>
            <w:shd w:val="clear" w:color="auto" w:fill="FFFFCC"/>
            <w:tcMar>
              <w:top w:w="0" w:type="dxa"/>
              <w:left w:w="0" w:type="dxa"/>
              <w:bottom w:w="0" w:type="dxa"/>
              <w:right w:w="0" w:type="dxa"/>
            </w:tcMar>
          </w:tcPr>
          <w:p w14:paraId="7365F5E8"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2997C6E9"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3EB69569"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3EF44AB4"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8D7BEA7"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Limitations of evidence</w:t>
            </w:r>
          </w:p>
        </w:tc>
        <w:tc>
          <w:tcPr>
            <w:tcW w:w="0" w:type="auto"/>
            <w:shd w:val="clear" w:color="auto" w:fill="FFFFFF"/>
            <w:tcMar>
              <w:top w:w="0" w:type="dxa"/>
              <w:left w:w="0" w:type="dxa"/>
              <w:bottom w:w="0" w:type="dxa"/>
              <w:right w:w="0" w:type="dxa"/>
            </w:tcMar>
          </w:tcPr>
          <w:p w14:paraId="37BA096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9</w:t>
            </w:r>
          </w:p>
        </w:tc>
        <w:tc>
          <w:tcPr>
            <w:tcW w:w="0" w:type="auto"/>
            <w:shd w:val="clear" w:color="auto" w:fill="FFFFFF"/>
            <w:tcMar>
              <w:top w:w="0" w:type="dxa"/>
              <w:left w:w="0" w:type="dxa"/>
              <w:bottom w:w="0" w:type="dxa"/>
              <w:right w:w="0" w:type="dxa"/>
            </w:tcMar>
          </w:tcPr>
          <w:p w14:paraId="77085EA1"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172343FF"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5724FCE0"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CE2B6A7"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Interpretation</w:t>
            </w:r>
          </w:p>
        </w:tc>
        <w:tc>
          <w:tcPr>
            <w:tcW w:w="0" w:type="auto"/>
            <w:shd w:val="clear" w:color="auto" w:fill="FFFFFF"/>
            <w:tcMar>
              <w:top w:w="0" w:type="dxa"/>
              <w:left w:w="0" w:type="dxa"/>
              <w:bottom w:w="0" w:type="dxa"/>
              <w:right w:w="0" w:type="dxa"/>
            </w:tcMar>
          </w:tcPr>
          <w:p w14:paraId="608607A6"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10</w:t>
            </w:r>
          </w:p>
        </w:tc>
        <w:tc>
          <w:tcPr>
            <w:tcW w:w="0" w:type="auto"/>
            <w:shd w:val="clear" w:color="auto" w:fill="FFFFFF"/>
            <w:tcMar>
              <w:top w:w="0" w:type="dxa"/>
              <w:left w:w="0" w:type="dxa"/>
              <w:bottom w:w="0" w:type="dxa"/>
              <w:right w:w="0" w:type="dxa"/>
            </w:tcMar>
          </w:tcPr>
          <w:p w14:paraId="10E04320"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067BD19C"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068507AC" w14:textId="77777777" w:rsidTr="008143C9">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10607D9"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OTHER</w:t>
            </w:r>
          </w:p>
        </w:tc>
        <w:tc>
          <w:tcPr>
            <w:tcW w:w="0" w:type="auto"/>
            <w:shd w:val="clear" w:color="auto" w:fill="FFFFCC"/>
            <w:tcMar>
              <w:top w:w="0" w:type="dxa"/>
              <w:left w:w="0" w:type="dxa"/>
              <w:bottom w:w="0" w:type="dxa"/>
              <w:right w:w="0" w:type="dxa"/>
            </w:tcMar>
          </w:tcPr>
          <w:p w14:paraId="1F67EDF2" w14:textId="77777777" w:rsidR="00F76882" w:rsidRPr="00F07F60" w:rsidRDefault="00F76882" w:rsidP="008143C9">
            <w:pPr>
              <w:spacing w:before="100" w:after="100"/>
              <w:ind w:left="100" w:right="100"/>
              <w:jc w:val="center"/>
              <w:rPr>
                <w:rFonts w:ascii="Times New Roman" w:hAnsi="Times New Roman"/>
              </w:rPr>
            </w:pPr>
          </w:p>
        </w:tc>
        <w:tc>
          <w:tcPr>
            <w:tcW w:w="0" w:type="auto"/>
            <w:shd w:val="clear" w:color="auto" w:fill="FFFFCC"/>
            <w:tcMar>
              <w:top w:w="0" w:type="dxa"/>
              <w:left w:w="0" w:type="dxa"/>
              <w:bottom w:w="0" w:type="dxa"/>
              <w:right w:w="0" w:type="dxa"/>
            </w:tcMar>
          </w:tcPr>
          <w:p w14:paraId="712015C8" w14:textId="77777777" w:rsidR="00F76882" w:rsidRPr="00F07F60" w:rsidRDefault="00F76882" w:rsidP="008143C9">
            <w:pPr>
              <w:spacing w:before="100" w:after="100"/>
              <w:ind w:left="100" w:right="100"/>
              <w:rPr>
                <w:rFonts w:ascii="Times New Roman" w:hAnsi="Times New Roman"/>
              </w:rPr>
            </w:pPr>
          </w:p>
        </w:tc>
        <w:tc>
          <w:tcPr>
            <w:tcW w:w="0" w:type="auto"/>
            <w:tcBorders>
              <w:right w:val="single" w:sz="8" w:space="0" w:color="000000"/>
            </w:tcBorders>
            <w:shd w:val="clear" w:color="auto" w:fill="FFFFCC"/>
            <w:tcMar>
              <w:top w:w="0" w:type="dxa"/>
              <w:left w:w="0" w:type="dxa"/>
              <w:bottom w:w="0" w:type="dxa"/>
              <w:right w:w="0" w:type="dxa"/>
            </w:tcMar>
          </w:tcPr>
          <w:p w14:paraId="76F094AF" w14:textId="77777777" w:rsidR="00F76882" w:rsidRPr="00F07F60" w:rsidRDefault="00F76882" w:rsidP="008143C9">
            <w:pPr>
              <w:spacing w:before="100" w:after="100"/>
              <w:ind w:left="100" w:right="100"/>
              <w:jc w:val="center"/>
              <w:rPr>
                <w:rFonts w:ascii="Times New Roman" w:hAnsi="Times New Roman"/>
              </w:rPr>
            </w:pPr>
          </w:p>
        </w:tc>
      </w:tr>
      <w:tr w:rsidR="00F76882" w:rsidRPr="00F07F60" w14:paraId="70766140" w14:textId="77777777" w:rsidTr="008143C9">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883FBF8"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Funding</w:t>
            </w:r>
          </w:p>
        </w:tc>
        <w:tc>
          <w:tcPr>
            <w:tcW w:w="0" w:type="auto"/>
            <w:shd w:val="clear" w:color="auto" w:fill="FFFFFF"/>
            <w:tcMar>
              <w:top w:w="0" w:type="dxa"/>
              <w:left w:w="0" w:type="dxa"/>
              <w:bottom w:w="0" w:type="dxa"/>
              <w:right w:w="0" w:type="dxa"/>
            </w:tcMar>
          </w:tcPr>
          <w:p w14:paraId="3A66328F"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11</w:t>
            </w:r>
          </w:p>
        </w:tc>
        <w:tc>
          <w:tcPr>
            <w:tcW w:w="0" w:type="auto"/>
            <w:shd w:val="clear" w:color="auto" w:fill="FFFFFF"/>
            <w:tcMar>
              <w:top w:w="0" w:type="dxa"/>
              <w:left w:w="0" w:type="dxa"/>
              <w:bottom w:w="0" w:type="dxa"/>
              <w:right w:w="0" w:type="dxa"/>
            </w:tcMar>
          </w:tcPr>
          <w:p w14:paraId="7DAE6D24"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279DEC13"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r w:rsidR="00F76882" w:rsidRPr="00F07F60" w14:paraId="1629983A" w14:textId="77777777" w:rsidTr="008143C9">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087DD7FA"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b/>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5ED351E2"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6BF9308D" w14:textId="77777777" w:rsidR="00F76882" w:rsidRPr="00F07F60" w:rsidRDefault="00F76882" w:rsidP="008143C9">
            <w:pPr>
              <w:spacing w:before="100" w:after="100"/>
              <w:ind w:left="100" w:right="100"/>
              <w:rPr>
                <w:rFonts w:ascii="Times New Roman" w:hAnsi="Times New Roman"/>
              </w:rPr>
            </w:pPr>
            <w:r w:rsidRPr="00F07F60">
              <w:rPr>
                <w:rFonts w:ascii="Times New Roman" w:eastAsia="DejaVu Sans" w:hAnsi="Times New Roman"/>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51C88F2D" w14:textId="77777777" w:rsidR="00F76882" w:rsidRPr="00F07F60" w:rsidRDefault="00F76882" w:rsidP="008143C9">
            <w:pPr>
              <w:spacing w:before="100" w:after="100"/>
              <w:ind w:left="100" w:right="100"/>
              <w:jc w:val="center"/>
              <w:rPr>
                <w:rFonts w:ascii="Times New Roman" w:hAnsi="Times New Roman"/>
              </w:rPr>
            </w:pPr>
            <w:r w:rsidRPr="00F07F60">
              <w:rPr>
                <w:rFonts w:ascii="Times New Roman" w:eastAsia="DejaVu Sans" w:hAnsi="Times New Roman"/>
                <w:sz w:val="18"/>
                <w:szCs w:val="18"/>
              </w:rPr>
              <w:t>Yes</w:t>
            </w:r>
          </w:p>
        </w:tc>
      </w:tr>
    </w:tbl>
    <w:p w14:paraId="24E13E8A" w14:textId="038473CC" w:rsidR="00F76882" w:rsidRPr="00F76882" w:rsidRDefault="00F76882" w:rsidP="00F76882">
      <w:pPr>
        <w:pStyle w:val="FirstParagraph"/>
        <w:jc w:val="both"/>
        <w:rPr>
          <w:rFonts w:ascii="Times New Roman" w:hAnsi="Times New Roman" w:cs="Times New Roman"/>
          <w:sz w:val="18"/>
          <w:szCs w:val="14"/>
        </w:rPr>
      </w:pPr>
      <w:r w:rsidRPr="00F76882">
        <w:rPr>
          <w:rFonts w:ascii="Times New Roman" w:hAnsi="Times New Roman" w:cs="Times New Roman"/>
          <w:i/>
          <w:iCs/>
          <w:sz w:val="18"/>
          <w:szCs w:val="14"/>
        </w:rPr>
        <w:t>From:</w:t>
      </w:r>
      <w:r w:rsidRPr="00F76882">
        <w:rPr>
          <w:rFonts w:ascii="Times New Roman" w:hAnsi="Times New Roman" w:cs="Times New Roman"/>
          <w:sz w:val="18"/>
          <w:szCs w:val="14"/>
        </w:rPr>
        <w:t xml:space="preserve"> Page MJ, McKenzie JE, Bossuyt PM, Boutron I, Hoffmann TC, Mulrow CD, et al. The PRISMA 2020 statement: an updated guideline for reporting systematic reviews. MetaArXiv. 2020, September 14. DOI: 10.31222/osf.io/v7gm2. For more information, visit: </w:t>
      </w:r>
      <w:hyperlink r:id="rId15">
        <w:r w:rsidRPr="00F76882">
          <w:rPr>
            <w:rStyle w:val="Hipervnculo"/>
            <w:rFonts w:ascii="Times New Roman" w:hAnsi="Times New Roman" w:cs="Times New Roman"/>
            <w:sz w:val="18"/>
            <w:szCs w:val="14"/>
          </w:rPr>
          <w:t>www.prisma-statement.org</w:t>
        </w:r>
      </w:hyperlink>
    </w:p>
    <w:bookmarkEnd w:id="4"/>
    <w:p w14:paraId="58E3D93E" w14:textId="77777777" w:rsidR="00123558" w:rsidRDefault="00123558" w:rsidP="00A90C11">
      <w:pPr>
        <w:pStyle w:val="MDPI62BackMatter"/>
        <w:ind w:left="0"/>
        <w:rPr>
          <w:bCs/>
        </w:rPr>
      </w:pPr>
    </w:p>
    <w:p w14:paraId="675C17F1" w14:textId="1CC3E2DA" w:rsidR="00C31261" w:rsidRDefault="00213DFE" w:rsidP="00A90C11">
      <w:pPr>
        <w:pStyle w:val="MDPI62BackMatter"/>
        <w:ind w:left="0"/>
        <w:rPr>
          <w:bCs/>
        </w:rPr>
      </w:pPr>
      <w:r>
        <w:rPr>
          <w:bCs/>
        </w:rPr>
        <w:t xml:space="preserve"> </w:t>
      </w:r>
    </w:p>
    <w:p w14:paraId="6AEACCB2" w14:textId="77777777" w:rsidR="00C31261" w:rsidRDefault="00C31261" w:rsidP="00A90C11">
      <w:pPr>
        <w:pStyle w:val="MDPI62BackMatter"/>
        <w:ind w:left="0"/>
        <w:rPr>
          <w:bCs/>
        </w:rPr>
      </w:pPr>
    </w:p>
    <w:p w14:paraId="357DA2EB" w14:textId="209C5A43" w:rsidR="00A90C11" w:rsidRDefault="00E65C56" w:rsidP="0086023B">
      <w:pPr>
        <w:pStyle w:val="MDPI31text"/>
        <w:ind w:left="0"/>
        <w:rPr>
          <w:rFonts w:ascii="Times New Roman" w:hAnsi="Times New Roman"/>
          <w:sz w:val="24"/>
          <w:szCs w:val="24"/>
        </w:rPr>
      </w:pPr>
      <w:r w:rsidRPr="00E65C56">
        <w:rPr>
          <w:rFonts w:ascii="Times New Roman" w:hAnsi="Times New Roman"/>
          <w:b/>
          <w:bCs/>
          <w:sz w:val="24"/>
          <w:szCs w:val="24"/>
        </w:rPr>
        <w:lastRenderedPageBreak/>
        <w:t>Table</w:t>
      </w:r>
      <w:r w:rsidR="00EA5A1F">
        <w:rPr>
          <w:rFonts w:ascii="Times New Roman" w:hAnsi="Times New Roman"/>
          <w:b/>
          <w:bCs/>
          <w:sz w:val="24"/>
          <w:szCs w:val="24"/>
        </w:rPr>
        <w:t xml:space="preserve"> S2</w:t>
      </w:r>
      <w:r w:rsidR="0086023B" w:rsidRPr="0086023B">
        <w:rPr>
          <w:rFonts w:ascii="Times New Roman" w:hAnsi="Times New Roman"/>
          <w:b/>
          <w:bCs/>
          <w:sz w:val="24"/>
          <w:szCs w:val="24"/>
        </w:rPr>
        <w:t xml:space="preserve">. </w:t>
      </w:r>
      <w:r w:rsidR="0086023B" w:rsidRPr="0086023B">
        <w:rPr>
          <w:rFonts w:ascii="Times New Roman" w:hAnsi="Times New Roman"/>
          <w:sz w:val="24"/>
          <w:szCs w:val="24"/>
        </w:rPr>
        <w:t>The adjusted search terms as per searched electronic databases.</w:t>
      </w:r>
    </w:p>
    <w:p w14:paraId="71D198BD" w14:textId="77777777" w:rsidR="0086023B" w:rsidRDefault="0086023B" w:rsidP="0086023B">
      <w:pPr>
        <w:pStyle w:val="MDPI31text"/>
        <w:ind w:left="0" w:firstLine="0"/>
        <w:rPr>
          <w:rFonts w:ascii="Times New Roman" w:hAnsi="Times New Roman"/>
          <w:sz w:val="24"/>
          <w:szCs w:val="24"/>
        </w:rPr>
      </w:pPr>
    </w:p>
    <w:p w14:paraId="0DAE39BE" w14:textId="77777777" w:rsidR="0086023B" w:rsidRDefault="0086023B" w:rsidP="0086023B">
      <w:pPr>
        <w:pStyle w:val="MDPI31text"/>
        <w:ind w:left="0" w:firstLine="0"/>
        <w:rPr>
          <w:rFonts w:ascii="Times New Roman" w:hAnsi="Times New Roman"/>
          <w:sz w:val="24"/>
          <w:szCs w:val="24"/>
        </w:rPr>
      </w:pPr>
    </w:p>
    <w:tbl>
      <w:tblPr>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22"/>
        <w:gridCol w:w="416"/>
        <w:gridCol w:w="5471"/>
        <w:gridCol w:w="1016"/>
      </w:tblGrid>
      <w:tr w:rsidR="00C31261" w:rsidRPr="00D524EA" w14:paraId="6D250875" w14:textId="77777777" w:rsidTr="003D0B8D">
        <w:trPr>
          <w:trHeight w:val="303"/>
          <w:jc w:val="center"/>
        </w:trPr>
        <w:tc>
          <w:tcPr>
            <w:tcW w:w="0" w:type="auto"/>
            <w:gridSpan w:val="4"/>
            <w:vAlign w:val="center"/>
          </w:tcPr>
          <w:p w14:paraId="022C00BD" w14:textId="77777777" w:rsidR="00C31261" w:rsidRPr="00D524EA" w:rsidRDefault="00C31261" w:rsidP="003D0B8D">
            <w:pPr>
              <w:jc w:val="center"/>
              <w:rPr>
                <w:rFonts w:ascii="Times New Roman" w:eastAsia="Times New Roman" w:hAnsi="Times New Roman"/>
                <w:b/>
                <w:bCs/>
              </w:rPr>
            </w:pPr>
            <w:r w:rsidRPr="00D524EA">
              <w:rPr>
                <w:rFonts w:ascii="Times New Roman" w:eastAsia="Times New Roman" w:hAnsi="Times New Roman"/>
                <w:b/>
                <w:bCs/>
              </w:rPr>
              <w:t>PubMed</w:t>
            </w:r>
          </w:p>
        </w:tc>
      </w:tr>
      <w:tr w:rsidR="00C31261" w:rsidRPr="00D524EA" w14:paraId="60DA5F7F" w14:textId="77777777" w:rsidTr="003D0B8D">
        <w:trPr>
          <w:trHeight w:val="303"/>
          <w:jc w:val="center"/>
        </w:trPr>
        <w:tc>
          <w:tcPr>
            <w:tcW w:w="0" w:type="auto"/>
            <w:vMerge w:val="restart"/>
            <w:vAlign w:val="center"/>
          </w:tcPr>
          <w:p w14:paraId="40C25A61" w14:textId="77777777" w:rsidR="00C31261" w:rsidRPr="00D524EA" w:rsidRDefault="00C31261" w:rsidP="003D0B8D">
            <w:pPr>
              <w:rPr>
                <w:rFonts w:ascii="Times New Roman" w:eastAsia="Times New Roman" w:hAnsi="Times New Roman"/>
              </w:rPr>
            </w:pPr>
          </w:p>
        </w:tc>
        <w:tc>
          <w:tcPr>
            <w:tcW w:w="0" w:type="auto"/>
            <w:vAlign w:val="center"/>
          </w:tcPr>
          <w:p w14:paraId="7B121EF7"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013AE0DF"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(Monkeypox OR “Monkey Pox”</w:t>
            </w:r>
            <w:r>
              <w:rPr>
                <w:rFonts w:ascii="Times New Roman" w:eastAsia="Times New Roman" w:hAnsi="Times New Roman"/>
              </w:rPr>
              <w:t xml:space="preserve"> OR “Mpox”</w:t>
            </w:r>
            <w:r w:rsidRPr="00D524EA">
              <w:rPr>
                <w:rFonts w:ascii="Times New Roman" w:eastAsia="Times New Roman" w:hAnsi="Times New Roman"/>
              </w:rPr>
              <w:t>)</w:t>
            </w:r>
          </w:p>
        </w:tc>
        <w:tc>
          <w:tcPr>
            <w:tcW w:w="0" w:type="auto"/>
            <w:vAlign w:val="center"/>
          </w:tcPr>
          <w:p w14:paraId="4AD1774B" w14:textId="77777777" w:rsidR="00C31261" w:rsidRPr="00D524EA" w:rsidRDefault="00C31261" w:rsidP="003D0B8D">
            <w:pPr>
              <w:rPr>
                <w:rFonts w:ascii="Times New Roman" w:eastAsia="Times New Roman" w:hAnsi="Times New Roman"/>
              </w:rPr>
            </w:pPr>
            <w:r w:rsidRPr="00494C24">
              <w:rPr>
                <w:rFonts w:ascii="Times New Roman" w:eastAsia="Times New Roman" w:hAnsi="Times New Roman"/>
              </w:rPr>
              <w:t>3,689</w:t>
            </w:r>
          </w:p>
        </w:tc>
      </w:tr>
      <w:tr w:rsidR="00C31261" w:rsidRPr="00D524EA" w14:paraId="52579B15" w14:textId="77777777" w:rsidTr="003D0B8D">
        <w:trPr>
          <w:trHeight w:val="303"/>
          <w:jc w:val="center"/>
        </w:trPr>
        <w:tc>
          <w:tcPr>
            <w:tcW w:w="0" w:type="auto"/>
            <w:vMerge/>
            <w:vAlign w:val="center"/>
          </w:tcPr>
          <w:p w14:paraId="348E7BFB"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593714CA"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2</w:t>
            </w:r>
          </w:p>
        </w:tc>
        <w:tc>
          <w:tcPr>
            <w:tcW w:w="0" w:type="auto"/>
            <w:vAlign w:val="center"/>
          </w:tcPr>
          <w:p w14:paraId="31256399"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 Attitude” OR “ Attitudes” OR</w:t>
            </w:r>
            <w:r>
              <w:rPr>
                <w:rFonts w:ascii="Times New Roman" w:eastAsia="Times New Roman" w:hAnsi="Times New Roman"/>
              </w:rPr>
              <w:t xml:space="preserve"> “</w:t>
            </w:r>
            <w:r w:rsidRPr="00C27DA6">
              <w:rPr>
                <w:rFonts w:ascii="Times New Roman" w:eastAsia="Times New Roman" w:hAnsi="Times New Roman"/>
              </w:rPr>
              <w:t>vaccine</w:t>
            </w:r>
            <w:r>
              <w:rPr>
                <w:rFonts w:ascii="Times New Roman" w:eastAsia="Times New Roman" w:hAnsi="Times New Roman"/>
              </w:rPr>
              <w:t>”</w:t>
            </w:r>
            <w:r w:rsidRPr="00D524EA">
              <w:rPr>
                <w:rFonts w:ascii="Times New Roman" w:eastAsia="Times New Roman" w:hAnsi="Times New Roman"/>
              </w:rPr>
              <w:t>)</w:t>
            </w:r>
          </w:p>
        </w:tc>
        <w:tc>
          <w:tcPr>
            <w:tcW w:w="0" w:type="auto"/>
            <w:vAlign w:val="center"/>
          </w:tcPr>
          <w:p w14:paraId="026AB2BC" w14:textId="77777777" w:rsidR="00C31261" w:rsidRPr="00D524EA" w:rsidRDefault="00C31261" w:rsidP="003D0B8D">
            <w:pPr>
              <w:rPr>
                <w:rFonts w:ascii="Times New Roman" w:eastAsia="Times New Roman" w:hAnsi="Times New Roman"/>
              </w:rPr>
            </w:pPr>
            <w:r w:rsidRPr="00494C24">
              <w:rPr>
                <w:rFonts w:ascii="Times New Roman" w:eastAsia="Times New Roman" w:hAnsi="Times New Roman"/>
              </w:rPr>
              <w:t>791,278</w:t>
            </w:r>
          </w:p>
        </w:tc>
      </w:tr>
      <w:tr w:rsidR="00C31261" w:rsidRPr="00D524EA" w14:paraId="14F276F3" w14:textId="77777777" w:rsidTr="003D0B8D">
        <w:trPr>
          <w:trHeight w:val="303"/>
          <w:jc w:val="center"/>
        </w:trPr>
        <w:tc>
          <w:tcPr>
            <w:tcW w:w="0" w:type="auto"/>
            <w:vMerge/>
            <w:vAlign w:val="center"/>
          </w:tcPr>
          <w:p w14:paraId="05E544BC"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478A8B15"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3</w:t>
            </w:r>
          </w:p>
        </w:tc>
        <w:tc>
          <w:tcPr>
            <w:tcW w:w="0" w:type="auto"/>
            <w:vAlign w:val="center"/>
          </w:tcPr>
          <w:p w14:paraId="2906739B"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 xml:space="preserve">#1 AND #2 </w:t>
            </w:r>
          </w:p>
        </w:tc>
        <w:tc>
          <w:tcPr>
            <w:tcW w:w="0" w:type="auto"/>
            <w:vAlign w:val="center"/>
          </w:tcPr>
          <w:p w14:paraId="778DC604" w14:textId="77777777" w:rsidR="00C31261" w:rsidRPr="00D524EA" w:rsidRDefault="00C31261" w:rsidP="003D0B8D">
            <w:pPr>
              <w:rPr>
                <w:rFonts w:ascii="Times New Roman" w:eastAsia="Times New Roman" w:hAnsi="Times New Roman"/>
              </w:rPr>
            </w:pPr>
            <w:r>
              <w:rPr>
                <w:rFonts w:ascii="Times New Roman" w:eastAsia="Times New Roman" w:hAnsi="Times New Roman"/>
              </w:rPr>
              <w:t>690</w:t>
            </w:r>
          </w:p>
        </w:tc>
      </w:tr>
      <w:tr w:rsidR="00C31261" w:rsidRPr="00D524EA" w14:paraId="4569DA2A" w14:textId="77777777" w:rsidTr="003D0B8D">
        <w:trPr>
          <w:trHeight w:val="303"/>
          <w:jc w:val="center"/>
        </w:trPr>
        <w:tc>
          <w:tcPr>
            <w:tcW w:w="0" w:type="auto"/>
            <w:gridSpan w:val="4"/>
            <w:vAlign w:val="center"/>
          </w:tcPr>
          <w:p w14:paraId="34CA068B" w14:textId="77777777" w:rsidR="00C31261" w:rsidRPr="00D524EA" w:rsidRDefault="00C31261" w:rsidP="003D0B8D">
            <w:pPr>
              <w:jc w:val="center"/>
              <w:rPr>
                <w:rFonts w:ascii="Times New Roman" w:eastAsia="Times New Roman" w:hAnsi="Times New Roman"/>
                <w:b/>
                <w:bCs/>
              </w:rPr>
            </w:pPr>
            <w:r w:rsidRPr="00D524EA">
              <w:rPr>
                <w:rFonts w:ascii="Times New Roman" w:eastAsia="Times New Roman" w:hAnsi="Times New Roman"/>
                <w:b/>
                <w:bCs/>
              </w:rPr>
              <w:t>Scopus</w:t>
            </w:r>
          </w:p>
        </w:tc>
      </w:tr>
      <w:tr w:rsidR="00C31261" w:rsidRPr="00D524EA" w14:paraId="430A8456" w14:textId="77777777" w:rsidTr="003D0B8D">
        <w:trPr>
          <w:trHeight w:val="303"/>
          <w:jc w:val="center"/>
        </w:trPr>
        <w:tc>
          <w:tcPr>
            <w:tcW w:w="0" w:type="auto"/>
            <w:vMerge w:val="restart"/>
            <w:vAlign w:val="center"/>
          </w:tcPr>
          <w:p w14:paraId="08E344AB" w14:textId="77777777" w:rsidR="00C31261" w:rsidRPr="00D524EA" w:rsidRDefault="00C31261" w:rsidP="003D0B8D">
            <w:pPr>
              <w:rPr>
                <w:rFonts w:ascii="Times New Roman" w:eastAsia="Times New Roman" w:hAnsi="Times New Roman"/>
              </w:rPr>
            </w:pPr>
          </w:p>
        </w:tc>
        <w:tc>
          <w:tcPr>
            <w:tcW w:w="0" w:type="auto"/>
            <w:vAlign w:val="center"/>
          </w:tcPr>
          <w:p w14:paraId="11CE0B92"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289EA367"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TITLE-ABS-KEY (Monkeypox OR “Monkey Pox”</w:t>
            </w:r>
            <w:r>
              <w:rPr>
                <w:rFonts w:ascii="Times New Roman" w:eastAsia="Times New Roman" w:hAnsi="Times New Roman"/>
              </w:rPr>
              <w:t xml:space="preserve"> OR “Mpox”</w:t>
            </w:r>
            <w:r w:rsidRPr="00D524EA">
              <w:rPr>
                <w:rFonts w:ascii="Times New Roman" w:eastAsia="Times New Roman" w:hAnsi="Times New Roman"/>
              </w:rPr>
              <w:t>)</w:t>
            </w:r>
          </w:p>
        </w:tc>
        <w:tc>
          <w:tcPr>
            <w:tcW w:w="0" w:type="auto"/>
            <w:vAlign w:val="center"/>
          </w:tcPr>
          <w:p w14:paraId="68EF6535"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4,302</w:t>
            </w:r>
          </w:p>
        </w:tc>
      </w:tr>
      <w:tr w:rsidR="00C31261" w:rsidRPr="00D524EA" w14:paraId="2D7336EF" w14:textId="77777777" w:rsidTr="003D0B8D">
        <w:trPr>
          <w:trHeight w:val="303"/>
          <w:jc w:val="center"/>
        </w:trPr>
        <w:tc>
          <w:tcPr>
            <w:tcW w:w="0" w:type="auto"/>
            <w:vMerge/>
            <w:vAlign w:val="center"/>
          </w:tcPr>
          <w:p w14:paraId="0583A82B"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26D733B1"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2</w:t>
            </w:r>
          </w:p>
        </w:tc>
        <w:tc>
          <w:tcPr>
            <w:tcW w:w="0" w:type="auto"/>
            <w:vAlign w:val="center"/>
          </w:tcPr>
          <w:p w14:paraId="28E6DE60"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TITLE-ABS-KEY ( " Attitude" OR " Attitudes" OR</w:t>
            </w:r>
            <w:r>
              <w:rPr>
                <w:rFonts w:ascii="Times New Roman" w:eastAsia="Times New Roman" w:hAnsi="Times New Roman"/>
              </w:rPr>
              <w:t xml:space="preserve"> “</w:t>
            </w:r>
            <w:r w:rsidRPr="00C27DA6">
              <w:rPr>
                <w:rFonts w:ascii="Times New Roman" w:eastAsia="Times New Roman" w:hAnsi="Times New Roman"/>
              </w:rPr>
              <w:t>vaccine</w:t>
            </w:r>
            <w:r>
              <w:rPr>
                <w:rFonts w:ascii="Times New Roman" w:eastAsia="Times New Roman" w:hAnsi="Times New Roman"/>
              </w:rPr>
              <w:t>”</w:t>
            </w:r>
            <w:r w:rsidRPr="00D524EA">
              <w:rPr>
                <w:rFonts w:ascii="Times New Roman" w:eastAsia="Times New Roman" w:hAnsi="Times New Roman"/>
              </w:rPr>
              <w:t>)</w:t>
            </w:r>
          </w:p>
        </w:tc>
        <w:tc>
          <w:tcPr>
            <w:tcW w:w="0" w:type="auto"/>
            <w:vAlign w:val="center"/>
          </w:tcPr>
          <w:p w14:paraId="3BEDD0E2"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1,570,474</w:t>
            </w:r>
          </w:p>
        </w:tc>
      </w:tr>
      <w:tr w:rsidR="00C31261" w:rsidRPr="00D524EA" w14:paraId="7E0B375A" w14:textId="77777777" w:rsidTr="003D0B8D">
        <w:trPr>
          <w:trHeight w:val="303"/>
          <w:jc w:val="center"/>
        </w:trPr>
        <w:tc>
          <w:tcPr>
            <w:tcW w:w="0" w:type="auto"/>
            <w:vMerge/>
            <w:vAlign w:val="center"/>
          </w:tcPr>
          <w:p w14:paraId="380F3795"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3AD410EB"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3</w:t>
            </w:r>
          </w:p>
        </w:tc>
        <w:tc>
          <w:tcPr>
            <w:tcW w:w="0" w:type="auto"/>
            <w:vAlign w:val="center"/>
          </w:tcPr>
          <w:p w14:paraId="7499CD47"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#1 AND #2</w:t>
            </w:r>
          </w:p>
        </w:tc>
        <w:tc>
          <w:tcPr>
            <w:tcW w:w="0" w:type="auto"/>
            <w:vAlign w:val="center"/>
          </w:tcPr>
          <w:p w14:paraId="4B6508B0"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1,327</w:t>
            </w:r>
          </w:p>
        </w:tc>
      </w:tr>
      <w:tr w:rsidR="00C31261" w:rsidRPr="00D524EA" w14:paraId="2A321DC8" w14:textId="77777777" w:rsidTr="003D0B8D">
        <w:trPr>
          <w:trHeight w:val="303"/>
          <w:jc w:val="center"/>
        </w:trPr>
        <w:tc>
          <w:tcPr>
            <w:tcW w:w="0" w:type="auto"/>
            <w:gridSpan w:val="4"/>
            <w:vAlign w:val="center"/>
          </w:tcPr>
          <w:p w14:paraId="0F577BB9" w14:textId="77777777" w:rsidR="00C31261" w:rsidRPr="00D524EA" w:rsidRDefault="00C31261" w:rsidP="003D0B8D">
            <w:pPr>
              <w:jc w:val="center"/>
              <w:rPr>
                <w:rFonts w:ascii="Times New Roman" w:eastAsia="Times New Roman" w:hAnsi="Times New Roman"/>
                <w:b/>
                <w:bCs/>
              </w:rPr>
            </w:pPr>
            <w:r w:rsidRPr="00D524EA">
              <w:rPr>
                <w:rFonts w:ascii="Times New Roman" w:eastAsia="Times New Roman" w:hAnsi="Times New Roman"/>
                <w:b/>
                <w:bCs/>
              </w:rPr>
              <w:t>Embase</w:t>
            </w:r>
          </w:p>
        </w:tc>
      </w:tr>
      <w:tr w:rsidR="00C31261" w:rsidRPr="00D524EA" w14:paraId="65356B65" w14:textId="77777777" w:rsidTr="003D0B8D">
        <w:trPr>
          <w:trHeight w:val="303"/>
          <w:jc w:val="center"/>
        </w:trPr>
        <w:tc>
          <w:tcPr>
            <w:tcW w:w="0" w:type="auto"/>
            <w:vMerge w:val="restart"/>
            <w:vAlign w:val="center"/>
          </w:tcPr>
          <w:p w14:paraId="5FAD56A0" w14:textId="77777777" w:rsidR="00C31261" w:rsidRPr="00D524EA" w:rsidRDefault="00C31261" w:rsidP="003D0B8D">
            <w:pPr>
              <w:rPr>
                <w:rFonts w:ascii="Times New Roman" w:eastAsia="Times New Roman" w:hAnsi="Times New Roman"/>
              </w:rPr>
            </w:pPr>
          </w:p>
        </w:tc>
        <w:tc>
          <w:tcPr>
            <w:tcW w:w="0" w:type="auto"/>
            <w:vAlign w:val="center"/>
          </w:tcPr>
          <w:p w14:paraId="17E11138"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305E43B2"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 xml:space="preserve">'monkeypox'/exp OR 'monkeypox' </w:t>
            </w:r>
          </w:p>
        </w:tc>
        <w:tc>
          <w:tcPr>
            <w:tcW w:w="0" w:type="auto"/>
            <w:vAlign w:val="center"/>
          </w:tcPr>
          <w:p w14:paraId="2B57DFE7"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4,340</w:t>
            </w:r>
          </w:p>
        </w:tc>
      </w:tr>
      <w:tr w:rsidR="00C31261" w:rsidRPr="00D524EA" w14:paraId="0DFD7ECA" w14:textId="77777777" w:rsidTr="003D0B8D">
        <w:trPr>
          <w:trHeight w:val="303"/>
          <w:jc w:val="center"/>
        </w:trPr>
        <w:tc>
          <w:tcPr>
            <w:tcW w:w="0" w:type="auto"/>
            <w:vMerge/>
            <w:vAlign w:val="center"/>
          </w:tcPr>
          <w:p w14:paraId="4D65F0A9"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5ACE5D9B"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2</w:t>
            </w:r>
          </w:p>
        </w:tc>
        <w:tc>
          <w:tcPr>
            <w:tcW w:w="0" w:type="auto"/>
            <w:vAlign w:val="center"/>
          </w:tcPr>
          <w:p w14:paraId="39E9F7D3"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'attitude'</w:t>
            </w:r>
            <w:r>
              <w:rPr>
                <w:rFonts w:ascii="Times New Roman" w:eastAsia="Times New Roman" w:hAnsi="Times New Roman"/>
              </w:rPr>
              <w:t xml:space="preserve"> OR </w:t>
            </w:r>
            <w:r w:rsidRPr="00D524EA">
              <w:rPr>
                <w:rFonts w:ascii="Times New Roman" w:eastAsia="Times New Roman" w:hAnsi="Times New Roman"/>
              </w:rPr>
              <w:t>'</w:t>
            </w:r>
            <w:r w:rsidRPr="002B3408">
              <w:rPr>
                <w:rFonts w:ascii="Times New Roman" w:eastAsia="Times New Roman" w:hAnsi="Times New Roman"/>
              </w:rPr>
              <w:t>vaccine</w:t>
            </w:r>
            <w:r w:rsidRPr="00D524EA">
              <w:rPr>
                <w:rFonts w:ascii="Times New Roman" w:eastAsia="Times New Roman" w:hAnsi="Times New Roman"/>
              </w:rPr>
              <w:t>'</w:t>
            </w:r>
          </w:p>
        </w:tc>
        <w:tc>
          <w:tcPr>
            <w:tcW w:w="0" w:type="auto"/>
            <w:vAlign w:val="center"/>
          </w:tcPr>
          <w:p w14:paraId="5FD51E6F"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1,082,652</w:t>
            </w:r>
          </w:p>
        </w:tc>
      </w:tr>
      <w:tr w:rsidR="00C31261" w:rsidRPr="00D524EA" w14:paraId="503043E3" w14:textId="77777777" w:rsidTr="003D0B8D">
        <w:trPr>
          <w:trHeight w:val="303"/>
          <w:jc w:val="center"/>
        </w:trPr>
        <w:tc>
          <w:tcPr>
            <w:tcW w:w="0" w:type="auto"/>
            <w:vMerge/>
            <w:vAlign w:val="center"/>
          </w:tcPr>
          <w:p w14:paraId="50F5C587"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7FA7A415"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3</w:t>
            </w:r>
          </w:p>
        </w:tc>
        <w:tc>
          <w:tcPr>
            <w:tcW w:w="0" w:type="auto"/>
            <w:vAlign w:val="center"/>
          </w:tcPr>
          <w:p w14:paraId="5D4EA3E0"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 xml:space="preserve">#1 AND #2 </w:t>
            </w:r>
          </w:p>
        </w:tc>
        <w:tc>
          <w:tcPr>
            <w:tcW w:w="0" w:type="auto"/>
            <w:vAlign w:val="center"/>
          </w:tcPr>
          <w:p w14:paraId="2CF1B818"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1,384</w:t>
            </w:r>
          </w:p>
        </w:tc>
      </w:tr>
      <w:tr w:rsidR="00C31261" w:rsidRPr="00D524EA" w14:paraId="0800D9E3" w14:textId="77777777" w:rsidTr="003D0B8D">
        <w:trPr>
          <w:trHeight w:val="303"/>
          <w:jc w:val="center"/>
        </w:trPr>
        <w:tc>
          <w:tcPr>
            <w:tcW w:w="0" w:type="auto"/>
            <w:gridSpan w:val="4"/>
            <w:vAlign w:val="center"/>
          </w:tcPr>
          <w:p w14:paraId="66A94D21" w14:textId="77777777" w:rsidR="00C31261" w:rsidRPr="00D524EA" w:rsidRDefault="00C31261" w:rsidP="003D0B8D">
            <w:pPr>
              <w:jc w:val="center"/>
              <w:rPr>
                <w:rFonts w:ascii="Times New Roman" w:eastAsia="Times New Roman" w:hAnsi="Times New Roman"/>
                <w:b/>
                <w:bCs/>
              </w:rPr>
            </w:pPr>
            <w:r w:rsidRPr="00D524EA">
              <w:rPr>
                <w:rFonts w:ascii="Times New Roman" w:eastAsia="Times New Roman" w:hAnsi="Times New Roman"/>
                <w:b/>
                <w:bCs/>
              </w:rPr>
              <w:t>Web of Science</w:t>
            </w:r>
          </w:p>
        </w:tc>
      </w:tr>
      <w:tr w:rsidR="00C31261" w:rsidRPr="00D524EA" w14:paraId="6AF54DFA" w14:textId="77777777" w:rsidTr="003D0B8D">
        <w:trPr>
          <w:trHeight w:val="303"/>
          <w:jc w:val="center"/>
        </w:trPr>
        <w:tc>
          <w:tcPr>
            <w:tcW w:w="0" w:type="auto"/>
            <w:vMerge w:val="restart"/>
            <w:vAlign w:val="center"/>
          </w:tcPr>
          <w:p w14:paraId="23B38659" w14:textId="77777777" w:rsidR="00C31261" w:rsidRPr="00D524EA" w:rsidRDefault="00C31261" w:rsidP="003D0B8D">
            <w:pPr>
              <w:rPr>
                <w:rFonts w:ascii="Times New Roman" w:eastAsia="Times New Roman" w:hAnsi="Times New Roman"/>
              </w:rPr>
            </w:pPr>
          </w:p>
        </w:tc>
        <w:tc>
          <w:tcPr>
            <w:tcW w:w="0" w:type="auto"/>
            <w:vAlign w:val="center"/>
          </w:tcPr>
          <w:p w14:paraId="3935D69B"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6176BCB7"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ALL=(Monkeypox OR “Monkey Pox”</w:t>
            </w:r>
            <w:r>
              <w:rPr>
                <w:rFonts w:ascii="Times New Roman" w:eastAsia="Times New Roman" w:hAnsi="Times New Roman"/>
              </w:rPr>
              <w:t xml:space="preserve"> OR “Mpox”</w:t>
            </w:r>
            <w:r w:rsidRPr="00D524EA">
              <w:rPr>
                <w:rFonts w:ascii="Times New Roman" w:eastAsia="Times New Roman" w:hAnsi="Times New Roman"/>
              </w:rPr>
              <w:t>)</w:t>
            </w:r>
          </w:p>
        </w:tc>
        <w:tc>
          <w:tcPr>
            <w:tcW w:w="0" w:type="auto"/>
            <w:vAlign w:val="center"/>
          </w:tcPr>
          <w:p w14:paraId="2332B277" w14:textId="77777777" w:rsidR="00C31261" w:rsidRPr="00D524EA" w:rsidRDefault="00C31261" w:rsidP="003D0B8D">
            <w:pPr>
              <w:rPr>
                <w:rFonts w:ascii="Times New Roman" w:eastAsia="Times New Roman" w:hAnsi="Times New Roman"/>
              </w:rPr>
            </w:pPr>
            <w:r>
              <w:rPr>
                <w:rFonts w:ascii="Times New Roman" w:eastAsia="Times New Roman" w:hAnsi="Times New Roman"/>
              </w:rPr>
              <w:t>4,759</w:t>
            </w:r>
          </w:p>
        </w:tc>
      </w:tr>
      <w:tr w:rsidR="00C31261" w:rsidRPr="00D524EA" w14:paraId="579EA089" w14:textId="77777777" w:rsidTr="003D0B8D">
        <w:trPr>
          <w:trHeight w:val="303"/>
          <w:jc w:val="center"/>
        </w:trPr>
        <w:tc>
          <w:tcPr>
            <w:tcW w:w="0" w:type="auto"/>
            <w:vMerge/>
            <w:vAlign w:val="center"/>
          </w:tcPr>
          <w:p w14:paraId="5FBD6C59"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00F28E58"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2</w:t>
            </w:r>
          </w:p>
        </w:tc>
        <w:tc>
          <w:tcPr>
            <w:tcW w:w="0" w:type="auto"/>
            <w:vAlign w:val="center"/>
          </w:tcPr>
          <w:p w14:paraId="744B6AAE"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 xml:space="preserve">ALL= (“ Attitude” OR “ Attitudes” OR </w:t>
            </w:r>
            <w:r>
              <w:rPr>
                <w:rFonts w:ascii="Times New Roman" w:eastAsia="Times New Roman" w:hAnsi="Times New Roman"/>
              </w:rPr>
              <w:t>“</w:t>
            </w:r>
            <w:r w:rsidRPr="00C27DA6">
              <w:rPr>
                <w:rFonts w:ascii="Times New Roman" w:eastAsia="Times New Roman" w:hAnsi="Times New Roman"/>
              </w:rPr>
              <w:t>vaccine</w:t>
            </w:r>
            <w:r>
              <w:rPr>
                <w:rFonts w:ascii="Times New Roman" w:eastAsia="Times New Roman" w:hAnsi="Times New Roman"/>
              </w:rPr>
              <w:t>”</w:t>
            </w:r>
            <w:r w:rsidRPr="00D524EA">
              <w:rPr>
                <w:rFonts w:ascii="Times New Roman" w:eastAsia="Times New Roman" w:hAnsi="Times New Roman"/>
              </w:rPr>
              <w:t>)</w:t>
            </w:r>
          </w:p>
        </w:tc>
        <w:tc>
          <w:tcPr>
            <w:tcW w:w="0" w:type="auto"/>
            <w:vAlign w:val="center"/>
          </w:tcPr>
          <w:p w14:paraId="0C489591" w14:textId="77777777" w:rsidR="00C31261" w:rsidRPr="00D524EA" w:rsidRDefault="00C31261" w:rsidP="003D0B8D">
            <w:pPr>
              <w:rPr>
                <w:rFonts w:ascii="Times New Roman" w:eastAsia="Times New Roman" w:hAnsi="Times New Roman"/>
              </w:rPr>
            </w:pPr>
            <w:r>
              <w:rPr>
                <w:rFonts w:ascii="Times New Roman" w:eastAsia="Times New Roman" w:hAnsi="Times New Roman"/>
              </w:rPr>
              <w:t>1,203,456</w:t>
            </w:r>
          </w:p>
        </w:tc>
      </w:tr>
      <w:tr w:rsidR="00C31261" w:rsidRPr="00D524EA" w14:paraId="2ABC2C4C" w14:textId="77777777" w:rsidTr="003D0B8D">
        <w:trPr>
          <w:trHeight w:val="303"/>
          <w:jc w:val="center"/>
        </w:trPr>
        <w:tc>
          <w:tcPr>
            <w:tcW w:w="0" w:type="auto"/>
            <w:vMerge/>
            <w:vAlign w:val="center"/>
          </w:tcPr>
          <w:p w14:paraId="7B817ED5"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31EBB421"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3</w:t>
            </w:r>
          </w:p>
        </w:tc>
        <w:tc>
          <w:tcPr>
            <w:tcW w:w="0" w:type="auto"/>
            <w:vAlign w:val="center"/>
          </w:tcPr>
          <w:p w14:paraId="3A6A2E7B"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 xml:space="preserve">#1 AND #2 </w:t>
            </w:r>
          </w:p>
        </w:tc>
        <w:tc>
          <w:tcPr>
            <w:tcW w:w="0" w:type="auto"/>
            <w:vAlign w:val="center"/>
          </w:tcPr>
          <w:p w14:paraId="1685EC05" w14:textId="77777777" w:rsidR="00C31261" w:rsidRPr="00D524EA" w:rsidRDefault="00C31261" w:rsidP="003D0B8D">
            <w:pPr>
              <w:rPr>
                <w:rFonts w:ascii="Times New Roman" w:eastAsia="Times New Roman" w:hAnsi="Times New Roman"/>
              </w:rPr>
            </w:pPr>
            <w:r>
              <w:rPr>
                <w:rFonts w:ascii="Times New Roman" w:eastAsia="Times New Roman" w:hAnsi="Times New Roman"/>
              </w:rPr>
              <w:t>1,486</w:t>
            </w:r>
          </w:p>
        </w:tc>
      </w:tr>
      <w:tr w:rsidR="00C31261" w:rsidRPr="00D524EA" w14:paraId="57748222" w14:textId="77777777" w:rsidTr="003D0B8D">
        <w:trPr>
          <w:trHeight w:val="303"/>
          <w:jc w:val="center"/>
        </w:trPr>
        <w:tc>
          <w:tcPr>
            <w:tcW w:w="0" w:type="auto"/>
            <w:gridSpan w:val="4"/>
            <w:vAlign w:val="center"/>
          </w:tcPr>
          <w:p w14:paraId="0FFC2718" w14:textId="77777777" w:rsidR="00C31261" w:rsidRPr="00D524EA" w:rsidRDefault="00C31261" w:rsidP="003D0B8D">
            <w:pPr>
              <w:jc w:val="center"/>
              <w:rPr>
                <w:rFonts w:ascii="Times New Roman" w:eastAsia="Times New Roman" w:hAnsi="Times New Roman"/>
                <w:b/>
                <w:bCs/>
              </w:rPr>
            </w:pPr>
            <w:r w:rsidRPr="00D524EA">
              <w:rPr>
                <w:rFonts w:ascii="Times New Roman" w:eastAsia="Times New Roman" w:hAnsi="Times New Roman"/>
                <w:b/>
                <w:bCs/>
              </w:rPr>
              <w:t>ScienceDirect</w:t>
            </w:r>
          </w:p>
        </w:tc>
      </w:tr>
      <w:tr w:rsidR="00C31261" w:rsidRPr="00D524EA" w14:paraId="5C052EA2" w14:textId="77777777" w:rsidTr="003D0B8D">
        <w:trPr>
          <w:trHeight w:val="303"/>
          <w:jc w:val="center"/>
        </w:trPr>
        <w:tc>
          <w:tcPr>
            <w:tcW w:w="0" w:type="auto"/>
            <w:vMerge w:val="restart"/>
            <w:vAlign w:val="center"/>
          </w:tcPr>
          <w:p w14:paraId="2BB137F5" w14:textId="77777777" w:rsidR="00C31261" w:rsidRPr="00D524EA" w:rsidRDefault="00C31261" w:rsidP="003D0B8D">
            <w:pPr>
              <w:rPr>
                <w:rFonts w:ascii="Times New Roman" w:eastAsia="Times New Roman" w:hAnsi="Times New Roman"/>
              </w:rPr>
            </w:pPr>
          </w:p>
        </w:tc>
        <w:tc>
          <w:tcPr>
            <w:tcW w:w="0" w:type="auto"/>
            <w:vAlign w:val="center"/>
          </w:tcPr>
          <w:p w14:paraId="48BC712B"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#1</w:t>
            </w:r>
          </w:p>
        </w:tc>
        <w:tc>
          <w:tcPr>
            <w:tcW w:w="0" w:type="auto"/>
            <w:vAlign w:val="center"/>
          </w:tcPr>
          <w:p w14:paraId="004E5D2F"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(Monkeypox OR “Monkey Pox”</w:t>
            </w:r>
            <w:r>
              <w:rPr>
                <w:rFonts w:ascii="Times New Roman" w:eastAsia="Times New Roman" w:hAnsi="Times New Roman"/>
              </w:rPr>
              <w:t xml:space="preserve"> OR “Mpox”</w:t>
            </w:r>
            <w:r w:rsidRPr="00D524EA">
              <w:rPr>
                <w:rFonts w:ascii="Times New Roman" w:eastAsia="Times New Roman" w:hAnsi="Times New Roman"/>
              </w:rPr>
              <w:t>)</w:t>
            </w:r>
          </w:p>
        </w:tc>
        <w:tc>
          <w:tcPr>
            <w:tcW w:w="0" w:type="auto"/>
            <w:vAlign w:val="center"/>
          </w:tcPr>
          <w:p w14:paraId="59599064"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1,003</w:t>
            </w:r>
          </w:p>
        </w:tc>
      </w:tr>
      <w:tr w:rsidR="00C31261" w:rsidRPr="00D524EA" w14:paraId="2026EE17" w14:textId="77777777" w:rsidTr="003D0B8D">
        <w:trPr>
          <w:trHeight w:val="303"/>
          <w:jc w:val="center"/>
        </w:trPr>
        <w:tc>
          <w:tcPr>
            <w:tcW w:w="0" w:type="auto"/>
            <w:vMerge/>
            <w:vAlign w:val="center"/>
          </w:tcPr>
          <w:p w14:paraId="4DDAF111"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635EE873"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2</w:t>
            </w:r>
          </w:p>
        </w:tc>
        <w:tc>
          <w:tcPr>
            <w:tcW w:w="0" w:type="auto"/>
            <w:vAlign w:val="center"/>
          </w:tcPr>
          <w:p w14:paraId="4B08645C"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 xml:space="preserve">(“ Attitude” </w:t>
            </w:r>
            <w:r>
              <w:rPr>
                <w:rFonts w:ascii="Times New Roman" w:eastAsia="Times New Roman" w:hAnsi="Times New Roman"/>
              </w:rPr>
              <w:t>OR “</w:t>
            </w:r>
            <w:r w:rsidRPr="00C27DA6">
              <w:rPr>
                <w:rFonts w:ascii="Times New Roman" w:eastAsia="Times New Roman" w:hAnsi="Times New Roman"/>
              </w:rPr>
              <w:t>vaccine</w:t>
            </w:r>
            <w:r>
              <w:rPr>
                <w:rFonts w:ascii="Times New Roman" w:eastAsia="Times New Roman" w:hAnsi="Times New Roman"/>
              </w:rPr>
              <w:t>”</w:t>
            </w:r>
            <w:r w:rsidRPr="00D524EA">
              <w:rPr>
                <w:rFonts w:ascii="Times New Roman" w:eastAsia="Times New Roman" w:hAnsi="Times New Roman"/>
              </w:rPr>
              <w:t>)</w:t>
            </w:r>
          </w:p>
        </w:tc>
        <w:tc>
          <w:tcPr>
            <w:tcW w:w="0" w:type="auto"/>
            <w:vAlign w:val="center"/>
          </w:tcPr>
          <w:p w14:paraId="1BFEFC6F" w14:textId="77777777" w:rsidR="00C31261" w:rsidRPr="00D524EA" w:rsidRDefault="00C31261" w:rsidP="003D0B8D">
            <w:pPr>
              <w:rPr>
                <w:rFonts w:ascii="Times New Roman" w:eastAsia="Times New Roman" w:hAnsi="Times New Roman"/>
              </w:rPr>
            </w:pPr>
            <w:r w:rsidRPr="002C7B95">
              <w:rPr>
                <w:rFonts w:ascii="Times New Roman" w:eastAsia="Times New Roman" w:hAnsi="Times New Roman"/>
              </w:rPr>
              <w:t>68,951</w:t>
            </w:r>
          </w:p>
        </w:tc>
      </w:tr>
      <w:tr w:rsidR="00C31261" w:rsidRPr="00D524EA" w14:paraId="17066873" w14:textId="77777777" w:rsidTr="003D0B8D">
        <w:trPr>
          <w:trHeight w:val="303"/>
          <w:jc w:val="center"/>
        </w:trPr>
        <w:tc>
          <w:tcPr>
            <w:tcW w:w="0" w:type="auto"/>
            <w:vMerge/>
            <w:vAlign w:val="center"/>
          </w:tcPr>
          <w:p w14:paraId="1088B1F0" w14:textId="77777777" w:rsidR="00C31261" w:rsidRPr="00D524EA" w:rsidRDefault="00C31261" w:rsidP="003D0B8D">
            <w:pPr>
              <w:widowControl w:val="0"/>
              <w:pBdr>
                <w:top w:val="nil"/>
                <w:left w:val="nil"/>
                <w:bottom w:val="nil"/>
                <w:right w:val="nil"/>
                <w:between w:val="nil"/>
              </w:pBdr>
              <w:spacing w:line="276" w:lineRule="auto"/>
              <w:jc w:val="left"/>
              <w:rPr>
                <w:rFonts w:ascii="Times New Roman" w:eastAsia="Times New Roman" w:hAnsi="Times New Roman"/>
              </w:rPr>
            </w:pPr>
          </w:p>
        </w:tc>
        <w:tc>
          <w:tcPr>
            <w:tcW w:w="0" w:type="auto"/>
            <w:vAlign w:val="center"/>
          </w:tcPr>
          <w:p w14:paraId="671F05E6"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w:t>
            </w:r>
            <w:r>
              <w:rPr>
                <w:rFonts w:ascii="Times New Roman" w:eastAsia="Times New Roman" w:hAnsi="Times New Roman"/>
              </w:rPr>
              <w:t>3</w:t>
            </w:r>
          </w:p>
        </w:tc>
        <w:tc>
          <w:tcPr>
            <w:tcW w:w="0" w:type="auto"/>
            <w:vAlign w:val="center"/>
          </w:tcPr>
          <w:p w14:paraId="2C322DDC" w14:textId="77777777" w:rsidR="00C31261" w:rsidRPr="00D524EA" w:rsidRDefault="00C31261" w:rsidP="003D0B8D">
            <w:pPr>
              <w:rPr>
                <w:rFonts w:ascii="Times New Roman" w:eastAsia="Times New Roman" w:hAnsi="Times New Roman"/>
              </w:rPr>
            </w:pPr>
            <w:r w:rsidRPr="00D524EA">
              <w:rPr>
                <w:rFonts w:ascii="Times New Roman" w:eastAsia="Times New Roman" w:hAnsi="Times New Roman"/>
              </w:rPr>
              <w:t>#1 AND #2</w:t>
            </w:r>
          </w:p>
        </w:tc>
        <w:tc>
          <w:tcPr>
            <w:tcW w:w="0" w:type="auto"/>
            <w:vAlign w:val="center"/>
          </w:tcPr>
          <w:p w14:paraId="1C161A94" w14:textId="77777777" w:rsidR="00C31261" w:rsidRPr="00D524EA" w:rsidRDefault="00C31261" w:rsidP="003D0B8D">
            <w:pPr>
              <w:rPr>
                <w:rFonts w:ascii="Times New Roman" w:eastAsia="Times New Roman" w:hAnsi="Times New Roman"/>
              </w:rPr>
            </w:pPr>
            <w:r>
              <w:rPr>
                <w:rFonts w:ascii="Times New Roman" w:eastAsia="Times New Roman" w:hAnsi="Times New Roman"/>
              </w:rPr>
              <w:t>63</w:t>
            </w:r>
          </w:p>
        </w:tc>
      </w:tr>
    </w:tbl>
    <w:p w14:paraId="1BB6C7BF" w14:textId="3BA1FA85" w:rsidR="0086023B" w:rsidRPr="0086023B" w:rsidRDefault="0086023B" w:rsidP="0086023B">
      <w:pPr>
        <w:pStyle w:val="MDPI31text"/>
        <w:ind w:left="0" w:firstLine="0"/>
        <w:rPr>
          <w:rFonts w:ascii="Times New Roman" w:hAnsi="Times New Roman"/>
          <w:b/>
          <w:bCs/>
          <w:sz w:val="24"/>
          <w:szCs w:val="24"/>
        </w:rPr>
        <w:sectPr w:rsidR="0086023B" w:rsidRPr="0086023B" w:rsidSect="00613085">
          <w:headerReference w:type="even" r:id="rId16"/>
          <w:footerReference w:type="default" r:id="rId17"/>
          <w:footerReference w:type="first" r:id="rId18"/>
          <w:type w:val="continuous"/>
          <w:pgSz w:w="11906" w:h="16838" w:code="9"/>
          <w:pgMar w:top="1417" w:right="1701" w:bottom="1418" w:left="1701" w:header="1020" w:footer="340" w:gutter="0"/>
          <w:pgNumType w:start="1"/>
          <w:cols w:space="425"/>
          <w:titlePg/>
          <w:bidi/>
          <w:docGrid w:linePitch="326"/>
        </w:sectPr>
      </w:pPr>
    </w:p>
    <w:p w14:paraId="630AD3C6" w14:textId="77777777" w:rsidR="00086C21" w:rsidRDefault="00086C21" w:rsidP="00086C21">
      <w:pPr>
        <w:pStyle w:val="MDPI31text"/>
      </w:pPr>
    </w:p>
    <w:p w14:paraId="316B3D7B" w14:textId="64DB5593" w:rsidR="00086C21" w:rsidRPr="003A4A06" w:rsidRDefault="00E65C56" w:rsidP="003A4A06">
      <w:pPr>
        <w:spacing w:line="240" w:lineRule="auto"/>
        <w:jc w:val="center"/>
        <w:rPr>
          <w:rFonts w:ascii="Times New Roman" w:eastAsia="Times New Roman" w:hAnsi="Times New Roman"/>
          <w:snapToGrid w:val="0"/>
          <w:sz w:val="22"/>
          <w:lang w:eastAsia="de-DE" w:bidi="en-US"/>
        </w:rPr>
      </w:pPr>
      <w:bookmarkStart w:id="5" w:name="_Hlk141574869"/>
      <w:r w:rsidRPr="00E65C56">
        <w:rPr>
          <w:rFonts w:ascii="Times New Roman" w:eastAsia="Times New Roman" w:hAnsi="Times New Roman"/>
          <w:b/>
          <w:bCs/>
          <w:snapToGrid w:val="0"/>
          <w:sz w:val="22"/>
          <w:lang w:eastAsia="de-DE" w:bidi="en-US"/>
        </w:rPr>
        <w:t>Table</w:t>
      </w:r>
      <w:r w:rsidR="00EA5A1F">
        <w:rPr>
          <w:rFonts w:ascii="Times New Roman" w:eastAsia="Times New Roman" w:hAnsi="Times New Roman"/>
          <w:b/>
          <w:bCs/>
          <w:snapToGrid w:val="0"/>
          <w:sz w:val="22"/>
          <w:lang w:eastAsia="de-DE" w:bidi="en-US"/>
        </w:rPr>
        <w:t xml:space="preserve"> S3</w:t>
      </w:r>
      <w:r w:rsidR="003A4A06" w:rsidRPr="00117115">
        <w:rPr>
          <w:rFonts w:ascii="Times New Roman" w:eastAsia="Times New Roman" w:hAnsi="Times New Roman"/>
          <w:snapToGrid w:val="0"/>
          <w:sz w:val="22"/>
          <w:lang w:eastAsia="de-DE" w:bidi="en-US"/>
        </w:rPr>
        <w:t>. Quality of the included studies</w:t>
      </w:r>
    </w:p>
    <w:bookmarkEnd w:id="5"/>
    <w:p w14:paraId="7A225665" w14:textId="77777777" w:rsidR="00086C21" w:rsidRDefault="00086C21" w:rsidP="00086C21">
      <w:pPr>
        <w:pStyle w:val="MDPI31text"/>
      </w:pPr>
    </w:p>
    <w:tbl>
      <w:tblPr>
        <w:tblStyle w:val="Tablanormal2"/>
        <w:tblW w:w="5327" w:type="pct"/>
        <w:jc w:val="center"/>
        <w:tblLayout w:type="fixed"/>
        <w:tblLook w:val="04A0" w:firstRow="1" w:lastRow="0" w:firstColumn="1" w:lastColumn="0" w:noHBand="0" w:noVBand="1"/>
      </w:tblPr>
      <w:tblGrid>
        <w:gridCol w:w="343"/>
        <w:gridCol w:w="1786"/>
        <w:gridCol w:w="712"/>
        <w:gridCol w:w="995"/>
        <w:gridCol w:w="1475"/>
        <w:gridCol w:w="2225"/>
        <w:gridCol w:w="1538"/>
        <w:gridCol w:w="1372"/>
        <w:gridCol w:w="1541"/>
        <w:gridCol w:w="1541"/>
        <w:gridCol w:w="1368"/>
        <w:gridCol w:w="1026"/>
        <w:gridCol w:w="1355"/>
      </w:tblGrid>
      <w:tr w:rsidR="00B87499" w:rsidRPr="009142E0" w14:paraId="54659703" w14:textId="77777777" w:rsidTr="003D0B8D">
        <w:trPr>
          <w:gridBefore w:val="1"/>
          <w:cnfStyle w:val="100000000000" w:firstRow="1" w:lastRow="0" w:firstColumn="0" w:lastColumn="0" w:oddVBand="0" w:evenVBand="0" w:oddHBand="0" w:evenHBand="0" w:firstRowFirstColumn="0" w:firstRowLastColumn="0" w:lastRowFirstColumn="0" w:lastRowLastColumn="0"/>
          <w:wBefore w:w="99" w:type="pct"/>
          <w:trHeight w:val="765"/>
          <w:jc w:val="center"/>
        </w:trPr>
        <w:tc>
          <w:tcPr>
            <w:cnfStyle w:val="001000000000" w:firstRow="0" w:lastRow="0" w:firstColumn="1" w:lastColumn="0" w:oddVBand="0" w:evenVBand="0" w:oddHBand="0" w:evenHBand="0" w:firstRowFirstColumn="0" w:firstRowLastColumn="0" w:lastRowFirstColumn="0" w:lastRowLastColumn="0"/>
            <w:tcW w:w="517" w:type="pct"/>
            <w:vAlign w:val="center"/>
          </w:tcPr>
          <w:p w14:paraId="6F4E7E10" w14:textId="77777777" w:rsidR="00B87499" w:rsidRPr="009142E0" w:rsidRDefault="00B87499" w:rsidP="003D0B8D">
            <w:pPr>
              <w:tabs>
                <w:tab w:val="left" w:pos="7925"/>
              </w:tabs>
              <w:autoSpaceDE w:val="0"/>
              <w:autoSpaceDN w:val="0"/>
              <w:adjustRightInd w:val="0"/>
              <w:snapToGrid w:val="0"/>
              <w:spacing w:line="240" w:lineRule="auto"/>
              <w:jc w:val="center"/>
              <w:rPr>
                <w:rFonts w:ascii="Times New Roman" w:hAnsi="Times New Roman"/>
                <w:sz w:val="18"/>
                <w:szCs w:val="18"/>
              </w:rPr>
            </w:pPr>
            <w:r w:rsidRPr="009142E0">
              <w:rPr>
                <w:rFonts w:ascii="Times New Roman" w:hAnsi="Times New Roman"/>
                <w:sz w:val="18"/>
                <w:szCs w:val="18"/>
              </w:rPr>
              <w:t>Authors</w:t>
            </w:r>
          </w:p>
        </w:tc>
        <w:tc>
          <w:tcPr>
            <w:tcW w:w="206" w:type="pct"/>
            <w:vAlign w:val="center"/>
          </w:tcPr>
          <w:p w14:paraId="31473049"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Year</w:t>
            </w:r>
          </w:p>
        </w:tc>
        <w:tc>
          <w:tcPr>
            <w:tcW w:w="288" w:type="pct"/>
            <w:vAlign w:val="center"/>
          </w:tcPr>
          <w:p w14:paraId="13143FC2"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Eligibility criteria</w:t>
            </w:r>
          </w:p>
        </w:tc>
        <w:tc>
          <w:tcPr>
            <w:tcW w:w="427" w:type="pct"/>
            <w:vAlign w:val="center"/>
          </w:tcPr>
          <w:p w14:paraId="0ADEA3C9"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Study subjects and the setting</w:t>
            </w:r>
          </w:p>
        </w:tc>
        <w:tc>
          <w:tcPr>
            <w:tcW w:w="644" w:type="pct"/>
            <w:vAlign w:val="center"/>
          </w:tcPr>
          <w:p w14:paraId="1A3E133D"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Exposure measured in a valid and reliable way 'gold standard'</w:t>
            </w:r>
          </w:p>
        </w:tc>
        <w:tc>
          <w:tcPr>
            <w:tcW w:w="445" w:type="pct"/>
            <w:vAlign w:val="center"/>
          </w:tcPr>
          <w:p w14:paraId="5A74CDFF"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A specified diagnosis or definition</w:t>
            </w:r>
          </w:p>
        </w:tc>
        <w:tc>
          <w:tcPr>
            <w:tcW w:w="397" w:type="pct"/>
            <w:vAlign w:val="center"/>
          </w:tcPr>
          <w:p w14:paraId="4E0F8A60"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Confounding factors</w:t>
            </w:r>
          </w:p>
        </w:tc>
        <w:tc>
          <w:tcPr>
            <w:tcW w:w="446" w:type="pct"/>
            <w:vAlign w:val="center"/>
          </w:tcPr>
          <w:p w14:paraId="453C5D71"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Dealing with confounding factors</w:t>
            </w:r>
          </w:p>
        </w:tc>
        <w:tc>
          <w:tcPr>
            <w:tcW w:w="446" w:type="pct"/>
            <w:vAlign w:val="center"/>
          </w:tcPr>
          <w:p w14:paraId="37D9865A"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Outcomes measured in a valid and reliable way</w:t>
            </w:r>
          </w:p>
        </w:tc>
        <w:tc>
          <w:tcPr>
            <w:tcW w:w="396" w:type="pct"/>
            <w:vAlign w:val="center"/>
          </w:tcPr>
          <w:p w14:paraId="2F03FD6B"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Appropriate statistical analysis</w:t>
            </w:r>
          </w:p>
        </w:tc>
        <w:tc>
          <w:tcPr>
            <w:tcW w:w="297" w:type="pct"/>
            <w:vAlign w:val="center"/>
          </w:tcPr>
          <w:p w14:paraId="471DB9BA"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Scores (8)</w:t>
            </w:r>
          </w:p>
        </w:tc>
        <w:tc>
          <w:tcPr>
            <w:tcW w:w="392" w:type="pct"/>
            <w:vAlign w:val="center"/>
          </w:tcPr>
          <w:p w14:paraId="5A6AF5D3" w14:textId="77777777" w:rsidR="00B87499" w:rsidRPr="009142E0" w:rsidRDefault="00B87499" w:rsidP="003D0B8D">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9142E0">
              <w:rPr>
                <w:rFonts w:ascii="Times New Roman" w:hAnsi="Times New Roman"/>
                <w:sz w:val="18"/>
                <w:szCs w:val="18"/>
              </w:rPr>
              <w:t>Quality (high, moderate, low)</w:t>
            </w:r>
          </w:p>
        </w:tc>
      </w:tr>
      <w:tr w:rsidR="000E5DFC" w:rsidRPr="006F60BB" w14:paraId="32208A8C"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585F357D" w14:textId="77777777" w:rsidR="000E5DFC" w:rsidRPr="005134B0" w:rsidRDefault="000E5DFC" w:rsidP="000E5DFC">
            <w:pPr>
              <w:tabs>
                <w:tab w:val="left" w:pos="7925"/>
              </w:tabs>
              <w:autoSpaceDE w:val="0"/>
              <w:autoSpaceDN w:val="0"/>
              <w:adjustRightInd w:val="0"/>
              <w:snapToGrid w:val="0"/>
              <w:spacing w:line="240" w:lineRule="auto"/>
              <w:jc w:val="center"/>
              <w:rPr>
                <w:rFonts w:ascii="Times New Roman" w:hAnsi="Times New Roman"/>
                <w:szCs w:val="18"/>
                <w:lang w:val="es-PE"/>
              </w:rPr>
            </w:pPr>
            <w:r w:rsidRPr="00B5299D">
              <w:rPr>
                <w:rFonts w:ascii="Times New Roman" w:hAnsi="Times New Roman"/>
                <w:szCs w:val="18"/>
                <w:lang w:val="es-PE"/>
              </w:rPr>
              <w:t>Araoz-Salinas JM,</w:t>
            </w:r>
            <w:r>
              <w:rPr>
                <w:rFonts w:ascii="Times New Roman" w:hAnsi="Times New Roman"/>
                <w:szCs w:val="18"/>
                <w:lang w:val="es-PE"/>
              </w:rPr>
              <w:t xml:space="preserve"> et al. </w:t>
            </w:r>
            <w:r>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{"citationID":"MsnoCWjD","properties":{"formattedCitation":"[1]","plainCitation":"[1]","noteIndex":0},"citationItems":[{"id":12438,"uris":["http://zotero.org/users/6456139/items/8RW3UBG4"],"itemData":{"id":12438,"type":"article-journal","abstract":"Vaccination against mpox can control the outbreak by targeting high-risk groups such as the LGBTIQ+ community. The aim of the study was to evaluate the perceptions and intentions to get vaccinated against mpox among the LGBTIQ+ community in Peru. We conducted a cross-sectional study from 1 November 2022 to 17 January 2023 in Peru. We included individuals over 18 years old, belonging to the LGBTIQ+ community, and residing in the departments of Lima and Callao. To evaluate the factors associated with the intention to be vaccinated, we used Poisson regression with robust variance to create a multivariate model. The study comprised 373 individuals who self-identified as members of the LGBTIQ+ community. The participants had a mean age of 31 years (SD ± 9), with 85.0% males and 75.3% reporting to be homosexual men. The majority (88.5%) expressed their intention to receive the vaccine against mpox. Believing that the vaccine is safe was associated with a higher intention to be vaccinated (aPR: 1.24; 95% CI: 1.02 to 1.50; p = 0.028). Our study population showed a high level of mpox vaccination intent. Educational campaigns reinforcing the concept of vaccine safety should be conducted to increase the intention and possibly the vaccination rate in the LGBTIQ+ community.","container-title":"Vaccines","DOI":"10.3390/vaccines11051008","ISSN":"2076-393X","issue":"5","journalAbbreviation":"Vaccines (Basel)","language":"eng","note":"PMID: 37243112\nPMCID: PMC10220940","page":"1008","source":"PubMed","title":"Perceptions and Intention to Get Vaccinated against Mpox among the LGBTIQ+ Community during the 2022 Outbreak: A Cross-Sectional Study in Peru","title-short":"Perceptions and Intention to Get Vaccinated against Mpox among the LGBTIQ+ Community during the 2022 Outbreak","volume":"11","author":[{"family":"Araoz-Salinas","given":"Julieta M."},{"family":"Ortiz-Saavedra","given":"Brando"},{"family":"Ponce-Rosas","given":"Linda"},{"family":"Soriano-Moreno","given":"David R."},{"family":"Soriano-Moreno","given":"Anderson N."},{"family":"Alave","given":"Jorge"},{"family":"Gonzales-Zamora","given":"Jose A."}],"issued":{"date-parts":[["2023",5,21]]}}}],"schema":"https://github.com/citation-style-language/schema/raw/master/csl-citation.json"} </w:instrText>
            </w:r>
            <w:r>
              <w:rPr>
                <w:rFonts w:ascii="Times New Roman" w:hAnsi="Times New Roman"/>
                <w:szCs w:val="18"/>
                <w:lang w:val="es-PE"/>
              </w:rPr>
              <w:fldChar w:fldCharType="separate"/>
            </w:r>
            <w:r w:rsidRPr="00E618A1">
              <w:rPr>
                <w:rFonts w:ascii="Times New Roman" w:hAnsi="Times New Roman"/>
                <w:lang w:val="es-PE"/>
              </w:rPr>
              <w:t>[1]</w:t>
            </w:r>
            <w:r>
              <w:rPr>
                <w:rFonts w:ascii="Times New Roman" w:hAnsi="Times New Roman"/>
                <w:szCs w:val="18"/>
                <w:lang w:val="es-PE"/>
              </w:rPr>
              <w:fldChar w:fldCharType="end"/>
            </w:r>
          </w:p>
        </w:tc>
        <w:tc>
          <w:tcPr>
            <w:tcW w:w="206" w:type="pct"/>
            <w:vAlign w:val="center"/>
          </w:tcPr>
          <w:p w14:paraId="5793EFB9" w14:textId="77777777" w:rsidR="000E5DFC" w:rsidRPr="00DD047F"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DD047F">
              <w:rPr>
                <w:rFonts w:ascii="Times New Roman" w:hAnsi="Times New Roman"/>
                <w:szCs w:val="18"/>
              </w:rPr>
              <w:t>2023</w:t>
            </w:r>
          </w:p>
        </w:tc>
        <w:tc>
          <w:tcPr>
            <w:tcW w:w="288" w:type="pct"/>
            <w:vAlign w:val="center"/>
          </w:tcPr>
          <w:p w14:paraId="61607AF3" w14:textId="77777777"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27" w:type="pct"/>
            <w:vAlign w:val="center"/>
          </w:tcPr>
          <w:p w14:paraId="4D59A7F3" w14:textId="77777777"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644" w:type="pct"/>
            <w:vAlign w:val="center"/>
          </w:tcPr>
          <w:p w14:paraId="038CEFCB" w14:textId="77777777"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45" w:type="pct"/>
            <w:vAlign w:val="center"/>
          </w:tcPr>
          <w:p w14:paraId="50D80268" w14:textId="77777777"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397" w:type="pct"/>
            <w:vAlign w:val="center"/>
          </w:tcPr>
          <w:p w14:paraId="09E12A73" w14:textId="2265CDF9"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46" w:type="pct"/>
            <w:vAlign w:val="center"/>
          </w:tcPr>
          <w:p w14:paraId="1E262903" w14:textId="77777777"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NA</w:t>
            </w:r>
          </w:p>
        </w:tc>
        <w:tc>
          <w:tcPr>
            <w:tcW w:w="446" w:type="pct"/>
            <w:vAlign w:val="center"/>
          </w:tcPr>
          <w:p w14:paraId="39002A83" w14:textId="77777777"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396" w:type="pct"/>
            <w:vAlign w:val="center"/>
          </w:tcPr>
          <w:p w14:paraId="566BB5EF" w14:textId="77777777"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297" w:type="pct"/>
            <w:vAlign w:val="center"/>
          </w:tcPr>
          <w:p w14:paraId="7D2F8390" w14:textId="257E6FFC"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22D7212D" w14:textId="51ECDB3C" w:rsidR="000E5DFC" w:rsidRPr="006F60BB"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6F60BB" w14:paraId="2B3054FF"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256FF67A" w14:textId="77777777" w:rsidR="000E5DFC" w:rsidRPr="006F60BB"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5134B0">
              <w:rPr>
                <w:rFonts w:ascii="Times New Roman" w:hAnsi="Times New Roman"/>
                <w:szCs w:val="18"/>
                <w:lang w:val="es-PE"/>
              </w:rPr>
              <w:t>Mahameed H,</w:t>
            </w:r>
            <w:r>
              <w:rPr>
                <w:rFonts w:ascii="Times New Roman" w:hAnsi="Times New Roman"/>
                <w:szCs w:val="18"/>
                <w:lang w:val="es-PE"/>
              </w:rPr>
              <w:t xml:space="preserve"> et al. </w:t>
            </w:r>
            <w:r>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{"citationID":"UxpR1EYU","properties":{"formattedCitation":"[2]","plainCitation":"[2]","noteIndex":0},"citationItems":[{"id":12380,"uris":["http://zotero.org/users/6456139/items/ATZVLFE6"],"itemData":{"id":12380,"type":"article-journal","abstract":"During the ongoing multi-country monkeypox (Mpox) outbreak, healthcare workers (HCWs) have represented a key group in mitigating disease spread. The current study aimed to evaluate the attitude of nurses and physicians in Jordan towards Mpox vaccination, as well as their attitude towards compulsory vaccination against coronavirus disease 2019 (COVID-19), influenza, and Mpox. An online survey was distributed in January 2023 based on the previously validated 5C scale for psychological determinants of vaccination. Previous vaccination behavior was assessed by inquiring about the history of getting the primary and booster COVID-19 vaccination, influenza vaccine uptake during COVID-19, and any history of influenza vaccine uptake. The study sample consisted of 495 respondents: nurses (n = 302, 61.0%) and physicians (n = 193, 39.0%). Four hundred and thirty respondents (86.9%) had heard of Mpox before the study, and formed the final sample considered for Mpox knowledge analysis. Deficiencies in Mpox knowledge were reflected in a mean knowledge score of 13.3 ± 2.7 (out of 20.0 as the maximum score), with significantly lower knowledge among nurses and females. The intention to receive Mpox vaccination was reported by 28.9% of the participants (n = 143), while 33.3% were hesitant (n = 165), and 37.8% were resistant (n = 187). In multivariate analysis, Mpox vaccine acceptance was significantly associated with previous vaccination behavior, reflected in higher vaccine uptake and with higher 5C scores, while Mpox knowledge was not correlated with Mpox vaccination intention. The overall attitude towards compulsory vaccination was neutral, while a favorable attitude towards compulsory vaccination was associated with higher 5C scores and a history of previous vaccination uptake. The current study showed a low intention to get Mpox vaccination in a sample of nurses and physicians practicing in Jordan. The psychological factors and previous vaccination behavior appeared as the most significant determinants of Mpox vaccine acceptance and of attitudes towards compulsory vaccination. The consideration of these factors is central to policies and strategies aiming to promote vaccination among health professionals in efforts to prepare for future infectious disease epidemics.","container-title":"Vaccines","DOI":"10.3390/vaccines11050897","ISSN":"2076-393X","issue":"5","journalAbbreviation":"Vaccines (Basel)","language":"eng","note":"PMID: 37243001\nPMCID: PMC10221367","page":"897","source":"PubMed","title":"Previous Vaccination History and Psychological Factors as Significant Predictors of Willingness to Receive Mpox Vaccination and a Favorable Attitude towards Compulsory Vaccination","volume":"11","author":[{"family":"Mahameed","given":"Haneen"},{"family":"Al-Mahzoum","given":"Kholoud"},{"family":"AlRaie","given":"Lana A."},{"family":"Aburumman","given":"Razan"},{"family":"Al-Naimat","given":"Hala"},{"family":"Alhiary","given":"Sakher"},{"family":"Barakat","given":"Muna"},{"family":"Al-Tammemi","given":"Ala'a B."},{"family":"Salim","given":"Nesreen A."},{"family":"Sallam","given":"Malik"}],"issued":{"date-parts":[["2023",4,25]]}}}],"schema":"https://github.com/citation-style-language/schema/raw/master/csl-citation.json"} </w:instrText>
            </w:r>
            <w:r>
              <w:rPr>
                <w:rFonts w:ascii="Times New Roman" w:hAnsi="Times New Roman"/>
                <w:szCs w:val="18"/>
                <w:lang w:val="es-PE"/>
              </w:rPr>
              <w:fldChar w:fldCharType="separate"/>
            </w:r>
            <w:r w:rsidRPr="00E618A1">
              <w:rPr>
                <w:rFonts w:ascii="Times New Roman" w:hAnsi="Times New Roman"/>
              </w:rPr>
              <w:t>[2]</w:t>
            </w:r>
            <w:r>
              <w:rPr>
                <w:rFonts w:ascii="Times New Roman" w:hAnsi="Times New Roman"/>
                <w:szCs w:val="18"/>
                <w:lang w:val="es-PE"/>
              </w:rPr>
              <w:fldChar w:fldCharType="end"/>
            </w:r>
          </w:p>
        </w:tc>
        <w:tc>
          <w:tcPr>
            <w:tcW w:w="206" w:type="pct"/>
            <w:vAlign w:val="center"/>
          </w:tcPr>
          <w:p w14:paraId="534F6316"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279928BF"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27" w:type="pct"/>
            <w:vAlign w:val="center"/>
          </w:tcPr>
          <w:p w14:paraId="39BCF47D"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644" w:type="pct"/>
            <w:vAlign w:val="center"/>
          </w:tcPr>
          <w:p w14:paraId="20FC35BB"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45" w:type="pct"/>
            <w:vAlign w:val="center"/>
          </w:tcPr>
          <w:p w14:paraId="06A60401"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397" w:type="pct"/>
            <w:vAlign w:val="center"/>
          </w:tcPr>
          <w:p w14:paraId="29F44F44" w14:textId="0711A31F"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446" w:type="pct"/>
            <w:vAlign w:val="center"/>
          </w:tcPr>
          <w:p w14:paraId="1C91A053"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NA</w:t>
            </w:r>
          </w:p>
        </w:tc>
        <w:tc>
          <w:tcPr>
            <w:tcW w:w="446" w:type="pct"/>
            <w:vAlign w:val="center"/>
          </w:tcPr>
          <w:p w14:paraId="19C0419C"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396" w:type="pct"/>
            <w:vAlign w:val="center"/>
          </w:tcPr>
          <w:p w14:paraId="7FA1ACA6" w14:textId="77777777"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6F60BB">
              <w:rPr>
                <w:rFonts w:ascii="Times New Roman" w:hAnsi="Times New Roman"/>
                <w:sz w:val="18"/>
                <w:szCs w:val="18"/>
              </w:rPr>
              <w:t>Yes</w:t>
            </w:r>
          </w:p>
        </w:tc>
        <w:tc>
          <w:tcPr>
            <w:tcW w:w="297" w:type="pct"/>
            <w:vAlign w:val="center"/>
          </w:tcPr>
          <w:p w14:paraId="7869583C" w14:textId="16197944"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7C6AE06B" w14:textId="5AEFEB8C" w:rsidR="000E5DFC" w:rsidRPr="006F60BB"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6084D93D"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7839724E"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857ED2">
              <w:rPr>
                <w:rFonts w:ascii="Times New Roman" w:hAnsi="Times New Roman"/>
                <w:szCs w:val="18"/>
                <w:lang w:val="es-PE"/>
              </w:rPr>
              <w:t>Wang B,</w:t>
            </w:r>
            <w:r>
              <w:rPr>
                <w:rFonts w:ascii="Times New Roman" w:hAnsi="Times New Roman"/>
                <w:szCs w:val="18"/>
                <w:lang w:val="es-PE"/>
              </w:rPr>
              <w:t xml:space="preserve"> et al. </w:t>
            </w:r>
            <w:r>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{"citationID":"9gWCbvUf","properties":{"formattedCitation":"[3]","plainCitation":"[3]","noteIndex":0},"citationItems":[{"id":12383,"uris":["http://zotero.org/users/6456139/items/VI3HHIEE"],"itemData":{"id":12383,"type":"article-journal","abstract":"BACKGROUND: The World Health Organization declared monkeypox as a Public Health Emergency of International Concern. A cross-sectional online survey was conducted to understand beliefs, attitudes, perceived preventive measures, and vaccination acceptance related to monkeypox in the public in China.\nMETHODS: Between August 30 and September 15, 2022, we recruited adults through an online survey platform. Demographic characteristics, perceptions, common knowledge, concerns, attitudes, willingness to adopt preventive measures (including hygiene practices, social distancing, and travel avoidance), and vaccination acceptance related to monkeypox were collected. Logistic regression was used to assess correlates of concerns about monkeypox, willingness to adopt preventive measures, and vaccination acceptance.\nRESULTS: 2135 participants were recruited (median age: 31.4 years). 62.7% were concerned about monkeypox. 33.2% were more concerned about monkeypox compared to COVID-19. Males (aOR 0.61, 95%CI 0.50-0.74), accessing monkeypox information from the Internet (0.77, 0.61-0.98), and willingness to adopt monkeypox vaccine (2.9, 2.38-3.53) were associated with concerns about monkeypox. Most participants were willing to adopt precautions (76.3% hygiene practices, 68.2% social distancing, 85.9% travel avoidance). Individuals who were concerned about monkeypox (hygiene practices: 2.09, 1.69-2.59; social distancing: 1.78, 1.46-2.16; travel avoidance: 1.74, 1.34-2.26) and had better knowledge about monkeypox (hygiene practices: 1.85, 1.48-2.31; social distancing: 2.17, 1.77-2.66; travel avoidance: 1.74, 1.34-2.26) were more likely to adopt precautions. 68.8% were willing to adopt monkeypox vaccine. Participants with older age (aged 40-49: 0.57,</w:instrText>
            </w:r>
            <w:r>
              <w:rPr>
                <w:rFonts w:ascii="Times New Roman" w:hAnsi="Times New Roman" w:hint="eastAsia"/>
                <w:szCs w:val="18"/>
                <w:lang w:val="es-PE"/>
              </w:rPr>
              <w:instrText xml:space="preserve"> 0.38-0.85; aged 50 +: 0.50, 0.31-0.81), and higher income (¥6000-10,000: 0.61, 0.39-0.95; </w:instrText>
            </w:r>
            <w:r>
              <w:rPr>
                <w:rFonts w:ascii="Times New Roman" w:hAnsi="Times New Roman" w:hint="eastAsia"/>
                <w:szCs w:val="18"/>
                <w:lang w:val="es-PE"/>
              </w:rPr>
              <w:instrText>≥</w:instrText>
            </w:r>
            <w:r>
              <w:rPr>
                <w:rFonts w:ascii="Times New Roman" w:hAnsi="Times New Roman" w:hint="eastAsia"/>
                <w:szCs w:val="18"/>
                <w:lang w:val="es-PE"/>
              </w:rPr>
              <w:instrText xml:space="preserve">¥10,000: 0.48, 0.30-0.77) were less likely to adopt the monkeypox vaccine. Being concerned more about monkeypox compared to COVID-19 (1.63, 1.31-2.02), and having </w:instrText>
            </w:r>
            <w:r>
              <w:rPr>
                <w:rFonts w:ascii="Times New Roman" w:hAnsi="Times New Roman"/>
                <w:szCs w:val="18"/>
                <w:lang w:val="es-PE"/>
              </w:rPr>
              <w:instrText>be</w:instrText>
            </w:r>
            <w:r w:rsidRPr="00F10369">
              <w:rPr>
                <w:rFonts w:ascii="Times New Roman" w:hAnsi="Times New Roman"/>
                <w:szCs w:val="18"/>
              </w:rPr>
              <w:instrText xml:space="preserve">tter knowledge about monkeypox (1.34, 1.09-1.66) were associated with willingness to adopt vaccination.\nCONCLUSIONS: Compared with COVID-19, monkeypox attracted significantly less attention in the public in China, who currently have insufficient monkeypox knowledge. Interventions aimed at improving monkeypox knowledge and precautions among different groups of individuals in China are needed.","container-title":"Journal of Infection and Public Health","DOI":"10.1016/j.jiph.2022.12.010","ISSN":"1876-035X","issue":"2","journalAbbreviation":"J Infect Public Health","language":"eng","note":"PMID: 36535136\nPMCID: PMC9743792","page":"163-170","source":"PubMed","title":"Perceptions, precautions, and vaccine acceptance related to monkeypox in the public in China: A cross-sectional survey","title-short":"Perceptions, precautions, and vaccine acceptance related to monkeypox in the public in China","volume":"16","author":[{"family":"Wang","given":"Bingyi"},{"family":"Peng","given":"Xin"},{"family":"Li","given":"Yuwei"},{"family":"Fu","given":"Leiwen"},{"family":"Tian","given":"Tian"},{"family":"Liang","given":"Bingyu"},{"family":"Sun","given":"Yinghui"},{"family":"Chen","given":"Yuanyi"},{"family":"Wu","given":"Xinsheng"},{"family":"Liu","given":"Qi"},{"family":"Lin","given":"Yi-Fan"},{"family":"Meng","given":"Xiaojun"},{"family":"Zou","given":"Huachun"}],"issued":{"date-parts":[["2023",2]]}}}],"schema":"https://github.com/citation-style-language/schema/raw/master/csl-citation.json"} </w:instrText>
            </w:r>
            <w:r>
              <w:rPr>
                <w:rFonts w:ascii="Times New Roman" w:hAnsi="Times New Roman"/>
                <w:szCs w:val="18"/>
                <w:lang w:val="es-PE"/>
              </w:rPr>
              <w:fldChar w:fldCharType="separate"/>
            </w:r>
            <w:r w:rsidRPr="00E618A1">
              <w:rPr>
                <w:rFonts w:ascii="Times New Roman" w:hAnsi="Times New Roman"/>
              </w:rPr>
              <w:t>[3]</w:t>
            </w:r>
            <w:r>
              <w:rPr>
                <w:rFonts w:ascii="Times New Roman" w:hAnsi="Times New Roman"/>
                <w:szCs w:val="18"/>
                <w:lang w:val="es-PE"/>
              </w:rPr>
              <w:fldChar w:fldCharType="end"/>
            </w:r>
          </w:p>
        </w:tc>
        <w:tc>
          <w:tcPr>
            <w:tcW w:w="206" w:type="pct"/>
            <w:vAlign w:val="center"/>
          </w:tcPr>
          <w:p w14:paraId="4EE318F7"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794194AB"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27" w:type="pct"/>
            <w:vAlign w:val="center"/>
          </w:tcPr>
          <w:p w14:paraId="63F15543"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644" w:type="pct"/>
            <w:vAlign w:val="center"/>
          </w:tcPr>
          <w:p w14:paraId="3C60CFF8"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5" w:type="pct"/>
            <w:vAlign w:val="center"/>
          </w:tcPr>
          <w:p w14:paraId="691734C2"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7" w:type="pct"/>
            <w:vAlign w:val="center"/>
          </w:tcPr>
          <w:p w14:paraId="3A4FE43F" w14:textId="3009F61D"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6" w:type="pct"/>
            <w:vAlign w:val="center"/>
          </w:tcPr>
          <w:p w14:paraId="25F422B3"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21E3F064"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6" w:type="pct"/>
            <w:vAlign w:val="center"/>
          </w:tcPr>
          <w:p w14:paraId="4089EB1E"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297" w:type="pct"/>
            <w:vAlign w:val="center"/>
          </w:tcPr>
          <w:p w14:paraId="060DBFFC" w14:textId="471E908E"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588AD11B" w14:textId="5B34E441"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B87499" w14:paraId="4FB15463"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638EF098" w14:textId="77777777" w:rsidR="000E5DFC" w:rsidRPr="00213DFE"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0E5DFC">
              <w:rPr>
                <w:rFonts w:ascii="Times New Roman" w:hAnsi="Times New Roman"/>
                <w:szCs w:val="18"/>
              </w:rPr>
              <w:t xml:space="preserve">Al-Mustapha AI, et al. </w:t>
            </w:r>
            <w:r>
              <w:rPr>
                <w:rFonts w:ascii="Times New Roman" w:hAnsi="Times New Roman"/>
                <w:szCs w:val="18"/>
                <w:lang w:val="es-PE"/>
              </w:rPr>
              <w:fldChar w:fldCharType="begin"/>
            </w:r>
            <w:r w:rsidRPr="000E5DFC">
              <w:rPr>
                <w:rFonts w:ascii="Times New Roman" w:hAnsi="Times New Roman"/>
                <w:szCs w:val="18"/>
              </w:rPr>
              <w:instrText xml:space="preserve"> ADDIN ZOTERO_ITEM CSL_CITATION {"citationID":"KKSlRyJV","properties":{"formattedCitation":"[4]","plainCitation":"[4]","noteIndex":0},"citationItems":[{"id":11694,"uris":["http://zotero.org/users/6456139/items/XYQ5BSUF"],"itemData":{"id":11694,"type":"article-journal","abstract":"The Monkeypox Disease (MPXD) gained attention due to its widened geographical distribution outside of Africa, Hence, a it was declared a global health emergency. The index case in Europe was from a Nigerian traveller. This study assessed public awareness and knowledge of the MPXD by conducting an online, cross-sectional survey of educated Nigerians. A total of 822 respondents were recruited using the snowball sampling method between the 16th to 29th of August 2022. More responses were retrieved from the Northeastern geopolitical region (30.1%, n=220) than other regions. Descriptive statistics revealed that 89% (n=731/822) of the study participants were aware of the MPXD but only 58.7% (n=429/731) of them had good knowledge of the disease with a mean knowledge score of 5.31±2.09. The main knowledge gaps were in the incubation period of the disease, the signs and symptoms, its mode of transmission, and preventive practices needed to curb the spread of the monkeypox virus (MPXV). Specifically, only 24.5% (n=179) of them knew that MPXV can be transmitted via sexual contact. Most of the study participants (79.2%, n=651) op</w:instrText>
            </w:r>
            <w:r w:rsidRPr="009A18F8">
              <w:rPr>
                <w:rFonts w:ascii="Times New Roman" w:hAnsi="Times New Roman"/>
                <w:szCs w:val="18"/>
                <w:lang w:val="es-PE"/>
              </w:rPr>
              <w:instrText>ined t</w:instrText>
            </w:r>
            <w:r w:rsidRPr="00E618A1">
              <w:rPr>
                <w:rFonts w:ascii="Times New Roman" w:hAnsi="Times New Roman"/>
                <w:szCs w:val="18"/>
                <w:lang w:val="es-PE"/>
              </w:rPr>
              <w:instrText>hat we can prevent the occurrence of public health emergencies in the future. The multivariable logistic regression analysis revealed that of the socio-demographic variables, the male gender (OR: 1.69; 95% CI: 1.22,2.33); Ph.D. level education (1.44; 95% CI: 1.048,4.23); and being homosexual (OR:1.65; 95% CI: 1.07,3.78) were significantly associated with good knowledge of MPXD. Despite the varying prevalence across the country, the region of</w:instrText>
            </w:r>
            <w:r w:rsidRPr="009A18F8">
              <w:rPr>
                <w:rFonts w:ascii="Times New Roman" w:hAnsi="Times New Roman"/>
                <w:szCs w:val="18"/>
                <w:lang w:val="es-PE"/>
              </w:rPr>
              <w:instrText xml:space="preserve"> residence within Nigeria did not influence the knowledge of MPXD among the respondents. The knowledge gaps necessitate intensified public health risk communication with a focus on modes of transmission and the preventive measures needed to curb the spread of the MPXV.","container-title":"BMC public health","DOI":"10.1186/s12889-023-15398-0","ISSN":"1471-2458","issue":"1","journalAbbreviation":"BMC Public Health","language":"eng","note":"PMID: 36991417\nPMCID: PMC10054201","page":"591","source":"PubMed","title":"A cross-sectional survey of public knowledge of the monkeypox disease in Nigeria","volume":"23","author":[{"family":"Al-Mustapha","given":"Ahmad Ibrahim"},{"family":"Ogundijo","given":"Oluwaseun Adeolu"},{"family":"Sikiru","given":"Nafisah Ayinde"},{"family":"Kolawole","given":"Barakat"},{"family":"Oyewo","given":"Muftau"},{"family":"El-Nadi","given":"Hager"},{"family":"Mustapha","given":"Ashiru Mohammed"},{"family":"Adebudo","given":"Lucky Icomiare"},{"family":"Odukoya","given":"Adesoji"},{"family":"Asiegbu","given":"Emmanuella Chinenye"},{"family":"Nanven","given":"Magdalene B."},{"</w:instrText>
            </w:r>
            <w:r w:rsidRPr="00213DFE">
              <w:rPr>
                <w:rFonts w:ascii="Times New Roman" w:hAnsi="Times New Roman"/>
                <w:szCs w:val="18"/>
              </w:rPr>
              <w:instrText xml:space="preserve">family":"Lawal-Atolagbe","given":"Taibat"},{"family":"Lawal-Lah","given":"Fatima"},{"family":"Awoyale","given":"Oladayo David"},{"family":"Abubakar","given":"Ahmed Tijani"},{"family":"Sahabi","given":"Kabiru"},{"family":"Babandi","given":"Zaharadeen S."}],"issued":{"date-parts":[["2023",3,29]]}}}],"schema":"https://github.com/citation-style-language/schema/raw/master/csl-citation.json"} </w:instrText>
            </w:r>
            <w:r>
              <w:rPr>
                <w:rFonts w:ascii="Times New Roman" w:hAnsi="Times New Roman"/>
                <w:szCs w:val="18"/>
                <w:lang w:val="es-PE"/>
              </w:rPr>
              <w:fldChar w:fldCharType="separate"/>
            </w:r>
            <w:r w:rsidRPr="00213DFE">
              <w:rPr>
                <w:rFonts w:ascii="Times New Roman" w:hAnsi="Times New Roman"/>
              </w:rPr>
              <w:t>[4]</w:t>
            </w:r>
            <w:r>
              <w:rPr>
                <w:rFonts w:ascii="Times New Roman" w:hAnsi="Times New Roman"/>
                <w:szCs w:val="18"/>
                <w:lang w:val="es-PE"/>
              </w:rPr>
              <w:fldChar w:fldCharType="end"/>
            </w:r>
          </w:p>
        </w:tc>
        <w:tc>
          <w:tcPr>
            <w:tcW w:w="206" w:type="pct"/>
            <w:vAlign w:val="center"/>
          </w:tcPr>
          <w:p w14:paraId="7DB0E596"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Cs w:val="18"/>
              </w:rPr>
              <w:t>2023</w:t>
            </w:r>
          </w:p>
        </w:tc>
        <w:tc>
          <w:tcPr>
            <w:tcW w:w="288" w:type="pct"/>
            <w:vAlign w:val="center"/>
          </w:tcPr>
          <w:p w14:paraId="06649AB1"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427" w:type="pct"/>
            <w:vAlign w:val="center"/>
          </w:tcPr>
          <w:p w14:paraId="5C8F1AB1"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644" w:type="pct"/>
            <w:vAlign w:val="center"/>
          </w:tcPr>
          <w:p w14:paraId="78FFE073"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445" w:type="pct"/>
            <w:vAlign w:val="center"/>
          </w:tcPr>
          <w:p w14:paraId="0B52880D"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397" w:type="pct"/>
            <w:vAlign w:val="center"/>
          </w:tcPr>
          <w:p w14:paraId="783A2054" w14:textId="17A72209"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446" w:type="pct"/>
            <w:vAlign w:val="center"/>
          </w:tcPr>
          <w:p w14:paraId="68F72CE6"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NA</w:t>
            </w:r>
          </w:p>
        </w:tc>
        <w:tc>
          <w:tcPr>
            <w:tcW w:w="446" w:type="pct"/>
            <w:vAlign w:val="center"/>
          </w:tcPr>
          <w:p w14:paraId="6D827374"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396" w:type="pct"/>
            <w:vAlign w:val="center"/>
          </w:tcPr>
          <w:p w14:paraId="40942BAA" w14:textId="77777777"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297" w:type="pct"/>
            <w:vAlign w:val="center"/>
          </w:tcPr>
          <w:p w14:paraId="0F5C02C9" w14:textId="605BE163"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57E38D51" w14:textId="12E2A3F1" w:rsidR="000E5DFC" w:rsidRPr="00213DFE"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B87499" w14:paraId="065D8467"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60FF2C62" w14:textId="77777777" w:rsidR="000E5DFC" w:rsidRPr="00213DFE"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213DFE">
              <w:rPr>
                <w:rFonts w:ascii="Times New Roman" w:hAnsi="Times New Roman"/>
                <w:szCs w:val="18"/>
              </w:rPr>
              <w:t xml:space="preserve">Fu L, et al. </w:t>
            </w:r>
            <w:r>
              <w:rPr>
                <w:rFonts w:ascii="Times New Roman" w:hAnsi="Times New Roman"/>
                <w:szCs w:val="18"/>
                <w:lang w:val="es-PE"/>
              </w:rPr>
              <w:fldChar w:fldCharType="begin"/>
            </w:r>
            <w:r w:rsidRPr="00213DFE">
              <w:rPr>
                <w:rFonts w:ascii="Times New Roman" w:hAnsi="Times New Roman"/>
                <w:szCs w:val="18"/>
              </w:rPr>
              <w:instrText xml:space="preserve"> ADDIN ZOTERO_ITEM CSL_CITATION {"citationID":"dwMXsR42","properties":{"formattedCitation":"[5]","plainCitation":"[5]","noteIndex":0},"cita</w:instrText>
            </w:r>
            <w:r>
              <w:rPr>
                <w:rFonts w:ascii="Times New Roman" w:hAnsi="Times New Roman"/>
                <w:szCs w:val="18"/>
              </w:rPr>
              <w:instrText xml:space="preserve">tionItems":[{"id":12375,"uris":["http://zotero.org/users/6456139/items/SWU25J9W"],"itemData":{"id":12375,"type":"article-journal","abstract":"BACKGROUND: Men who have sex with men (MSM) living with HIV make up the majority of cases in the current Mpox outbreak. We aimed to investigate the perception of and vaccine readiness towards Mpox among MSM living with HIV in China.\nMETHODS: This cross-sectional online study was conducted from 10 August to 9 September 2022. Participants responded to survey questions about their socio-demographic information, HIV status, sexual behaviors, knowledge of Mpox, and attitudes towards Mpox vaccines.\nRESULTS: A total of 577 MSM living with HIV participated in the study. A total of 37.6% expressed concerns about the Mpox epidemic in China, and 56.8% were willing to get the Mpox vaccine. Men who had &gt; four sexual partners in the previous three months (aOR = 1.9 95% CI: 1.2-2.8 Ref: 0), had close contact with &gt; four individuals in a day (3.1, 1.5-6.5 Ref: 0-3), were worried about the Mpox epidemic in China (1.6, 1.1-2.3 Ref: No), and believed that Mpox vaccines are safe (6.6, 2.7-16.4 Ref: No or not sure) and effective (1.9, 1.1-3.3 Ref: No) for people living with HIV were more likely to be willing to get the Mpox vaccine. MSM living with HIV with a high school education or below (0.5, 0.3-0.9 Ref: Postgraduate diploma), and sometimes (0.5, 0.3-0.8 Ref: Often), seldom, or never (0.5, 0.3-0.9 Ref: Often) followed news about Mpox were unwilling to get the Mpox vaccine.\nCONCLUSION: The ongoing Mpox pandemic has not attracted widespread concerns among MSM living with HIV in China. </w:instrText>
            </w:r>
            <w:r w:rsidRPr="00213DFE">
              <w:rPr>
                <w:rFonts w:ascii="Times New Roman" w:hAnsi="Times New Roman"/>
                <w:szCs w:val="18"/>
              </w:rPr>
              <w:instrText xml:space="preserve">Having more sexual partners and close contacts, worrying about the Mpox epidemic, and believing in the vaccine's safety and efficacy were predictors of their willingness to get the Mpox vaccine. Efforts should be made to raise awareness of the potential risk of Mpox in this at-risk population. Public health strategies should fully address predictors of vaccination willingness.","container-title":"Vaccines","DOI":"10.3390/vaccines11030528","ISSN":"2076-393X","issue":"3","journalAbbreviation":"Vaccines (Basel)","language":"eng","note":"PMID: 36992114\nPMCID: PMC10059946","page":"528","source":"PubMed","title":"Perception of and Vaccine Readiness towards Mpox among Men Who Have Sex with Men Living with HIV in China: A Cross-Sectional Study","title-short":"Perception of and Vaccine Readiness towards Mpox among Men Who Have Sex with Men Living with HIV in China","volume":"11","author":[{"family":"Fu","given":"Leiwen"},{"family":"Sun","given":"Yinghui"},{"family":"Li","given":"Yuwei"},{"family":"Wang","given":"Bingyi"},{"family":"Yang","given":"Luoyao"},{"family":"Tian","given":"Tian"},{"family":"Wu","given":"Xinsheng"},{"family":"Peng","given":"Xin"},{"family":"Liu","given":"Qi"},{"family":"Chen","given":"Yuanyi"},{"family":"Lin","given":"Yi-Fan"},{"family":"Li","given":"Hui"},{"family":"Meng","given":"Xiaojun"},{"family":"Zou","given":"Huachun"}],"issued":{"date-parts":[["2023",2,23]]}}}],"schema":"https://github.com/citation-style-language/schema/raw/master/csl-citation.json"} </w:instrText>
            </w:r>
            <w:r>
              <w:rPr>
                <w:rFonts w:ascii="Times New Roman" w:hAnsi="Times New Roman"/>
                <w:szCs w:val="18"/>
                <w:lang w:val="es-PE"/>
              </w:rPr>
              <w:fldChar w:fldCharType="separate"/>
            </w:r>
            <w:r w:rsidRPr="00213DFE">
              <w:rPr>
                <w:rFonts w:ascii="Times New Roman" w:hAnsi="Times New Roman"/>
              </w:rPr>
              <w:t>[5]</w:t>
            </w:r>
            <w:r>
              <w:rPr>
                <w:rFonts w:ascii="Times New Roman" w:hAnsi="Times New Roman"/>
                <w:szCs w:val="18"/>
                <w:lang w:val="es-PE"/>
              </w:rPr>
              <w:fldChar w:fldCharType="end"/>
            </w:r>
          </w:p>
        </w:tc>
        <w:tc>
          <w:tcPr>
            <w:tcW w:w="206" w:type="pct"/>
            <w:vAlign w:val="center"/>
          </w:tcPr>
          <w:p w14:paraId="3856A450"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Cs w:val="18"/>
              </w:rPr>
              <w:t>2023</w:t>
            </w:r>
          </w:p>
        </w:tc>
        <w:tc>
          <w:tcPr>
            <w:tcW w:w="288" w:type="pct"/>
            <w:vAlign w:val="center"/>
          </w:tcPr>
          <w:p w14:paraId="6EEA5C70"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427" w:type="pct"/>
            <w:vAlign w:val="center"/>
          </w:tcPr>
          <w:p w14:paraId="2FE92A8D"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644" w:type="pct"/>
            <w:vAlign w:val="center"/>
          </w:tcPr>
          <w:p w14:paraId="1F12326D"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445" w:type="pct"/>
            <w:vAlign w:val="center"/>
          </w:tcPr>
          <w:p w14:paraId="182532DA"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397" w:type="pct"/>
            <w:vAlign w:val="center"/>
          </w:tcPr>
          <w:p w14:paraId="661C91F6" w14:textId="5C229F3E"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446" w:type="pct"/>
            <w:vAlign w:val="center"/>
          </w:tcPr>
          <w:p w14:paraId="7118701E"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NA</w:t>
            </w:r>
          </w:p>
        </w:tc>
        <w:tc>
          <w:tcPr>
            <w:tcW w:w="446" w:type="pct"/>
            <w:vAlign w:val="center"/>
          </w:tcPr>
          <w:p w14:paraId="5192225D"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396" w:type="pct"/>
            <w:vAlign w:val="center"/>
          </w:tcPr>
          <w:p w14:paraId="6E3D202D" w14:textId="77777777"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213DFE">
              <w:rPr>
                <w:rFonts w:ascii="Times New Roman" w:hAnsi="Times New Roman"/>
                <w:sz w:val="18"/>
                <w:szCs w:val="18"/>
              </w:rPr>
              <w:t>Yes</w:t>
            </w:r>
          </w:p>
        </w:tc>
        <w:tc>
          <w:tcPr>
            <w:tcW w:w="297" w:type="pct"/>
            <w:vAlign w:val="center"/>
          </w:tcPr>
          <w:p w14:paraId="3A0848BF" w14:textId="6E355855"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6ADB9E87" w14:textId="01BEFC30" w:rsidR="000E5DFC" w:rsidRPr="00213DFE"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53E6D986"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4CAD1180"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213DFE">
              <w:rPr>
                <w:rFonts w:ascii="Times New Roman" w:hAnsi="Times New Roman"/>
                <w:szCs w:val="18"/>
              </w:rPr>
              <w:t xml:space="preserve">Dukers-Muijrers NHTM, et al. </w:t>
            </w:r>
            <w:r>
              <w:rPr>
                <w:rFonts w:ascii="Times New Roman" w:hAnsi="Times New Roman"/>
                <w:szCs w:val="18"/>
              </w:rPr>
              <w:fldChar w:fldCharType="begin"/>
            </w:r>
            <w:r w:rsidRPr="00213DFE">
              <w:rPr>
                <w:rFonts w:ascii="Times New Roman" w:hAnsi="Times New Roman"/>
                <w:szCs w:val="18"/>
              </w:rPr>
              <w:instrText xml:space="preserve"> ADDIN ZOTERO_ITEM CSL_CITATION {"citationID":"ksd1pqnN","properties":{"formattedCitation":"[6]","plainCitation":"[6]","not</w:instrText>
            </w:r>
            <w:r>
              <w:rPr>
                <w:rFonts w:ascii="Times New Roman" w:hAnsi="Times New Roman"/>
                <w:szCs w:val="18"/>
              </w:rPr>
              <w:instrText xml:space="preserve">eIndex":0},"citationItems":[{"id":1472,"uris":["http://zotero.org/users/6456139/items/3L4KJWUR"],"itemData":{"id":1472,"type":"article-journal","abstract":"INTRODUCTION: In the 2022 multicountry mpox (formerly named monkeypox) outbreak, several countries offered primary preventive vaccination (PPV) to people at higher risk for infection. We study vaccine acceptance and its determinants, to target and tailor public health (communication-) strategies in the context of limited vaccine supply in the Netherlands.\nMETHODS: Online survey in a convenience sample of gay, bisexual and other men who have sex with men, including transgender persons (22/07-05/09/2022, the Netherlands). We assessed determinants for being (un)willing to accept vaccination. We used multivariable multinominal regression and logistic regression analyses, calculating adjusted odds ratios (aOR) and 95 percent confidence-intervals. An open question asked for campaigning and procedural recommendations.\nRESULTS: Of respondents, 81.5% (n = 1,512/1,856) were willing to accept vaccination; this was 85.2% (799/938) in vaccination-eligible people and 77.7% (713/918) in those non-eligible. Determinants for non-acceptance included: urbanization (rural: aOR:2.2;1.2-3.7; low-urban: aOR:2.4;1.4-3.9; vs. high-urban), not knowing mpox-vaccinated persons (aOR:2.4;1.6-3.4), and lack of connection to gay/queer-community (aOR:2.0;1.5-2.7). Beliefs associated with acceptance were: perception of higher risk/severity of mpox, higher protection motivation, positive outcome expectations post vaccination, and perceived positive social norms regarding vaccination. Respondents recommended better accessible communication, delivered regularly and stigma-free, with facts on mpox, vaccination and procedures, and other preventive options. Also, they recommended, \"vaccine provision also at non-clinic settings, discrete/anonymous options, self-registration\" to be vaccinated and other inclusive vaccine-offers (e.g., also accessible to people not in existing patient-registries).\nCONCLUSION: In the public health response to the mpox outbreak, key is a broad and equitable access to information, and to low-threshold vaccination options for those at highest risk. Communication should be uniform and transparent and tailored to beliefs, and include other preventive options. Mpox vaccine willingness was high. Public health efforts may be strengthened in less urbanized areas and reach out to those who lack relevant (community) social network influences.","container-title":"Frontiers in Public Health","DOI":"10.3389/fpubh.2022.1058807","ISSN":"2296-2565","journalAbbreviation":"Front Public Health","language":"eng","note":"PMID: 36684959\nPMCID: PMC9850232","page":"1058807","source":"PubMed","title":"Mpox vaccination willingness, determinants, and communication needs in gay, bisexual, and other men who have sex with men, in the context of limited vaccine availability in the Netherlands (Dutch Mpox-survey)","volume":"10","author":[{"family":"Dukers-Muijrers","given":"Nicole H. T. M."},{"family":"Evers","given":"Ymke"},{"family":"Widdershoven","given":"Veja"},{"family":"Davidovich","given":"Udi"},{"family":"Adam","given":"Philippe C. G."},{"family":"Op de Coul","given":"Eline L. M."},{"family":"Zantkuijl","given":"Paul"},{"family":"Matser","given":"Amy"},{"family":"Prins","given":"Maria"},{"family":"Vries","given":"Henry J. C.","non-dropping-particle":"de"},{"family":"Heijer","given":"Casper","non-dropping-particle":"den"},{"family":"Hoebe","given":"Christian J. P. A."},{"family":"Niekamp","given":"Anne-Marie"},{"family":"Schneider","given":"Francine"},{"family":"Reyes-Urueña","given":"Juliana"},{"family":"Croci","given":"Roberto"},{"family":"D'Ambrosio","given":"Angelo"},{"family":"Valk","given":"Marc","non-dropping-particle":"van der"},{"family":"Posthouwer","given":"Dirk"},{"family":"Ackens","given":"Robin"},{"family":"Ter Waarbeek","given":"Henriette"},{"family":"Noori","given":"Teymur"},{"family":"Hoornenborg","given":"Elske"}],"issued":{"date-parts":[["2022"]]}}}],"schema":"https://github.com/citation-style-language/schema/raw/master/csl-citation.json"}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[6]</w:t>
            </w:r>
            <w:r>
              <w:rPr>
                <w:rFonts w:ascii="Times New Roman" w:hAnsi="Times New Roman"/>
                <w:szCs w:val="18"/>
              </w:rPr>
              <w:fldChar w:fldCharType="end"/>
            </w:r>
          </w:p>
        </w:tc>
        <w:tc>
          <w:tcPr>
            <w:tcW w:w="206" w:type="pct"/>
            <w:vAlign w:val="center"/>
          </w:tcPr>
          <w:p w14:paraId="26852A2D"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5DAFCF8C"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3CBA0779"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47BD9016"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4E4D81BF"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0E77497E" w14:textId="464B9E3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114B16BB"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08B3C101"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72FFF843"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60E40552" w14:textId="52E52B54"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26ACF2AF" w14:textId="48B1ADA3"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1B6EF53D"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5A33BB20"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852A30">
              <w:rPr>
                <w:rFonts w:ascii="Times New Roman" w:hAnsi="Times New Roman"/>
                <w:szCs w:val="18"/>
              </w:rPr>
              <w:t xml:space="preserve">Tran BX, et al. </w:t>
            </w:r>
            <w:r>
              <w:rPr>
                <w:rFonts w:ascii="Times New Roman" w:hAnsi="Times New Roman"/>
                <w:szCs w:val="18"/>
              </w:rPr>
              <w:fldChar w:fldCharType="begin"/>
            </w:r>
            <w:r>
              <w:rPr>
                <w:rFonts w:ascii="Times New Roman" w:hAnsi="Times New Roman"/>
                <w:szCs w:val="18"/>
              </w:rPr>
              <w:instrText xml:space="preserve"> ADDIN ZOTERO_ITEM CSL_CITATION {"citationID":"7aFcGnxK","properties":{"formattedCitation":"[7]","plainCitation":"[7]","noteIndex":0},"citationItems":[{"id":12369,"uris":["http://zotero.org/users/6456139/items/45LBYGK7"],"itemData":{"id":12369,"type":"article-journal","abstract":"BACKGROUND: The latent monkeypox outbreak has become the most emergent public health challenge globally. This study was conducted to assess the acceptability, and willingness to take and pay for a hypothetical Monkeypox vaccine among the Vietnamese general public as well as investigate preference for individual vaccine attributes.\nMETHODS: An online cross-sectional study was conducted using snowball sampling among 842 respondents in Vietnam in 2022. A Discrete choice experiment (DCE) on preference for six major attributes of vaccine: effectiveness, immunity duration, side effects, mortality rate, restriction, and the cost was applied.\nRESULTS: Fear of the impact of monkeypox on public health and the economy, vaccine service satisfaction and responsibility to the community were the most weighted factors in the decision to take a hypothetical monkeypox vaccine. Two-thirds of participants were willing to take the vaccine, while insufficient information on monkeypox and the vaccine were the main reasons for vaccine hesitancy. For vaccine attributes, the mortality rate after seven days of vaccination was the most weighted while cost was the least influential attribute. Factors associated with willingness to take and to pay for the monkeypox vaccine included knowledge of transmission, geographical location, service satisfaction, and risk of infection, while financial burden and fear of vaccine were major drivers of hesitancy.\nCONCLUSION: Our findings underline an urgent need for effective information dissemination through social media and counseling. The implementation of nationwide monkeypox vaccination requires prioritization and support for high-risk groups as well as consideration for the country's financial resources.","container-title":"Journal of Global Health","DOI":"10.7189/jogh.13.04033","ISSN":"2047-2986","journalAbbreviation":"J Glob Health","language":"eng","note":"PMID: 37144922\nPMCID: PMC10161964","page":"04033","source":"PubMed","title":"Crucial choices in a global health crisis: Revealing the demand and willingness to pay for a hypothetical monkeypox vaccine - the PREVENT study","title-short":"Crucial choices in a global health crisis","volume":"13","author":[{"family":"Tran","given":"Bach Xuan"},{"family":"Anh Do","given":"Linh"},{"family":"Hoang","given":"Thao Phuong"},{"family":"Boyer","given":"Laurent"},{"family":"Auquier","given":"Pascal"},{"family":"Fond","given":"Guillaume"},{"family":"Le","given":"Huong Thi"},{"family":"Le Vu","given":"Minh Ngoc"},{"family":"Dang","given":"Trang Huyen Thi"},{"family":"Nguyen","given":"Anh Hai Tran"},{"family":"Latkin","given":"Carl A."},{"family":"Ho","given":"Roger Cm"},{"family":"Ho","given":"Cyrus Sh"},{"family":"Zhang","given":"Melvyn Wb"}],"issued":{"date-parts":[["2023",5,5]]}}}],"schema":"https://github.com/citation-style-language/schema/raw/master/csl-citation.json"}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[7]</w:t>
            </w:r>
            <w:r>
              <w:rPr>
                <w:rFonts w:ascii="Times New Roman" w:hAnsi="Times New Roman"/>
                <w:szCs w:val="18"/>
              </w:rPr>
              <w:fldChar w:fldCharType="end"/>
            </w:r>
          </w:p>
        </w:tc>
        <w:tc>
          <w:tcPr>
            <w:tcW w:w="206" w:type="pct"/>
            <w:vAlign w:val="center"/>
          </w:tcPr>
          <w:p w14:paraId="0D9EA57A"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1A3EED8C"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7B2BDE7C"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5D0337F3"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5F865DAF"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0C4FECE" w14:textId="79339F3E"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607004D1"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475B9EA"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736A26BD"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4A5D0D9B" w14:textId="187D2704"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6EDFD157" w14:textId="55A7F060"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2CE76805"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0AC2D7BE"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B370C5">
              <w:rPr>
                <w:rFonts w:ascii="Times New Roman" w:hAnsi="Times New Roman"/>
                <w:szCs w:val="18"/>
              </w:rPr>
              <w:t>Ghazy RM, et al.</w:t>
            </w:r>
            <w:r>
              <w:rPr>
                <w:rFonts w:ascii="Times New Roman" w:hAnsi="Times New Roman"/>
                <w:szCs w:val="18"/>
              </w:rPr>
              <w:t xml:space="preserve"> </w:t>
            </w:r>
            <w:r>
              <w:rPr>
                <w:rFonts w:ascii="Times New Roman" w:hAnsi="Times New Roman"/>
                <w:szCs w:val="18"/>
              </w:rPr>
              <w:fldChar w:fldCharType="begin"/>
            </w:r>
            <w:r>
              <w:rPr>
                <w:rFonts w:ascii="Times New Roman" w:hAnsi="Times New Roman"/>
                <w:szCs w:val="18"/>
              </w:rPr>
              <w:instrText xml:space="preserve"> ADDIN ZOTERO_ITEM CSL_CITATION {"citationID":"PtPE4YpD","properties":{"formattedCitation":"[8]","plainCitation":"[8]","noteIndex":0},"citationItems":[{"id":12366,"uris":["http://zotero.org/users/6456139/items/6JVWW3NB"],"itemData":{"id":12366,"type":"article-journal","abstract":"Background: Ghana ranked 31st worldwide and 3rd in Africa in the number of confirmed cases worldwide. We aimed to assess the intention to receive the monkeypox (MPOX) vaccine and its associated psychological antecedents among the Ghanaian population. Methods: A cross-sectional online survey was conducted in Ghana from November to December 2022. Snowball sampling was used to recruit participants via social media platforms, such as WhatsApp, LinkedIn, Telegram, and Facebook. The validated 5C scale was used to assess five psychological factors that influence vaccination behavior and intent: confidence, complacency, constraints, calculation, and collective responsibility. Results: The study drew 605 participants; their mean age was 30.0 ± 6.8; 68.1% were single; 60.8 % were males, and 51.9% were living in Greater Accra (The capital and largest city of Ghana). About 53.9% of the studied Ghanaian population did not intend to receive the MPOX vaccination. Vaccine acceptance among non-healthcare workers (non-HCWs) was significantly lower than among HCWs (41.7 vs. 55.3, p &lt; 0.001). The determinants of vaccine acceptance were male gender (AOR = 1.48, 95% CI, 1.00-2.18, p = 0.049), urban residence (AOR = 0.63, 95% CI, 0.41-0.96, p = 0.033), refusal of coronavirus 2019 vaccine (AOR = 0.29, 95% CI, 0.16-0.52, p &lt; 0.001), confidence in vaccination ((AOR = 2.45, 95% CI, 1.93-3.15, and p &lt; 0.001), and collective responsibility (AOR = 1.34, 95% CI, 1.02-1.75, p = 0.034)). Conclusions: The participants in this study did not show high levels of intention to accept the MPOX vaccination. Consequently, tailoring the efforts aiming to promote MPOX vaccination is needed especially among non-HCWs through increasing their confidence in vaccine effectiveness and safety and promoting the importance of self-vaccination to protect others.","container-title":"Vaccines","DOI":"10.3390/vaccines11020240","ISSN":"2076-393X","issue":"2","journalAbbreviation":"Vaccines (Basel)","language":"eng","note":"PMID: 36851118\nPMCID: PMC9959510","page":"240","source":"PubMed","title":"Monkeypox Vaccine Acceptance among Ghanaians: A Call for Action","title-short":"Monkeypox Vaccine Acceptance among Ghanaians","volume":"11","author":[{"family":"Ghazy","given":"Ramy Mohamed"},{"family":"Yazbek","given":"Saja"},{"family":"Gebreal","given":"Assem"},{"family":"Hussein","given":"Mai"},{"family":"Addai","given":"Sylvia Agyeman"},{"family":"Mensah","given":"Ernestina"},{"family":"Sarfo","given":"Michael"},{"family":"Kofi","given":"Agyapong"},{"family":"Al-Ahdal","given":"Tareq"},{"family":"Eshun","given":"Gilbert"}],"issued":{"date-parts":[["2023",1,21]]}}}],"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[8]</w:t>
            </w:r>
            <w:r>
              <w:rPr>
                <w:rFonts w:ascii="Times New Roman" w:hAnsi="Times New Roman"/>
                <w:szCs w:val="18"/>
              </w:rPr>
              <w:fldChar w:fldCharType="end"/>
            </w:r>
          </w:p>
        </w:tc>
        <w:tc>
          <w:tcPr>
            <w:tcW w:w="206" w:type="pct"/>
            <w:vAlign w:val="center"/>
          </w:tcPr>
          <w:p w14:paraId="6FDB3870"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4811052B"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50000C6D"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2CE98837"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161B7EEC"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7E0EE83" w14:textId="2944FD9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4B2AFC11"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B150845"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0EB0EB8"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4A05F8A" w14:textId="2044E3AE"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277E21E7" w14:textId="4C6DB53D"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4B2F2E11"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448E5E22"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B370C5">
              <w:rPr>
                <w:rFonts w:ascii="Times New Roman" w:hAnsi="Times New Roman"/>
                <w:szCs w:val="18"/>
              </w:rPr>
              <w:t xml:space="preserve">Hong J, et al. </w:t>
            </w:r>
            <w:r>
              <w:rPr>
                <w:rFonts w:ascii="Times New Roman" w:hAnsi="Times New Roman"/>
                <w:szCs w:val="18"/>
                <w:lang w:val="es-PE"/>
              </w:rPr>
              <w:fldChar w:fldCharType="begin"/>
            </w:r>
            <w:r>
              <w:rPr>
                <w:rFonts w:ascii="Times New Roman" w:hAnsi="Times New Roman"/>
                <w:szCs w:val="18"/>
              </w:rPr>
              <w:instrText xml:space="preserve"> ADDIN ZOTERO_ITEM CSL_CITATION {"citationID":"d9PXLA9A","properties":{"formattedCitation":"[9]","plainCitation":"[9]","noteIndex":0},"citationItems":[{"id":12358,"uris":["http://zotero.org/users/6456139/items/LAFFQEC4"],"itemData":{"id":12358,"type":"article-journal","abstract":"The global monkeypox outbreak in 2022 has severely affected the life and health of people. Currently, partial smallpox vaccines have been approved for monkeypox prevention. Considering the potential occupational health risks of monkeypox infection among healthcare workers (HCWs), this study explored the willingness of Chinese HCWs to receive the monkeypox vaccine and analyzed the factors influencing their decision. We conducted an online cross-sectional survey among HCWs of 10 Chinese hospitals from May 30th, 2022 to August 1st, 2022. Specifically, a self-report questionnaire was administered to evaluate the attitude and acceptance of HCWs toward the monkeypox vaccine, followed by a multivariate logistic regression analysis to determine the independent predictors of vaccination. The survey included 1032 participants, of whom 90.12% expressed their willingness for vaccination (vaccine hesitancy rate = 9.88%). Univariate analysis showed that 11 variables differed significantly between the vaccine acceptance and vaccine hesitancy groups. Multivariate logistic regression analysis demonstrated that the age of 30-40 years (odds ratio [OR] = 0.504, 95% confidence interval [CI]: 0.284-0.893, p = 0.019 vs. age of &lt;30 years old), working in a secondary hospital (OR = 0.449, 95% CI: 0.249-0.808, p = 0.019 vs. working in a tertiary hospital), considering vaccination necessary for controlling monkeypox infection (OR = 4.135, 95% CI: 2.109-8.106, p &lt; 0.001 vs. not considering it necessary), willingness to pay for the monkeypox vaccine (OR = 2.125, 95% CI: 1.206-3.745, p = 0.009 vs. no willingness to pay), considering implementation of mandatory vaccination necessary (OR = 1.990, 95% CI: 1.023-3.869, p = 0.043 vs. not considering it necessary), and recommending family members and friends to take the vaccine (OR = 13.847, 95% CI: 7.487-25.609, p &lt; 0.001 vs. not recommending) were crucial independent predictors of the willingness to receive monkeypox-related vaccination. This study evaluated the acceptance and hesitancy rates of Chinese HCWs toward the monkeypox vaccine and found that the willingness to receive vaccination was mainly correlated to age, hospital level, and attitude toward vaccination. Therefore, to promote vaccine absorption, we recommend expanding publicity, formulating reasonable policies, and improving the recognition of vaccines.","container-title":"Journal of Medical Virology","DOI":"10.1002/jmv.28294","ISSN":"1096-9071","issue":"1","journalAbbreviation":"J Med Virol","language":"eng","note":"PMID: 36367155","page":"e28294","source":"PubMed","title":"The willingness of Chinese healthcare workers to receive monkeypox vaccine and its independent predictors: A cross-sectional survey","title-short":"The willingness of Chinese healthcare workers to receive monkeypox vaccine and its independent predictors","volume":"95","author":[{"family":"Hong","given":"Jing"},{"family":"Pan","given":"Bo"},{"family":"Jiang","given":"Hui-Juan"},{"family":"Zhang","given":"Qing-Mei"},{"family":"Xu","given":"Xiao-Wan"},{"family":"Jiang","given":"Han"},{"family":"Ye","given":"Jiang-E."},{"family":"Cui","given":"Yu"},{"family":"Yan","given":"Xiao-Jie"},{"family":"Zhai","given":"Xiao-Feng"},{"family":"Yu","given":"Qin"}],"issued":{"date-parts":[["2023",1]]}}}],"schema":"https://github.com/citation-style-language/schema/raw/master/csl-citation.json"} </w:instrText>
            </w:r>
            <w:r>
              <w:rPr>
                <w:rFonts w:ascii="Times New Roman" w:hAnsi="Times New Roman"/>
                <w:szCs w:val="18"/>
                <w:lang w:val="es-PE"/>
              </w:rPr>
              <w:fldChar w:fldCharType="separate"/>
            </w:r>
            <w:r w:rsidRPr="00E618A1">
              <w:rPr>
                <w:rFonts w:ascii="Times New Roman" w:hAnsi="Times New Roman"/>
              </w:rPr>
              <w:t>[9]</w:t>
            </w:r>
            <w:r>
              <w:rPr>
                <w:rFonts w:ascii="Times New Roman" w:hAnsi="Times New Roman"/>
                <w:szCs w:val="18"/>
                <w:lang w:val="es-PE"/>
              </w:rPr>
              <w:fldChar w:fldCharType="end"/>
            </w:r>
          </w:p>
        </w:tc>
        <w:tc>
          <w:tcPr>
            <w:tcW w:w="206" w:type="pct"/>
            <w:vAlign w:val="center"/>
          </w:tcPr>
          <w:p w14:paraId="24BE21C9"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2D22D0EC"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2BB5AA5A"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73551682"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24D74EF"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108BCA78" w14:textId="5279A816"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5DE328AC"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E9C2879"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77C98990"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9AF50D4" w14:textId="4AA71F94"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25BC7DB4" w14:textId="40F83AE1"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47ED1B7F"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6C072D8C" w14:textId="77777777" w:rsidR="000E5DFC" w:rsidRPr="00877F8E"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F41B60">
              <w:rPr>
                <w:rFonts w:ascii="Times New Roman" w:hAnsi="Times New Roman"/>
                <w:szCs w:val="18"/>
              </w:rPr>
              <w:t xml:space="preserve">Jamaleddine Y, et al. </w:t>
            </w:r>
            <w:r>
              <w:rPr>
                <w:rFonts w:ascii="Times New Roman" w:hAnsi="Times New Roman"/>
                <w:szCs w:val="18"/>
                <w:lang w:val="es-PE"/>
              </w:rPr>
              <w:fldChar w:fldCharType="begin"/>
            </w:r>
            <w:r>
              <w:rPr>
                <w:rFonts w:ascii="Times New Roman" w:hAnsi="Times New Roman"/>
                <w:szCs w:val="18"/>
              </w:rPr>
              <w:instrText xml:space="preserve"> ADDIN ZOTERO_ITEM CSL_CITATION {"citationID":"MUHEHRnO","properties":{"formattedCitation":"[10]","plainCitation":"[10]","noteIndex":0},"citationItems":[{"id":11689,"uris":["http://zotero.org/users/6456139/items/RTHUDQAU"],"itemData":{"id":11689,"type":"article-journal","abstract":"INTRODUCTION: Monkeypox is a currently re-emerging disease in the world and several cases have been detected in Lebanon. For this reason, an assessment of the knowledge and attitude of the Lebanese population towards monkeypox and smallpox or monkeypox vaccines had to be done.\nMETHODS: A cross-sectional study was conducted using a questionnaire developed from previous literature among a sample of Lebanese residents. It recorded the sociodemographic characteristics and comorbidities of the participants and analyzed the patterns of knowledge and attitudes in Lebanon.\nRESULTS: Among 493 participants, it was found that there is a generally low knowledge of and an average attitude toward monkeypox. However, knowledge is better with higher educational levels, COVID-19 vaccination, and residency in the south of Lebanon and poorer with marriage and residency in Beirut. Attitude is better in females but poorer with higher educational levels. Several other effectors have been devised too. As for vaccination, taking the smallpox vaccine as a proactive measure is predicted with previous COVID-19 vaccination and better attitude but not in the residents of the north of Lebanon and married Lebanese residents. Higher educational levels and a better attitude were positive predictions of taking the monkeypox vaccine whenever it is developed.\nCONCLUSION: This study revealed low level of knowledge and attitude towards monkeypox and its vaccines, which can be a rich resource when proactive measures are developed.","container-title":"Journal of Preventive Medicine and Hygiene","DOI":"10.15167/2421-4248/jpmh2023.64.1.2903","ISSN":"2421-4248","issue":"1","journalAbbreviation":"J Prev Med Hyg","language":"eng","note":"PMID: 37293454\nPMCID: PMC10246610","page":"E13-E26","source":"PubMed","title":"Knowledge and attitude towards monkeypox among the Lebanese population and their attitude towards vaccination","volume":"64","author":[{"family":"Jamaleddine","given":"Youssef"},{"family":"El Ezz","given":"Asem Abou"},{"family":"Mahmoud","given":"Mahmoud"},{"family":"Ismail","given":"Omar"},{"family":"Saifan","given":"Ahmad"},{"family":"Mayta","given":"Zaid"},{"family":"Saab","given":"Abdallah"},{"family":"Salameh","given":"Pascale"}],"issued":{"date-parts":[["2023",3]]}}}],"schema":"https://github.com/citation-style-language/schema/raw/master/csl-citation.json"} </w:instrText>
            </w:r>
            <w:r>
              <w:rPr>
                <w:rFonts w:ascii="Times New Roman" w:hAnsi="Times New Roman"/>
                <w:szCs w:val="18"/>
                <w:lang w:val="es-PE"/>
              </w:rPr>
              <w:fldChar w:fldCharType="separate"/>
            </w:r>
            <w:r w:rsidRPr="00E618A1">
              <w:rPr>
                <w:rFonts w:ascii="Times New Roman" w:hAnsi="Times New Roman"/>
              </w:rPr>
              <w:t>[10]</w:t>
            </w:r>
            <w:r>
              <w:rPr>
                <w:rFonts w:ascii="Times New Roman" w:hAnsi="Times New Roman"/>
                <w:szCs w:val="18"/>
                <w:lang w:val="es-PE"/>
              </w:rPr>
              <w:fldChar w:fldCharType="end"/>
            </w:r>
          </w:p>
        </w:tc>
        <w:tc>
          <w:tcPr>
            <w:tcW w:w="206" w:type="pct"/>
            <w:vAlign w:val="center"/>
          </w:tcPr>
          <w:p w14:paraId="6A6B38DC"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2E714A6E"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4B413720"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FECA650"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54B4FCD0"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3E53A8C8" w14:textId="4353D0AD"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2A7EC5BE"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5C74CFA1"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84E49E1"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3E74EFEA" w14:textId="4D186A6A"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2724C02C" w14:textId="711FECDD"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70FD08E7"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6E44A3DC" w14:textId="77777777" w:rsidR="000E5DFC" w:rsidRPr="00877F8E"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7A0833">
              <w:rPr>
                <w:rFonts w:ascii="Times New Roman" w:hAnsi="Times New Roman"/>
                <w:szCs w:val="18"/>
              </w:rPr>
              <w:t xml:space="preserve">Dong C, et al. </w:t>
            </w:r>
            <w:r>
              <w:rPr>
                <w:rFonts w:ascii="Times New Roman" w:hAnsi="Times New Roman"/>
                <w:szCs w:val="18"/>
              </w:rPr>
              <w:fldChar w:fldCharType="begin"/>
            </w:r>
            <w:r>
              <w:rPr>
                <w:rFonts w:ascii="Times New Roman" w:hAnsi="Times New Roman"/>
                <w:szCs w:val="18"/>
              </w:rPr>
              <w:instrText xml:space="preserve"> ADDIN ZOTERO_ITEM CSL_CITATION {"citationID":"VoB2kOId","properties":{"formattedCitation":"[11]","plainCitation":"[11]","noteIndex":0},"citationItems":[{"id":11742,"uris":["http://zotero.org/users/6456139/items/AKLR3M3K"],"itemData":{"id":11742,"type":"article-journal","abstract":"BACKGROUND: Public awareness of monkeypox is critical in the fight against this infectious disease. However, at present a survey of the Chinese population on monkeypox is lacking. This study was conducted to compensate for the lack of knowledge and identify a vaccination intention assessment for monkeypox in China.\nMETHODS: The questionnaire comprised 20 items with the following three aspects: basic information, knowledge, and willingness to vaccinate or pay. For this study, 521 valid respondents were recruited. Utilizing logistic regression, the researchers identified the factors related with knowledge and vaccination intentions.\nRESULTS: The average total score for knowledge of monkeypox was 5.6 (score range 0-10), and 309 (59.3%) participants were categorized as having greater knowledge based on a total score of 6. Most participants (76.4%) were willing to accept a monkeypox vaccination. The average acceptable cost of the monkeypox vaccine was CNY261.2. Factors such as level of education, and working within the healthcare profession were related to monkeypox knowledge. An increased knowledge of monkeypox was related to a higher willingness to vaccinate. Participants who were willing to pay more for vaccines included those with high incomes, who suffered from chronic diseases, and healthcare workers.\nCONCLUSIONS: The Chinese population had relatively high knowledge of monkeypox and demonstrated a willingness to receive the vaccine.","container-title":"Travel Medicine and Infectious Disease","DOI":"10.1016/j.tmaid.2022.102533","ISSN":"1873-0442","journalAbbreviation":"Travel Med Infect Dis","language":"eng","note":"PMID: 36543284\nPMCID: PMC9759477","page":"102533","source":"PubMed","title":"Knowledge and vaccination intention of monkeypox in China's general population: A cross-sectional online survey","title-short":"Knowledge and vaccination intention of monkeypox in China's general population","volume":"52","author":[{"family":"Dong","given":"Chen"},{"family":"Yu","given":"Zhou"},{"family":"Zhao","given":"Ying"},{"family":"Ma","given":"Xianjie"}],"issued":{"date-parts":[["2023"]]}}}],"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[11]</w:t>
            </w:r>
            <w:r>
              <w:rPr>
                <w:rFonts w:ascii="Times New Roman" w:hAnsi="Times New Roman"/>
                <w:szCs w:val="18"/>
              </w:rPr>
              <w:fldChar w:fldCharType="end"/>
            </w:r>
          </w:p>
        </w:tc>
        <w:tc>
          <w:tcPr>
            <w:tcW w:w="206" w:type="pct"/>
            <w:vAlign w:val="center"/>
          </w:tcPr>
          <w:p w14:paraId="5A4F2F1F"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2ACFB060"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7CAE0CDE"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C30911E"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E3BF81A"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DA9CCDE" w14:textId="26AC135D"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06254F2C"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05AFB63"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1D6AEBD8"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29E68002" w14:textId="5F71F063"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0AC98B98" w14:textId="4ADA3C92"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3E807F1D"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364B7915"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6818C9">
              <w:rPr>
                <w:rFonts w:ascii="Times New Roman" w:hAnsi="Times New Roman"/>
                <w:szCs w:val="18"/>
              </w:rPr>
              <w:t xml:space="preserve">Chen Y, et al. </w:t>
            </w:r>
            <w:r w:rsidRPr="006818C9">
              <w:rPr>
                <w:rFonts w:ascii="Times New Roman" w:hAnsi="Times New Roman"/>
                <w:szCs w:val="18"/>
              </w:rPr>
              <w:fldChar w:fldCharType="begin"/>
            </w:r>
            <w:r>
              <w:rPr>
                <w:rFonts w:ascii="Times New Roman" w:hAnsi="Times New Roman"/>
                <w:szCs w:val="18"/>
              </w:rPr>
              <w:instrText xml:space="preserve"> ADDIN ZOTERO_ITEM CSL_CITATION {"citationID":"2zfioPXD","properties":{"formattedCitation":"[12]","plainCitation":"[12]","noteIndex":0},"citationItems":[{"id":11680,"uris":["http://zotero.org/users/6456139/items/JQ7W8ZKE"],"itemData":{"id":11680,"type":"article-journal","abstract":"BACKGROUND: Re-emerging human mpox (previously known as monkeypox) is spreading around the world. According to existing studies, the current mpox pandemic mainly affects men who have sex with men (MSM), including male sex workers (MSW). Our study aimed to assess mpox knowledge and attitude towards mpox vaccination among MSW in China.\nMETHODS: A web-based, cross-sectional survey was conducted in August 2022. We collected participants' socio-demographic characteristics and knowledge with 15 knowledge items related to mpox. Modified Bloom's cut-off points of 80% (total score &gt; 12) was used to indicate good knowledge. Multivariable regression analysis was used to assess factors of mpox knowledge and attitude towards mpox vaccination.\nRESULTS: A total of 154 MSW were recruited (age: median = 22, interquartile range, IQR = 12). Of the 154 MSW, 49.4% had good knowledge of mpox, and 63.0% were willing to be vaccinated against mpox. We found that good knowledge was associated with being single [adjusted odds ratio (AOR) = 2.46, 95% confident interval (CI) (1.22-4.87)], being unemployed [5.01, 1.21-20.70] and willingness to be vaccinated [2.51, 1.14-5.54]. Willingness to get vaccinated was related to age [1.06, 1.00-1.12], chronic diseases history [8.53, 1.01-71.68], and agreement with \"priority for high-risk groups if mpox vaccine is in short supply\" [2.57, 1.01-6.54].\nCONCLUSIONS: We found that MSW had suboptimal mpox knowledge and a high willingness to be vaccinated against mpox. MSW who are single and willing to be vaccinated may have good knowledge of mpox. These findings underscore the necessity of providing health education on mpox among MSW. When the mpox vaccine is in short supply, priority should be given to high-risk groups, such as MSW.","container-title":"Vaccines","DOI":"10.3390/vaccines11020285","ISSN":"2076-393X","issue":"2","journalAbbreviation":"Vaccines (Basel)","language":"eng","note":"PMID: 36851163\nPMCID: PMC9966706","page":"285","source":"PubMed","title":"Knowledge of Human Mpox (Monkeypox) and Attitude towards Mpox Vaccination among Male Sex Workers in China: A Cross-Sectional Study","title-short":"Knowledge of Human Mpox (Monkeypox) and Attitude towards Mpox Vaccination among Male Sex Workers in China","volume":"11","author":[{"family":"Chen","given":"Yuanyi"},{"family":"Li","given":"Yuwei"},{"family":"Fu","given":"Leiwen"},{"family":"Zhou","given":"Xinyi"},{"family":"Wu","given":"Xinsheng"},{"family":"Wang","given":"Bingyi"},{"family":"Peng","given":"Xin"},{"family":"Sun","given":"Yinghui"},{"family":"Liu","given":"Qi"},{"family":"Lin","given":"Yi-Fan"},{"family":"Fan","given":"Yinguang"},{"family":"Jiang","given":"Hongbo"},{"family":"Meng","given":"Xiaojun"},{"family":"Zou","given":"Huachun"}],"issued":{"date-parts":[["2023",1,28]]}}}],"schema":"https://github.com/citation-style-language/schema/raw/master/csl-citation.json"} </w:instrText>
            </w:r>
            <w:r w:rsidRPr="006818C9">
              <w:rPr>
                <w:rFonts w:ascii="Times New Roman" w:hAnsi="Times New Roman"/>
                <w:szCs w:val="18"/>
              </w:rPr>
              <w:fldChar w:fldCharType="separate"/>
            </w:r>
            <w:r w:rsidRPr="00E618A1">
              <w:rPr>
                <w:rFonts w:ascii="Times New Roman" w:hAnsi="Times New Roman"/>
              </w:rPr>
              <w:t>[12]</w:t>
            </w:r>
            <w:r w:rsidRPr="006818C9">
              <w:rPr>
                <w:rFonts w:ascii="Times New Roman" w:hAnsi="Times New Roman"/>
                <w:szCs w:val="18"/>
              </w:rPr>
              <w:fldChar w:fldCharType="end"/>
            </w:r>
          </w:p>
        </w:tc>
        <w:tc>
          <w:tcPr>
            <w:tcW w:w="206" w:type="pct"/>
            <w:vAlign w:val="center"/>
          </w:tcPr>
          <w:p w14:paraId="0870FB84"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716DA51B"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1663F8D1"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44D3515"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70FA2138"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6D96332" w14:textId="7CB062A8"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1CBF46C3"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710A7942"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9DAD1B0"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1AAB1865" w14:textId="3115B9C6"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30D38ACC" w14:textId="462FB5DC"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38D87BF3"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62994E8E"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6818C9">
              <w:rPr>
                <w:rFonts w:ascii="Times New Roman" w:hAnsi="Times New Roman"/>
                <w:szCs w:val="18"/>
              </w:rPr>
              <w:t xml:space="preserve">Lounis M, et al. </w:t>
            </w:r>
            <w:r w:rsidRPr="006818C9">
              <w:rPr>
                <w:rFonts w:ascii="Times New Roman" w:hAnsi="Times New Roman"/>
                <w:szCs w:val="18"/>
              </w:rPr>
              <w:fldChar w:fldCharType="begin"/>
            </w:r>
            <w:r>
              <w:rPr>
                <w:rFonts w:ascii="Times New Roman" w:hAnsi="Times New Roman"/>
                <w:szCs w:val="18"/>
              </w:rPr>
              <w:instrText xml:space="preserve"> ADDIN ZOTERO_ITEM CSL_CITATION {"citationID":"ycdlNZ0w","properties":{"formattedCitation":"[13]","plainCitation":"[13]","noteIndex":0},"citationItems":[{"id":11683,"uris":["http://zotero.org/users/6456139/items/48Z54XNP"],"itemData":{"id":11683,"type":"article-journal","abstract":"OBJECTIVES: This study was carried out to assess the level of knowledge of Algerian healthcare workers about human monkeypox, and their attitude toward its vaccination.\nMETHODS: An online-based cross-sectional study using social media platforms targeting Algerian healthcare workers was conducted between 28 June and 18 September 2022.\nRESULTS: 111 healthcare workers have answered the questionnaire. Overall, a medium level of knowledge (64.9%) was obtained with multiple gaps about the epidemiology and clinical features of this disease. Factors associated with high levels of knowledge included young age, being married and practicing outside the province town. Also, only 38.7% of the respondents were in favor of human monkeypox vaccination if recommended for free with COVID-19 vaccine uptake as a determinant factor of acceptance.\nCONCLUSION: Results have shown a medium level of knowledge and a low rate of vaccination willingness. The findings of this study although not representative of all Algerian healthcare workers, could be a baseline for human monkeypox knowledge and vaccination in Algeria.","container-title":"Vacunas","DOI":"10.1016/j.vacun.2022.11.003","ISSN":"1576-9887","issue":"2","journalAbbreviation":"Vacunas","language":"eng","note":"PMID: 36852211\nPMCID: PMC9946789","page":"122-127","source":"PubMed","title":"Knowledge and awareness of Algerian healthcare workers about human monkeypox and their attitude toward its vaccination: An online cross-sectional survey","title-short":"Knowledge and awareness of Algerian healthcare workers about human monkeypox and their attitude toward its vaccination","volume":"24","author":[{"family":"Lounis","given":"Mohamed"},{"family":"Bencherit","given":"Djihad"},{"family":"Abdelhadi","given":"Samir"}],"issued":{"date-parts":[["2023"]]}}}],"schema":"https://github.com/citation-style-language/schema/raw/master/csl-citation.json"} </w:instrText>
            </w:r>
            <w:r w:rsidRPr="006818C9">
              <w:rPr>
                <w:rFonts w:ascii="Times New Roman" w:hAnsi="Times New Roman"/>
                <w:szCs w:val="18"/>
              </w:rPr>
              <w:fldChar w:fldCharType="separate"/>
            </w:r>
            <w:r w:rsidRPr="00E618A1">
              <w:rPr>
                <w:rFonts w:ascii="Times New Roman" w:hAnsi="Times New Roman"/>
              </w:rPr>
              <w:t>[13]</w:t>
            </w:r>
            <w:r w:rsidRPr="006818C9">
              <w:rPr>
                <w:rFonts w:ascii="Times New Roman" w:hAnsi="Times New Roman"/>
                <w:szCs w:val="18"/>
              </w:rPr>
              <w:fldChar w:fldCharType="end"/>
            </w:r>
          </w:p>
        </w:tc>
        <w:tc>
          <w:tcPr>
            <w:tcW w:w="206" w:type="pct"/>
            <w:vAlign w:val="center"/>
          </w:tcPr>
          <w:p w14:paraId="2E678151"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53D8D133"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3FDE6406"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51B0137E"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6AE8B664"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7CAA1090" w14:textId="5D9D5FE8"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234A566E"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75E28603"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E3C08F2"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302FD61A" w14:textId="61C1E2F9"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3635610A" w14:textId="2530686E"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6DBB828D"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6417DF69"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C66FCD">
              <w:rPr>
                <w:rFonts w:ascii="Times New Roman" w:hAnsi="Times New Roman"/>
                <w:szCs w:val="18"/>
              </w:rPr>
              <w:lastRenderedPageBreak/>
              <w:t>Ahmed SK,</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{"citationID":"SxogmHDB","properties":{"formattedCitation":"[14]","plainCitation":"[14]","noteIndex":0},"citationItems":[{"id":11686,"uris":["http://zotero.org/users/6456139/items/JFTMUR6P"],"itemData":{"id":11686,"type":"article-journal","abstract":"The rapid spread of monkeypox (mpox) has been declared as a public health emergency of international concern (PHEIC). The present study aimed to assess the knowledge, attitude, and worry levels of the general population in the Kurdistan region of Iraq regarding the ongoing mpox multi-country outbreak. An online cross-sectional survey was conducted between 27-30 July 2022, using a convenience sampling method. The questionnaire was adapted from previous studies addressing the same topic. The independent Student's t-test, one-way ANOVA, and logistic regression were used to assess possible factors associated with knowledge, attitude, and worry toward mpox. A total of 510 respondents were included in the final analysis. The participants showed a moderate level of mpox knowledge, a neutral attitude towards mpox, and a relatively moderate worry level. The logistic regression analysis showed that age, gender, marital status, religion, level of education, and place of residence were associated with mpox knowledge; however, the significant variables in the multivariate regression analysis were gender, religion, level of education, and residential area. Gender and residential area were associated with attitudes toward mpox; however, the significant variables in the multivariate regression analysis were gender and residential areas. The worry toward mpox was influenced by gender, marital status, religion, and place of residence, yet the significant variables in the multivariate regression analysis were gender, religion, educational level, and residential area. In conclusion, the Kurdish population had moderate knowledge, a neutral attitude, and a moderate level of worry about mpox. Considering the continuous rapid rise in mpox cases in several countries, and its possible risk as pandemic amid the ongoing COVID-19 pandemic, proactive control measures, adequate disease prevention strategies, and preparedness plans need to be formulated and immediately implemented to tackle the appearance of fears among people, and to safeguard the mental health of the public.","container-title":"Vaccines","DOI":"10.3390/vaccines11030610","ISSN":"2076-393X","issue":"3","journalAbbreviation":"Vaccines (Basel)","language":"eng","note":"PMID: 36992194\nPMCID: PMC10054073","page":"610","source":"PubMed","title":"Knowledge, Attitude and Worry in the Kurdistan Region of Iraq during the Mpox (Monkeypox) Outbreak in 2022: An Online Cross-Sectional Study","title-short":"Knowledge, Attitude and Worry in the Kurdistan Region of Iraq during the Mpox (Monkeypox) Outbreak in 2022","volume":"11","author":[{"family":"Ahmed","given":"Sirwan Khalid"},{"family":"Abdulqadir","given":"Salar Omar"},{"family":"Omar","given":"Rukhsar Muhammad"},{"family":"Abdullah","given":"Ardalan Jabbar"},{"family":"Rahman","given":"Hawre Asaad"},{"family":"Hussein","given":"Safin Hassan"},{"family":"Mohammed Amin","given":"Halkawt Ismail"},{"family":"Chandran","given":"Deepak"},{"family":"Sharma","given":"Anil Kumar"},{"family":"Dhama","given":"Kuldeep"},{"family":"Sallam","given":"Malik"},{"family":"Harapan","given":"Harapan"},{"family":"Salari","given":"Nader"},{"family":"Chakraborty","given":"Chiranjib"},{"family":"Abdulla","given":"Araz Qadir"}],"issued":{"date-parts":[["2023",3,8]]}}}],"schema":"https://github.com/citation-style-language/schema/raw/master/csl-citation.json"}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[14]</w:t>
            </w:r>
            <w:r>
              <w:rPr>
                <w:rFonts w:ascii="Times New Roman" w:hAnsi="Times New Roman"/>
                <w:szCs w:val="18"/>
              </w:rPr>
              <w:fldChar w:fldCharType="end"/>
            </w:r>
          </w:p>
        </w:tc>
        <w:tc>
          <w:tcPr>
            <w:tcW w:w="206" w:type="pct"/>
            <w:vAlign w:val="center"/>
          </w:tcPr>
          <w:p w14:paraId="02E29996"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D047F">
              <w:rPr>
                <w:rFonts w:ascii="Times New Roman" w:hAnsi="Times New Roman"/>
                <w:szCs w:val="18"/>
              </w:rPr>
              <w:t>2023</w:t>
            </w:r>
          </w:p>
        </w:tc>
        <w:tc>
          <w:tcPr>
            <w:tcW w:w="288" w:type="pct"/>
            <w:vAlign w:val="center"/>
          </w:tcPr>
          <w:p w14:paraId="4A2ACC2F"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66E805DC"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6E35B125"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1CD9CBAF"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6A67BA22" w14:textId="22725B29"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285CA815"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05A8FF88"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F5FA5F9"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36F29AE" w14:textId="73BB7118"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6A9EEB73" w14:textId="5489322F"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08CB7E34"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4D8C4B04"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D632DF">
              <w:rPr>
                <w:rFonts w:ascii="Times New Roman" w:hAnsi="Times New Roman"/>
                <w:szCs w:val="18"/>
              </w:rPr>
              <w:t>Riad A,</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{"citationID":"qeotfJke","properties":{"formattedCitation":"[15]","plainCitation":"[15]","noteIndex":0},"citationItems":[{"id":12353,"uris":["http://zotero.org/users/6456139/items/2KG75W2I"],"itemData":{"id":12353,"type":"article-journal","abstract":"BACKGROUND: The recent human monkeypox virus (HMPXV) outbreak in non-endemic countries that started in May 2022 has raised concerns among public health authorities worldwide. Healthcare workers (HCWs) play a decisive role during epidemics in transmitting accurate information to the public and motivating them to pursue protective behaviours, including immunisation.\nMETHODS: A cross-sectional survey-based study was conducted in the Czech Republic in September 2022 to evaluate HMPXV-related knowledge and vaccination perceptions among HCWs. The study utilised a digital self-administered questionnaire (SAQ) to collect data from the target population. The proposed SAQ inquired about participants' sociodemographic and anamnestic characteristics, perceived knowledge of HMPXV, factual knowledge, and vaccination perceptions according to the health belief model (HBM).\nRESULTS: A total of 341 participants were included in this study; most of them were females (88.9%), allied HCWs (89.4%), heterosexuals (87.1%), married (61.9%), and vaccinated against COVID-19 (91.2%). Only 8.8% of the participants agreed to receive vaccination against HMPXV; 44.9% rejected it, while 46.3% were hesitant. While digital news portals (47.5%) and social media (25.8%) were among the most utilised sources of information about HMPXV, the scientific journals (5.6%), ECDC (5%), and the U.S. CDC (1.5%) were the least common sources. The participants demonstrated suboptimal levels of factual knowledge, especially regarding HMPXV vaccines (1.5 ± 1.2 (0-4)) and treatments (0.9 ± 0.9 (0-4)). Additionally, several misconceptions were detectable among the participants, regarding topics such as the availability of effective vaccines and antivirals against HMPXV, the risk of vertical transmission, and homosexual stigmatisation. The HBM indicated that the cues to action and perceived susceptibility were the most important constructs to predict HMPXV vaccine acceptance.\nCONCLUSIONS: the findings of this study call upon public health practitioners and health policymakers in the Czech Republic to act accordingly in order to determine the drivers of vaccine hesitancy among Czech HCWs. Dedicated educational campaigns should aim to counter the HCWs' misconceptions around HMPXV, and future studies should aim to explore the prevalence and drivers of HMPXV vaccine hesitancy among the general population.","container-title":"Vaccines","DOI":"10.3390/vaccines10122022","ISSN":"2076-393X","issue":"12","journalAbbreviation":"Vaccines (Basel)","language":"eng","note":"PMID: 36560432\nPMCID: PMC9788212","page":"2022","source":"PubMed","title":"Monkeypox Knowledge and Vaccine Hesitancy of Czech Healthcare Workers: A Health Belief Model (HBM)-Based Study","title-short":"Monkeypox Knowledge and Vaccine Hesitancy of Czech Healthcare Workers","volume":"10","author":[{"family":"Riad","given":"Abanoub"},{"family":"Drobov","given":"Anton"},{"family":"Rozmarinová","given":"Jana"},{"family":"Drapáčová","given":"Pavla"},{"family":"Klugarová","given":"Jitka"},{"family":"Dušek","given":"Ladislav"},{"family":"Pokorná","given":"Andrea"},{"family":"Klugar","given":"Miloslav"}],"issued":{"date-parts":[["2022",11,26]]}}}],"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[15]</w:t>
            </w:r>
            <w:r>
              <w:rPr>
                <w:rFonts w:ascii="Times New Roman" w:hAnsi="Times New Roman"/>
                <w:szCs w:val="18"/>
              </w:rPr>
              <w:fldChar w:fldCharType="end"/>
            </w:r>
          </w:p>
        </w:tc>
        <w:tc>
          <w:tcPr>
            <w:tcW w:w="206" w:type="pct"/>
            <w:vAlign w:val="center"/>
          </w:tcPr>
          <w:p w14:paraId="1A26B298"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288" w:type="pct"/>
            <w:vAlign w:val="center"/>
          </w:tcPr>
          <w:p w14:paraId="599E3866"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27" w:type="pct"/>
            <w:vAlign w:val="center"/>
          </w:tcPr>
          <w:p w14:paraId="25E69053"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644" w:type="pct"/>
            <w:vAlign w:val="center"/>
          </w:tcPr>
          <w:p w14:paraId="193B8FE1"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5" w:type="pct"/>
            <w:vAlign w:val="center"/>
          </w:tcPr>
          <w:p w14:paraId="1D0B686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7" w:type="pct"/>
            <w:vAlign w:val="center"/>
          </w:tcPr>
          <w:p w14:paraId="59B12410" w14:textId="1FC48218"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6" w:type="pct"/>
            <w:vAlign w:val="center"/>
          </w:tcPr>
          <w:p w14:paraId="7BC1622F"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4E0A64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6" w:type="pct"/>
            <w:vAlign w:val="center"/>
          </w:tcPr>
          <w:p w14:paraId="7956C4C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297" w:type="pct"/>
            <w:vAlign w:val="center"/>
          </w:tcPr>
          <w:p w14:paraId="10C81D34" w14:textId="75CD8700"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681500C5" w14:textId="5B90C7F0"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17A7B7ED"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01B5554E"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D74E50">
              <w:rPr>
                <w:rFonts w:ascii="Times New Roman" w:hAnsi="Times New Roman"/>
                <w:szCs w:val="18"/>
              </w:rPr>
              <w:t>Zucman D,</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{"citationID":"sYeNlHXa","properties":{"formattedCitation":"[16]","plainCitation":"[16]","noteIndex":0},"citationItems":[{"id":12363,"uris":["http://zotero.org/users/6456139/items/GZ5TICMB"],"itemData":{"id":12363,"type":"article-journal","abstract":"People with pre-exposure prophylaxis (PrEP) or living with HIV are a high-risk population for monkeypox virus (MPXV) infection. It is important to achieve high MPXV vaccination coverage rates in this group. This project used self-reporting to assess vaccine hesitancy for the smallpox vaccine and acceptance among men having sex with men with PrEP or living with HIV. In total, 52 (33.6%) participants among the 155 declared their hesitancy to be vaccinated against MPXV. Moreover, 20.7% patients with PrEP declared a hesitant attitude towards the smallpox vaccine compared to 40.2% of the HIV patients, p = 0.013. This difference remained not significant after adjustment for age (p = 0.119) and after adjustment for both age and number of different sexual partners (p = 0.406). Among PrEP people, those who expressed concerns about people getting more vaccines than needed (p = 0.012) were less likely to accept vaccination, whereas an increased number of different sexual partners during the previous month was significantly associated with acceptance of vaccination (p = 0.034). Among HIV people, those who expressed concerns about being infected by MPXV (p &lt; 0.001), those who expressed that the smallpox vaccine should be compulsory for people at risk (p &lt; 0.001) and those with an increased the number of different sexual partners the previous month (p = 0.018) were significantly associated with higher acceptance of MPXV vaccination. Our results suggest that vaccine strategy would be efficient in France with a communication strategy emphasizing the benefits of vaccination and the potential MPXV risk infection for health in PrEP and HIV people. Other preventive actions should be implemented, including reduction in sexual partners.","container-title":"Vaccines","DOI":"10.3390/vaccines10101629","ISSN":"2076-393X","issue":"10","journalAbbreviation":"Vaccines (Basel)","language":"eng","note":"PMID: 36298494\nPMCID: PMC9609833","page":"1629","source":"PubMed","title":"Monkeypox Vaccine Hesitancy in French Men Having Sex with Men with PrEP or Living with HIV in France","volume":"10","author":[{"family":"Zucman","given":"David"},{"family":"Fourn","given":"Erwan"},{"family":"Touche","given":"Pauline"},{"family":"Majerholc","given":"Catherine"},{"family":"Vallée","given":"Alexandre"}],"issued":{"date-parts":[["2022",9,28]]}}}],"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[16]</w:t>
            </w:r>
            <w:r>
              <w:rPr>
                <w:rFonts w:ascii="Times New Roman" w:hAnsi="Times New Roman"/>
                <w:szCs w:val="18"/>
              </w:rPr>
              <w:fldChar w:fldCharType="end"/>
            </w:r>
          </w:p>
        </w:tc>
        <w:tc>
          <w:tcPr>
            <w:tcW w:w="206" w:type="pct"/>
            <w:vAlign w:val="center"/>
          </w:tcPr>
          <w:p w14:paraId="24963E98"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288" w:type="pct"/>
            <w:vAlign w:val="center"/>
          </w:tcPr>
          <w:p w14:paraId="32EC1BF9"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26F9E64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5C038B21"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0EFD5552"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27BEE695" w14:textId="5FD96ED5"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61A0BA05"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E0D2E20"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AAF7970"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8D28240" w14:textId="4DC9BED0"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0EDB8C72" w14:textId="7F385E3E"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79717A3A"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1847AFA7"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D74E50">
              <w:rPr>
                <w:rFonts w:ascii="Times New Roman" w:hAnsi="Times New Roman"/>
                <w:szCs w:val="18"/>
                <w:lang w:val="es-PE"/>
              </w:rPr>
              <w:t xml:space="preserve">Reyes-Urueña J, et al. </w:t>
            </w:r>
            <w:r>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{"citationID":"X0zngONG","properties":{"formattedCitation":"[17]","plainCitation":"[17]","noteIndex":0},"citationItems":[{"id":12360,"uris":["http://zotero.org/users/6456139/items/LHHA97LV"],"itemData":{"id":12360,"type":"article-journal","abstract":"We assess monkeypox vaccination acceptance among male adults in the European Region. We conducted an online survey through two dating apps targeting men who have sex with men, from 30 July to 12 August 2022. We developed Bayesian hierarchical logistic regression models to investigate monkeypox vaccination acceptance. Overall crude vaccination acceptance was 82% and higher in north-western compared to south-eastern European regions. Acceptance strongly rose with perception of increased disease severity and transmission risk, and in individuals linked to healthcare.","container-title":"Euro Surveillance: Bulletin Europeen Sur Les Maladies Transmissibles = European Communicable Disease Bulletin","DOI":"10.2807/1560-7917.ES.2022.27.42.2200757","ISSN":"1560-7917","issue":"42","journalAbbreviation":"Euro Surveill","language":"eng","note":"PMID: 36268737\nPMCID: PMC9585877","page":"2200757","source":"PubMed","title":"High monkeypox vaccine acceptance among male users of smartphone-based online gay-dating apps in Europe, 30 July to 12 August 2022","volume":"27","author":[{"family":"Reyes-Urueña","given":"Juliana"},{"family":"D'Ambrosio","given":"Angelo"},{"family":"Croci","given":"Roberto"},{"family":"Bluemel","given":"Benjamin"},{"family":"Cenciarelli","given":"Orlando"},{"family":"Pharris","given":"Anastasia"},{"family":"Dukers-Muijrers","given":"Nicole"},{"family":"Nutland","given":"Will"},{"family":"Niaupari","given":"Steph"},{"family":"Badran","given":"Jawad"},{"family":"Spiteri","given":"Gianfranco"},{"family":"Noori","given":"Teymur"}],"issued":{"date-parts":[["2022",10]]}}}],"schema":"https://github.com/citation-style-language/schema/raw/master/csl-citation.json"} </w:instrText>
            </w:r>
            <w:r>
              <w:rPr>
                <w:rFonts w:ascii="Times New Roman" w:hAnsi="Times New Roman"/>
                <w:szCs w:val="18"/>
                <w:lang w:val="es-PE"/>
              </w:rPr>
              <w:fldChar w:fldCharType="separate"/>
            </w:r>
            <w:r w:rsidRPr="00E618A1">
              <w:rPr>
                <w:rFonts w:ascii="Times New Roman" w:hAnsi="Times New Roman"/>
              </w:rPr>
              <w:t>[17]</w:t>
            </w:r>
            <w:r>
              <w:rPr>
                <w:rFonts w:ascii="Times New Roman" w:hAnsi="Times New Roman"/>
                <w:szCs w:val="18"/>
                <w:lang w:val="es-PE"/>
              </w:rPr>
              <w:fldChar w:fldCharType="end"/>
            </w:r>
          </w:p>
        </w:tc>
        <w:tc>
          <w:tcPr>
            <w:tcW w:w="206" w:type="pct"/>
            <w:vAlign w:val="center"/>
          </w:tcPr>
          <w:p w14:paraId="112A681F"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288" w:type="pct"/>
            <w:vAlign w:val="center"/>
          </w:tcPr>
          <w:p w14:paraId="22E9278F"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659F589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2D156E52"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A3609BF"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7620A293" w14:textId="7C8C4218"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5D09D876"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5DC218D5"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7A3F87C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7248ECC7" w14:textId="4BC0465B"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72B08880" w14:textId="60D1C4C0"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751598EF"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116AFA49"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D10F7F">
              <w:rPr>
                <w:rFonts w:ascii="Times New Roman" w:hAnsi="Times New Roman"/>
                <w:szCs w:val="18"/>
              </w:rPr>
              <w:t>Bates BR,</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{"citationID":"eRENtIiL","properties":{"formattedCitation":"[18]","plainCitation":"[18]","noteIndex":0},"citationItems":[{"id":11700,"uris":["http://zotero.org/users/6456139/items/QJLJ7D7Q"],"itemData":{"id":11700,"type":"article-journal","abstract":"BACKGROUND: Controlling monkeypox effectively requires clinicians have knowledge of monkeypox, attitudes supporting of controlling it, and intentions to adopt practices to address it. Little is known, however, about levels of knowledge, attitudes, and practices (KAPs) in clinician populations in Ohio, United States.\nMETHODS: A cross-sectional, internet-based questionnaire assessed knowledge related to monkeypox, attitudes toward ability to control monkeypox and the threat of monkeypox, and prior relevant practices of having received a smallpox vaccine or having knowledge of monkeypox before 2022, intentions to adopt preventive practices, and demographics. Frequency reporting was used to assess overall knowledge and attitudes. Binary logistic regression was used to predict which KAPs were associated with behavioral intentions.\nRESULTS: A total of 197 clinicians participated. No demographic factor was associated with KAPs. Clinicians had relatively poor levels of knowledge. Participants expressed mixed attitudes about eventual control of monkeypox and about threat posed by monkeypox. About one in four participants reported previous knowledge of monkeypox, and about 40 % had received a smallpox vaccine Clinicians reported insufficient levels of intention to adopt preventive practices. Binary regression analysis suggests only perceptions of the threat of monkeypox to public health were associated with intentions to vaccinate self or others.\nCONCLUSIONS: Educational interventions with clinicians should address inadequate knowledge to support correct diagnosis and treatment. Efforts to enhance the perception of threat of monkeypox to public health may support adherence to preventive recommendations.","container-title":"Journal of Infection and Public Health","DOI":"10.1016/j.jiph.2022.11.004","ISSN":"1876-035X","issue":"12","journalAbbreviation":"J Infect Public Health","language":"eng","note":"PMID: 36403402\nPMCID: PMC9650995","page":"1459-1465","source":"PubMed","title":"Knowledge, attitudes, and practices towards monkeypox during the 2022 outbreak: An online cross-sectional survey among clinicians in Ohio, USA","title-short":"Knowledge, attitudes, and practices towards monkeypox during the 2022 outbreak","volume":"15","author":[{"family":"Bates","given":"Benjamin R."},{"family":"Grijalva","given":"Mario J."}],"issued":{"date-parts":[["2022",12]]}}}],"schema":"https://github.com/citation-style-language/schema/raw/master/csl-citation.json"}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[18]</w:t>
            </w:r>
            <w:r>
              <w:rPr>
                <w:rFonts w:ascii="Times New Roman" w:hAnsi="Times New Roman"/>
                <w:szCs w:val="18"/>
              </w:rPr>
              <w:fldChar w:fldCharType="end"/>
            </w:r>
          </w:p>
        </w:tc>
        <w:tc>
          <w:tcPr>
            <w:tcW w:w="206" w:type="pct"/>
            <w:vAlign w:val="center"/>
          </w:tcPr>
          <w:p w14:paraId="501075B2"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228009D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2505CD87"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6AAA80C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A1ADF68"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63F96A74" w14:textId="7B8A3A83"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275BD87"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29F4D8A2"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1278A9B"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4FD2849" w14:textId="079F44F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0EFF5968" w14:textId="48BB5191"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1BE0A84E"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589904D4"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7A50F3">
              <w:rPr>
                <w:rFonts w:ascii="Times New Roman" w:hAnsi="Times New Roman"/>
                <w:szCs w:val="18"/>
              </w:rPr>
              <w:t>Zheng M,</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{"citationID":"EeD4dPzG","properties":{"formattedCitation":"[19]","plainCitation":"[19]","noteIndex":0},"citationItems":[{"id":12347,"uris":["http://zotero.org/users/6456139/items/TLDWVH5N"],"itemData":{"id":12347,"type":"article-journal","abstract":"BACKGROUND: MSM individuals are at high risk of monkeypox infection, and judicious use of vaccines can control the outbreak. Therefore, we conducted a national cross-sectional survey to assess the vaccination willingness, associated factors, and related knowledges of monkeypox among MSM individuals in China.\nMETHODS: This anonymous cross-sectional study was conducted in China from July 1 to July 3, 2022, and electronic questionnaires were sent online to MSM individuals of specific institutions. Men, aged 18 or older, who had anal sex in the past year were recruited. Multivariable logistic regression models and univariable logistic regression models were performed in different groups of participants, including all eligible respondents, people with or without self-reported HIV infection, and people who had sex with at least one male sexual partner in last month.\nRESULTS: A total of 2,618 male respondents, including 2,134 homosexuals and 484 bisexuals, were enrolled in our final analysis. Most of the respondents had a certain understanding of the source of infection, transmission route, and preventive measures, but lacked knowledge of the susceptible population, clinical manifestations, vaccination, and treatment. In total, 90.2% of all respondents were willing to receive the vaccines against monkeypox. Among people with self-reported HIV infection, the vaccination acceptance rate was 91.7%, while it was 89.7% in the rest. The main influencing factors were knowledge about monkeypox (moderate: aOR = 1.47, 95% CI: 1.04-2.08; high: aOR = 2.03, 95% CI: 1.23-3.34), knowledge about prevention measures (moderate: aOR = 3.52, 95% CI: 2.51-4.94; high: aOR = 5.32, 95% CI: 2.98-9.47), concerns about their susceptibility to monkeypox infection (aOR = 4.37, 95% CI: 3.29-5.80), and possible contact with people and animals in epidemic areas (aOR = 0.42, 95% CI: 0.25-0.70). For self-reported HIV-infected individuals, education (bachelor degree: aOR = 0.40, 95% CI: 0.18-0.89) and poor condom use (sometimes: aOR = 2.18, 95% CI: 1.06-4.47) may also affect the vaccination.\nCONCLUSIONS: There was still a lack of knowledge about the human monkeypox among MSM individuals in China. The vaccination acceptance rate of this high-risk population was high, and it was closely related to the knowledge factors, fear of infection, and possible contact with people or animals in affected areas. Targeted publicity and education of the high-risk groups, vaccination pre-arranged planning should be formulated to cope with the further development of this infectious disease.","container-title":"Frontiers in Public Health","DOI":"10.3389/fpubh.2022.997637","ISSN":"2296-2565","journalAbbreviation":"Front Public Health","language":"eng","note":"PMID: 36388271\nPMCID: PMC9640956","page":"997637","source":"PubMed","title":"Knowledge and vaccination acceptance toward the human monkeypox among men who have sex with men in China","volume":"10","author":[{"family":"Zheng","given":"Min"},{"family":"Qin","given":"Chenyuan"},{"family":"Qian","given":"Xiaohan"},{"family":"Yao","given":"Yongming"},{"family":"Liu","given":"Jue"},{"family":"Yuan","given":"Zhi"},{"family":"Ma","given":"Lin"},{"family":"Fan","given":"Jiacheng"},{"family":"Tao","given":"Rui"},{"family":"Zhou","given":"Feng"},{"family":"Chen","given":"Wenyan"},{"family":"Zhu","given":"Zhilin"},{"family":"Liu","given":"Min"},{"family":"Yang","given":"Guanghong"}],"issued":{"date-parts":[["2022"]]}}}],"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[19]</w:t>
            </w:r>
            <w:r>
              <w:rPr>
                <w:rFonts w:ascii="Times New Roman" w:hAnsi="Times New Roman"/>
                <w:szCs w:val="18"/>
              </w:rPr>
              <w:fldChar w:fldCharType="end"/>
            </w:r>
          </w:p>
        </w:tc>
        <w:tc>
          <w:tcPr>
            <w:tcW w:w="206" w:type="pct"/>
            <w:vAlign w:val="center"/>
          </w:tcPr>
          <w:p w14:paraId="015B2A89"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217B845E"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1A91BF47"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6463BD74"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6167E53D"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69D25270" w14:textId="207062A1"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44B1878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9A81A2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71005682"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35039B3C" w14:textId="2CA829BE"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666716C0" w14:textId="6C5A2434"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0B0D97CE"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14A58909"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C80AEE">
              <w:rPr>
                <w:rFonts w:ascii="Times New Roman" w:hAnsi="Times New Roman"/>
                <w:szCs w:val="18"/>
              </w:rPr>
              <w:t>Sahin TK,</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{"citationID":"btn4M0ZH","properties":{"formattedCitation":"[20]","plainCitation":"[20]","noteIndex":0},"citationItems":[{"id":11721,"uris":["http://zotero.org/users/6456139/items/CM364ISU"],"itemData":{"id":11721,"type":"article-journal","abstract":"Background: In May 2022, the monkeypox virus outbreak in multiple countries on various continents marked a potential resurgence of the disease as a global health issue. Considering the crucial role of physicians in mitigating the monkeypox outbreak, we sought to evaluate physicians’ knowledge, attitude, concerns, and vaccine acceptance for monkeypox, in the shadow of the COVID-19 pandemic. Methods: A large-scale, cross-sectional survey was conducted among 283 physicians between 20 August−2 September 2022, in Turkey. The participants’ sociodemographic characteristics, knowledge, attitudes, concerns, and vaccine acceptance toward monkeypox infection were collected via a questionnaire. Results: Our study revealed that 32.5% of phy</w:instrText>
            </w:r>
            <w:r>
              <w:rPr>
                <w:rFonts w:ascii="Times New Roman" w:hAnsi="Times New Roman" w:hint="eastAsia"/>
                <w:szCs w:val="18"/>
              </w:rPr>
              <w:instrText>sicians achieved a good level of knowledge; similarly, 31.4% of the physicians planned to have the monkeypox vaccine. Multivariate binary logistic regression analysis showed that female physicians (p = 0.031) and older people (</w:instrText>
            </w:r>
            <w:r>
              <w:rPr>
                <w:rFonts w:ascii="Times New Roman" w:hAnsi="Times New Roman" w:hint="eastAsia"/>
                <w:szCs w:val="18"/>
              </w:rPr>
              <w:instrText>≥</w:instrText>
            </w:r>
            <w:r>
              <w:rPr>
                <w:rFonts w:ascii="Times New Roman" w:hAnsi="Times New Roman" w:hint="eastAsia"/>
                <w:szCs w:val="18"/>
              </w:rPr>
              <w:instrText>30 vs. &lt;30) were more likel</w:instrText>
            </w:r>
            <w:r>
              <w:rPr>
                <w:rFonts w:ascii="Times New Roman" w:hAnsi="Times New Roman"/>
                <w:szCs w:val="18"/>
              </w:rPr>
              <w:instrText xml:space="preserve">y to be knowledgeable about monkeypox (p = 0.007). We found that participants from divisions of internal medicine (p = 0.033) who knew about the monkeypox disease during medical school or residency (p = 0.005) and were previously exposed to COVID-19 disease (p = 0.005) were more likely to have a good knowledge score of monkeypox. We also found that physicians with a good knowledge score were more worried about monkeypox compared to COVID-19 (AOR: 2.22; 95% CI:1.13−4.33; p = 0.019). Additionally, those who had information on monkeypox during medical education (AOR = 2.16, 95% CI = 1.10−4.21; p = 0.024) were more likely to receive the smallpox vaccine to prevent monkeypox viral infection when available. Conclusions: The present study pointed out that physicians in Turkey have unsatisfactory levels of knowledge about the emerging monkeypox. This study results can impede attempts to detect and manage cases of monkeypox and should be addressed through appropriate and timely awareness and educational programs, alerts, and seminars. These might serve as the basis for policymakers’ decisions about promoting national monkeypox vaccination strategies and addressing potential vaccine hesitancy and misinformation when needed.","container-title":"Vaccines","DOI":"10.3390/vaccines11010019","ISSN":"2076-393X","issue":"1","journalAbbreviation":"Vaccines (Basel)","language":"eng","note":"PMID: 36679864\nPMCID: PMC9863926","page":"19","source":"PubMed","title":"Knowledge and Attitudes of Turkish Physicians towards Human Monkeypox Disease and Related Vaccination: A Cross-Sectional Study","title-short":"Knowledge and Attitudes of Turkish Physicians towards Human Monkeypox Disease and Related Vaccination","volume":"11","author":[{"family":"Sahin","given":"Taha Koray"},{"family":"Erul","given":"Enes"},{"family":"Aksun","given":"Melek Seren"},{"family":"Sonmezer","given":"Meliha Cagla"},{"family":"Unal","given":"Serhat"},{"family":"Akova","given":"Murat"}],"issued":{"date-parts":[["2022",12,21]]}}}],"schema":"https://github.com/citation-style-language/schema/raw/master/csl-citation.json"}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[20]</w:t>
            </w:r>
            <w:r>
              <w:rPr>
                <w:rFonts w:ascii="Times New Roman" w:hAnsi="Times New Roman"/>
                <w:szCs w:val="18"/>
              </w:rPr>
              <w:fldChar w:fldCharType="end"/>
            </w:r>
          </w:p>
        </w:tc>
        <w:tc>
          <w:tcPr>
            <w:tcW w:w="206" w:type="pct"/>
            <w:vAlign w:val="center"/>
          </w:tcPr>
          <w:p w14:paraId="2D86E9CC"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2BC4148C"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1C5505BE"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04CA1D6C"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58D7721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5C404BCC" w14:textId="01BCE8E5"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29A8A57B"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5E1276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69B0FAA5"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458C8B8B" w14:textId="6817518D"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3BD23A26" w14:textId="7EE47DE2"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39F3E8D8"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23855EB4"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2D69E2">
              <w:rPr>
                <w:rFonts w:ascii="Times New Roman" w:hAnsi="Times New Roman"/>
                <w:szCs w:val="18"/>
              </w:rPr>
              <w:t xml:space="preserve">Wang H, et al. </w:t>
            </w:r>
            <w:r w:rsidRPr="002D69E2">
              <w:rPr>
                <w:rFonts w:ascii="Times New Roman" w:hAnsi="Times New Roman"/>
                <w:szCs w:val="18"/>
              </w:rPr>
              <w:fldChar w:fldCharType="begin"/>
            </w:r>
            <w:r>
              <w:rPr>
                <w:rFonts w:ascii="Times New Roman" w:hAnsi="Times New Roman"/>
                <w:szCs w:val="18"/>
              </w:rPr>
              <w:instrText xml:space="preserve"> ADDIN ZOTERO_ITEM CSL_CITATION {"citationID":"NurmB1BB","properties":{"formattedCitation":"[21]","plainCitation":"[21]","noteIndex":0},"citationItems":[{"id":12241,"uris":["http://zotero.org/users/6456139/items/MCAAUJ7D"],"itemData":{"id":12241,"type":"article-journal","abstract":"Monkeypox is a zoonotic disease and leads to a smallpox-like disease in humans. The current epidemic in European countries requires informed responses. We investigated the ability to self-diagnose a potential infection, and determinants of vaccination and self-isolation intention after diagnosis among 394 MSM in the Netherlands. We found that about half were able to self-diagnose monkeypox, that 70% had a high intention to get vaccinated and 44% to self-isolate after monkeypox diagnosis. Determinants went beyond mere risk behaviour criteria.","container-title":"Eurosurveillance","DOI":"10.2807/1560-7917.ES.2022.27.33.2200603","ISSN":"1560-7917","issue":"33","language":"en","note":"publisher: European Centre for Disease Prevention and Control","page":"2200603","source":"www.eurosurveillance.org","title":"Monkeypox self-diagnosis abilities, determinants of vaccination and self-isolation intention after diagnosis among MSM, the Netherlands, July 2022","volume":"27","author":[{"family":"Wang","given":"Haoyi"},{"family":"Paulo","given":"Kennedy J. I.","dropping-particle":"d'Abreu de"},{"family":"Gültzow","given":"Thomas"},{"family":"Zimmermann","given":"Hanne M. L."},{"family":"Jonas","given":"Kai J."}],"issued":{"date-parts":[["2022",8,18]]}}}],"schema":"https://github.com/citation-style-language/schema/raw/master/csl-citation.json"} </w:instrText>
            </w:r>
            <w:r w:rsidRPr="002D69E2">
              <w:rPr>
                <w:rFonts w:ascii="Times New Roman" w:hAnsi="Times New Roman"/>
                <w:szCs w:val="18"/>
              </w:rPr>
              <w:fldChar w:fldCharType="separate"/>
            </w:r>
            <w:r w:rsidRPr="00E618A1">
              <w:rPr>
                <w:rFonts w:ascii="Times New Roman" w:hAnsi="Times New Roman"/>
              </w:rPr>
              <w:t>[21]</w:t>
            </w:r>
            <w:r w:rsidRPr="002D69E2">
              <w:rPr>
                <w:rFonts w:ascii="Times New Roman" w:hAnsi="Times New Roman"/>
                <w:szCs w:val="18"/>
              </w:rPr>
              <w:fldChar w:fldCharType="end"/>
            </w:r>
          </w:p>
        </w:tc>
        <w:tc>
          <w:tcPr>
            <w:tcW w:w="206" w:type="pct"/>
            <w:vAlign w:val="center"/>
          </w:tcPr>
          <w:p w14:paraId="4E8EE0F4"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5A58C801"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1AFDC6A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4B9B00F"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32A3F15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566D56F0" w14:textId="6074947E"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3BAD1CF7"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7B3CF92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6D2F740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0834487" w14:textId="64740093"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56E8BEFE" w14:textId="0651DB2F"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154AC2B1"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5D3886C0"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2D69E2">
              <w:rPr>
                <w:rFonts w:ascii="Times New Roman" w:hAnsi="Times New Roman"/>
                <w:szCs w:val="18"/>
              </w:rPr>
              <w:t xml:space="preserve">Salim NA, et al. </w:t>
            </w:r>
            <w:r w:rsidRPr="002D69E2">
              <w:rPr>
                <w:rFonts w:ascii="Times New Roman" w:hAnsi="Times New Roman"/>
                <w:szCs w:val="18"/>
              </w:rPr>
              <w:fldChar w:fldCharType="begin"/>
            </w:r>
            <w:r>
              <w:rPr>
                <w:rFonts w:ascii="Times New Roman" w:hAnsi="Times New Roman"/>
                <w:szCs w:val="18"/>
              </w:rPr>
              <w:instrText xml:space="preserve"> ADDIN ZOTERO_ITEM CSL_CITATION {"citationID":"CbMP7lxK","properties":{"formattedCitation":"[22]","plainCitation":"[22]","noteIndex":0},"citationItems":[{"id":12244,"uris":["http://zotero.org/users/6456139/items/APQ34QVM"],"itemData":{"id":12244,"type":"article-journal","abstract":"Rapid increasing cases of Monkeypox infections in countries around the world, forcing medical professionals to be prepared to prevent it becoming the next global pandemic. We conducted the study to determine knowledge, attitude, and perception of doctors regarding preparedness for 2022 human monkeypox infection. This cross-sectional design research was conducted on 2-5 of August 2022, by circulating an online survey link to all internal medicine residents at the medical faculty of Universitas Sriwijaya, Dr. Mohammad Hoesin hospital Palembang Indonesia. The survey contained questions about the respondent's characteristics, knowledge, attitudes and perceptions about Monkeypox infection. A total of 75 residents agreed and completed the survey and were analyzed, with a mean age of 31 years, and 49 men (65.3%). Respondents’ knowledge of monkeypox is not very good. Almost all respondents knew that monkeypox was transmitted by direct contact, but only 53.4% knew that monkeypox was not transmitted airborne, 34.7% not sexually, and only 18.7% answered correctly that there was no specific therapy. The percentage who answered in doubt ranged from 20-30%. Respondents' attitudes and perceptions were quite good. Almost all equipped themselves with personal protective equipment and try to find information about monkeypox by attending seminars, downloading guidelines and reading online articles. A total of 58 people (77.3%) were willing to be vaccinated against monkeypox. Residents must increase the correct knowledge about this disease in order to be able to manage appropriately if they encounter cases of monkeypox infection.","container-title":"Jurnal Kedokteran dan Kesehatan : Publikasi Ilmiah Fakultas Kedokteran Universitas Sriwijaya","DOI":"10.32539/JKK.V9I3.18799","ISSN":"2614-0411","issue":"3","language":"en","license":"Copyright (c) 2022 Nelda Aprilia Salim, Indri Seta Septadina, Mega Permata, harun hudari","note":"number: 3","page":"253-262","source":"ejournal.unsri.ac.id","title":"KNOWLEDGE, ATTITUDE, AND PERCEPTION OF ANTICIPATING 2022 GLOBAL HUMAN MONKEYPOX INFECTION AMONG INTERNAL MEDICINE RESIDENTS AT PALEMBANG INDONESIA: AN ONLINE SURVEY","title-short":"KNOWLEDGE, ATTITUDE, AND PERCEPTION OF ANTICIPATING 2022 GLOBAL HUMAN MONKEYPOX INFECTION AMONG INTERNAL MEDICINE RESIDENTS AT PALEMBANG INDONESIA","volume":"9","author":[{"family":"Salim","given":"Nelda Aprilia"},{"family":"Septadina","given":"Indri Seta"},{"family":"Permata","given":"Mega"},{"family":"Hudari","given":"Harun"}],"issued":{"date-parts":[["2022",9,15]]}}}],"schema":"https://github.com/citation-style-language/schema/raw/master/csl-citation.json"} </w:instrText>
            </w:r>
            <w:r w:rsidRPr="002D69E2">
              <w:rPr>
                <w:rFonts w:ascii="Times New Roman" w:hAnsi="Times New Roman"/>
                <w:szCs w:val="18"/>
              </w:rPr>
              <w:fldChar w:fldCharType="separate"/>
            </w:r>
            <w:r w:rsidRPr="00E618A1">
              <w:rPr>
                <w:rFonts w:ascii="Times New Roman" w:hAnsi="Times New Roman"/>
              </w:rPr>
              <w:t>[22]</w:t>
            </w:r>
            <w:r w:rsidRPr="002D69E2">
              <w:rPr>
                <w:rFonts w:ascii="Times New Roman" w:hAnsi="Times New Roman"/>
                <w:szCs w:val="18"/>
              </w:rPr>
              <w:fldChar w:fldCharType="end"/>
            </w:r>
          </w:p>
        </w:tc>
        <w:tc>
          <w:tcPr>
            <w:tcW w:w="206" w:type="pct"/>
            <w:vAlign w:val="center"/>
          </w:tcPr>
          <w:p w14:paraId="5C965D3F"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0F843080"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5D45669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4A7D31ED"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3FF13C18"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249B4D3F" w14:textId="63E05FB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4EF2C45"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168250B9"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205F9436"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DC5AEA4" w14:textId="290AA460"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73C986F1" w14:textId="2BDFF01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3DD5D090"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701BAC95"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2D69E2">
              <w:rPr>
                <w:rFonts w:ascii="Times New Roman" w:hAnsi="Times New Roman"/>
                <w:szCs w:val="18"/>
                <w:lang w:val="es-PE"/>
              </w:rPr>
              <w:t xml:space="preserve">Riccò, M, et al. </w:t>
            </w:r>
            <w:r w:rsidRPr="002D69E2">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{"citationID":"C5oKI6sx","properties":{"formattedCitation":"[23]","plainCitation":"[23]","noteIndex":0},"citationItems":[{"id":939,"uris":["http://zotero.org/users/6456139/items/B36T88T5"],"itemData":{"id":939,"type":"article-journal","abstract":"Monkeypox (MPX) has been regarded as a neglected tropic disease of Western and Central Africa since the early 70s. However, during May 2022, an unprecedent outbreak of MPX has involved most of European Countries, as well as North and South America. While the actual extent of this outbreak is being assessed by health authorities, we performed a pilot study on specific knowledge, attitudes, and practices (KAP) in a sample of Italian medical professionals (24–30 May 2022; 10,293 potential recipients), focusing on Occupational Physicians (OP), Public Health Professionals (PH), and General Practitioners (GP), i.e., medical professionals more likely involved in the early management of incident cases. More specifically, we inquired into their attitude on the use of variola vaccine in order to prevent MPX infection. From a total of 566 questionnaire (response rate of 5.5%), 163 participants were included in the final analyses. Knowledge status was quite unsatisfying, with substantial knowledge gaps on all aspect of MPX. In turn, analysis of risk perception suggested a substantial overlooking of MPX as a pathogen, particularly when compared to SARS-CoV-2, TB, HIV, and HBV. Overall, 58.6% of respondents were somehow favorable to implement variola vaccination in order to prevent MPX, and the main effectors of this attitude were identified in having been previously vaccinated against seasonal influenza (adjusted Odds Ratio [aOR] 6.443, 95% Confidence Interval [95%CI] 1.798–23.093), and being favorable to receive variola vaccine (aOR 21.416; 95%CI 7.290–62.914). In summary, the significant extent of knowledge gaps and the erratic risk perception, associated collectively stress the importance of appropriate information campaigns among first-line medical professionals.","container-title":"Tropical Medicine and Infectious Disease","DOI":"10.3390/tropicalmed7070135","ISSN":"2414-6366","issue":"7","language":"en","license":"http://creativecommons.org/licenses/by/3.0/","note":"number: 7\npublisher: Multidisciplinary Digital Publishing Institute","page":"135","source":"www.mdpi.com","title":"When a Neglected Tropical Disease Goes Global: Knowledge, Attitudes and Practices of Italian Physicians towards Monkeypox, Preliminary Results","title-short":"When a Neglected Tropical Disease Goes Global","volume":"7","author":[{"family":"Riccò","given":"Matteo"},{"family":"Ferraro","given":"Pietro"},{"family":"Camisa","given":"Vincenzo"},{"family":"Satta","given":"Elia"},{"family":"Zaniboni","given":"Alessandro"},{"family":"Ranzieri","given":"Silvia"},{"family":"Baldassarre","given":"Antonio"},{"family":"Zaffina","given":"Salvatore"},{"family":"Marchesi","given":"Federico"}],"issued":{"date-parts":[["2022",7]]}}}],"schema":"https://github.com/citation-style-language/schema/raw/master/csl-citation.json"} </w:instrText>
            </w:r>
            <w:r w:rsidRPr="002D69E2">
              <w:rPr>
                <w:rFonts w:ascii="Times New Roman" w:hAnsi="Times New Roman"/>
                <w:szCs w:val="18"/>
                <w:lang w:val="es-PE"/>
              </w:rPr>
              <w:fldChar w:fldCharType="separate"/>
            </w:r>
            <w:r w:rsidRPr="00E618A1">
              <w:rPr>
                <w:rFonts w:ascii="Times New Roman" w:hAnsi="Times New Roman"/>
              </w:rPr>
              <w:t>[23]</w:t>
            </w:r>
            <w:r w:rsidRPr="002D69E2">
              <w:rPr>
                <w:rFonts w:ascii="Times New Roman" w:hAnsi="Times New Roman"/>
                <w:szCs w:val="18"/>
                <w:lang w:val="es-PE"/>
              </w:rPr>
              <w:fldChar w:fldCharType="end"/>
            </w:r>
          </w:p>
        </w:tc>
        <w:tc>
          <w:tcPr>
            <w:tcW w:w="206" w:type="pct"/>
            <w:vAlign w:val="center"/>
          </w:tcPr>
          <w:p w14:paraId="70B8B761"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795FE9C3"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6F97E2D6"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30E6157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05D25B76"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720B808D" w14:textId="67438B40"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3E4F9463"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0DFC7ADA"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2A01AB5A"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1D177157" w14:textId="6DA08274"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2763E1AF" w14:textId="31AD42F3"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6F568425"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4EAF03EC"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7B393B">
              <w:rPr>
                <w:rFonts w:ascii="Times New Roman" w:hAnsi="Times New Roman"/>
                <w:szCs w:val="18"/>
              </w:rPr>
              <w:t>Meo SA et al.</w:t>
            </w:r>
            <w:r>
              <w:rPr>
                <w:rFonts w:ascii="Times New Roman" w:hAnsi="Times New Roman"/>
                <w:szCs w:val="18"/>
              </w:rPr>
              <w:t xml:space="preserve"> </w:t>
            </w:r>
            <w:r>
              <w:rPr>
                <w:rFonts w:ascii="Times New Roman" w:hAnsi="Times New Roman"/>
                <w:szCs w:val="18"/>
              </w:rPr>
              <w:fldChar w:fldCharType="begin"/>
            </w:r>
            <w:r>
              <w:rPr>
                <w:rFonts w:ascii="Times New Roman" w:hAnsi="Times New Roman"/>
                <w:szCs w:val="18"/>
              </w:rPr>
              <w:instrText xml:space="preserve"> ADDIN ZOTERO_ITEM CSL_CITATION {"citationID":"kd5TR88X","properties":{"formattedCitation":"[24]","plainCitation":"[24]","noteIndex":0},"citationItems":[{"id":12247,"uris":["http://zotero.org/users/6456139/items/77IW6BNJ"],"itemData":{"id":12247,"type":"article-journal","abstract":"The human monkeypox disease is caused by the monkeypox virus (MPXV), which is a zoonotic disease. In the year 2022, the prevalence of monkeypox cases swiftly increased worldwide and the disease has now been declared a global public health emergency. The present study aimed to assess the public’s perceptions and knowledge of and attitudes toward monkeypox in Riyadh, Saudi Arabia. This questionnaire-based cross-sectional study was conducted from 15 May to 15 July 2022. The participants’ perceptions, knowledge, and attitudes were collected via a 28-item-based questionnaire survey. The survey was based on 1020 participants (554 (54.3%) were females, and 466 (45.7%) were males). The results reveal that out of 1020 participants, 799 (78.3%) respondents believed that monkeypox disease has developed into a pandemic situation, and 798 (78.2%) suggested that the disease is most common in Western and Central Africa. Further analysis shows that 692 (67.8%) respondents agreed that monkeypox cases are increasing worldwide, 798 (21.8%) believed that monkeypox is commonly transmitted through direct contact, and 545 (53.4%) of respondents reported that it is easily transmitted from human to human. Moreover, 693 (67.9%) participants mentioned that monkeypox disease is spreading more widely as people travel from one country to another, while 807 (79.1%) participants were aware that smallpox and monkeypox have similar clinical features. Furthermore, the majority of participants (p = 0.033) agreed that health officials should start a vaccination campaign to combat monkeypox. Regarding preventive measures and vaccination campaigns, 641 (62.8%) participants suggested that health officials should take public preventive measures and 446 (43.7%) recommended that health officials start vaccination campaigns against monkeypox. The knowledge of human monkeypox among the general population in Riyadh, Saudi Arabia was satisfactory for all ages, genders, levels of education, and economic groups. Moreover, the majority of participants proposed adopting preventive measures and starting a vaccination campaign to combat monkeypox disease. The knowledge of monkeypox in the public domain is a key factor to improve the public‘s capacity to minimize the disease burden and fight against viral infectious diseases at regional and global levels.","container-title":"Vaccines","DOI":"10.3390/vaccines10091534","ISSN":"2076-393X","issue":"9","language":"en","license":"http://creativecommons.org/licenses/by/3.0/","note":"number: 9\npublisher: Multidisciplinary Digital Publishing Institute","page":"1534","source":"www.mdpi.com","title":"Public Perceptions of the Emerging Human Monkeypox Disease and Vaccination in Riyadh, Saudi Arabia: A Cross-Sectional Study","title-short":"Public Perceptions of the Emerging Human Monkeypox Disease and Vaccination in Riyadh, Saudi Arabia","volume":"10","author":[{"family":"Meo","given":"Sultan Ayoub"},{"family":"Al-Khlaiwi","given":"Thamir"},{"family":"Aljofan","given":"Ziyad Fahad"},{"family":"Alanazi","given":"Aued Iaed"},{"family":"Meo","given":"Anusha Sultan"}],"issued":{"date-parts":[["2022",9]]}}}],"schema":"https://github.com/citation-style-language/schema/raw/master/csl-citation.json"}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[24]</w:t>
            </w:r>
            <w:r>
              <w:rPr>
                <w:rFonts w:ascii="Times New Roman" w:hAnsi="Times New Roman"/>
                <w:szCs w:val="18"/>
              </w:rPr>
              <w:fldChar w:fldCharType="end"/>
            </w:r>
          </w:p>
        </w:tc>
        <w:tc>
          <w:tcPr>
            <w:tcW w:w="206" w:type="pct"/>
            <w:vAlign w:val="center"/>
          </w:tcPr>
          <w:p w14:paraId="2B3645E2"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5C23BE13"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623FC9F9"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443444F3"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44602E8"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2CEA55F3" w14:textId="6FC69B74"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34F012AF"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7909A162"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0181165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0425361" w14:textId="07D81758"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1B85994B" w14:textId="74397D6C"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4BD1D562"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65187E98"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7548B2">
              <w:rPr>
                <w:rFonts w:ascii="Times New Roman" w:hAnsi="Times New Roman"/>
                <w:szCs w:val="18"/>
              </w:rPr>
              <w:t>Temsah MH, et al.</w:t>
            </w:r>
            <w:r>
              <w:rPr>
                <w:rFonts w:ascii="Times New Roman" w:hAnsi="Times New Roman"/>
                <w:szCs w:val="18"/>
              </w:rPr>
              <w:t xml:space="preserve"> </w:t>
            </w:r>
            <w:r>
              <w:rPr>
                <w:rFonts w:ascii="Times New Roman" w:hAnsi="Times New Roman"/>
                <w:szCs w:val="18"/>
              </w:rPr>
              <w:fldChar w:fldCharType="begin"/>
            </w:r>
            <w:r>
              <w:rPr>
                <w:rFonts w:ascii="Times New Roman" w:hAnsi="Times New Roman"/>
                <w:szCs w:val="18"/>
              </w:rPr>
              <w:instrText xml:space="preserve"> ADDIN ZOTERO_ITEM CSL_CITATION {"citationID":"4oapL4gB","properties":{"formattedCitation":"[25]","plainCitation":"[25]","noteIndex":0},"citationItems":[{"id":12249,"uris":["http://zotero.org/users/6456139/items/9JW8GKCL"],"itemData":{"id":12249,"type":"article-journal","abstract":"Background\nMonkeypox re-emerged in May 2022 as another global health threat. This study assessed the public's perception, worries, and vaccine acceptance for Monkeypox and COVID-19 during the first month of WHO announcement.\nMethods\nA large-scale, cross-sectional survey was conducted between May 27 and June 5, 2022, in Saudi Arabia. Data were collected on sociodemographic characteristics, previous infection with COVID-19, worry levels regarding Monkeypox compared to COVID-19, awareness, and perceptions of Monkeypox, and vaccine acceptance.\nResults\nAmong the 1546 participants, most respondents (62%) were more worried about COVID-19 than Monkeypox. Respondents aged 45 years and above and those with a university degree or higher had lower odds of agreement with Monkeypox vaccination (OR 0.871, p-value 0.006, OR 0.719, p-value &lt;0.001), respectively. Respondents with moderate to a high level of self and family commitment to infection control precautionary measures and those who expressed self and family worry of Monkeypox infection had significantly higher odds of vaccination agreement (OR 1.089 p-value = 0.047, OR1.395 p-value = 0.003) respectively. On the other hand, respondents who previously developed COVID-19 were significantly more worried about the Monkeypox disease (1.30 times more, p-value = 0.020).\nConclusion\nWorry levels amongst the public are higher from COVID-19 than Monkeypox. Perception of Monkeypox as a dangerous and virulent disease, worry from contracting the disease, and high commitment to infection precautionary measures were predictors of agreement with Monkeypox vaccination. While advanced age and high education level are predictors of low agreement with vaccination.","container-title":"Travel Medicine and Infectious Disease","DOI":"10.1016/j.tmaid.2022.102426","ISSN":"1477-8939","journalAbbreviation":"Travel Medicine and Infectious Disease","language":"en","page":"102426","source":"ScienceDirect","title":"Monkeypox caused less worry than COVID-19 among the general population during the first month of the WHO Monkeypox alert: Experience from Saudi Arabia","title-short":"Monkeypox caused less worry than COVID-19 among the general population during the first month of the WHO Monkeypox alert","volume":"49","author":[{"family":"Temsah","given":"Mohamad-Hani"},{"family":"Aljamaan","given":"Fadi"},{"family":"Alenezi","given":"Shuliweeh"},{"family":"Alhasan","given":"Khalid"},{"family":"Saddik","given":"Basema"},{"family":"Al-Barag","given":"Ahmad"},{"family":"Alhaboob","given":"Ali"},{"family":"Bahabri","given":"Nezar"},{"family":"Alshahrani","given":"Fatimah"},{"family":"Alrabiaah","given":"Abdulkarim"},{"family":"Alaraj","given":"Ali"},{"family":"Bahkali","given":"Feras"},{"family":"Alkriadees","given":"Khaled"},{"family":"Jamal","given":"Amr"},{"family":"Halwani","given":"Rabih"},{"family":"AlZamil","given":"Fahad"},{"family":"Al-Subaie","given":"Sarah"},{"family":"Barry","given":"Mazin"},{"family":"Memish","given":"Ziad A."},{"family":"Al-Tawfiq","given":"Jaffar A."}],"issued":{"date-parts":[["2022",9,1]]}}}],"schema":"https://github.com/citation-style-language/schema/raw/master/csl-citation.json"}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[25]</w:t>
            </w:r>
            <w:r>
              <w:rPr>
                <w:rFonts w:ascii="Times New Roman" w:hAnsi="Times New Roman"/>
                <w:szCs w:val="18"/>
              </w:rPr>
              <w:fldChar w:fldCharType="end"/>
            </w:r>
          </w:p>
        </w:tc>
        <w:tc>
          <w:tcPr>
            <w:tcW w:w="206" w:type="pct"/>
            <w:vAlign w:val="center"/>
          </w:tcPr>
          <w:p w14:paraId="77BD707F"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3991ABD4"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2479A8E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6A50707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2AF67B7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CEA501A" w14:textId="7DA16AA5"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540FDC2C"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7F7E5EF2"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2E0D5763"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0DE32FA" w14:textId="261E8A1D"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77567BA1" w14:textId="3D494771"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6BC04E92"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4BF40138"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CD7F15">
              <w:rPr>
                <w:rFonts w:ascii="Times New Roman" w:hAnsi="Times New Roman"/>
                <w:szCs w:val="18"/>
              </w:rPr>
              <w:t xml:space="preserve">Kumar N, et al. </w:t>
            </w:r>
            <w:r>
              <w:rPr>
                <w:rFonts w:ascii="Times New Roman" w:hAnsi="Times New Roman"/>
                <w:szCs w:val="18"/>
                <w:lang w:val="es-PE"/>
              </w:rPr>
              <w:fldChar w:fldCharType="begin"/>
            </w:r>
            <w:r>
              <w:rPr>
                <w:rFonts w:ascii="Times New Roman" w:hAnsi="Times New Roman"/>
                <w:szCs w:val="18"/>
              </w:rPr>
              <w:instrText xml:space="preserve"> ADDIN ZOTERO_ITEM CSL_CITATION {"citationID":"ezBjVS5m","properties":{"formattedCitation":"[26]","plainCitation":"[26]","noteIndex":0},"citationItems":[{"id":11715,"uris":["http://zotero.org/users/6456139/items/A8B7W9GM"],"itemData":{"id":11715,"type":"article-journal","abstract":"This study aimed to explore knowledge, attitude, perceptions, and willingness regarding vaccination among university students in Pakistan. This cross-sectional study was carried out using an open online self-administered survey via Google Forms. The survey data were collected between the 15 to 30 of October 2022. A total of 946 respondents participated in the study, of which the majority were female (514, 54.3%). Most students belonged to a medical background, specifically pharmaceutical sciences. Most of the respondents did not know about monkeypox before 2022 (646, 68.3%). Regarding overall knowledge of monkeypox, most of the respondents had average knowledge (726, 76.7%), with very few having good knowledge (60, 6.3%). Regarding overall attitudes towards monkeypox, most of the respondents had neutral attitudes (648, 68.5%). There was a significant association between knowledge of Monkeypox with the type of academic degree (p &lt; 0.001), type of discipline (p &lt; 0.001), and region of respondents (p &lt; 0.001). The willingness to vaccinate among the population was (67.7%). The current study pointed out that the overall knowledge of monkeypox was average in most respondents, with considerable knowledge gaps in most aspects. The overall attitude towards monkeypox was neutral. Further, the knowledge about monkeypox was strongly associated with academic degree, study discipline, and region of respondents. Our findings emphasize the need to raise public awareness by educating students on the monkeypox virus. This will improve adherence to preventative recommendations.","container-title":"Vaccines","DOI":"10.3390/vaccines11010097","ISSN":"2076-393X","issue":"1","journalAbbreviation":"Vaccines (Basel)","language":"eng","note":"PMID: 36679942\nPMCID: PMC9862138","page":"97","source":"PubMed","title":"Monkeypox Cross-Sectional Survey of Knowledge, Attitudes, Practices, and Willingness to Vaccinate among University Students in Pakistan","volume":"11","author":[{"family":"Kumar","given":"Narendar"},{"family":"Ahmed","given":"Fatima"},{"family":"Raza","given":"Muhammad Sauban"},{"family":"Rajpoot","given":"Pushp Lata"},{"family":"Rehman","given":"Wajiha"},{"family":"Khatri","given":"Shoaib Alam"},{"family":"Mohammed","given":"Mustapha"},{"family":"Muhammad","given":"Shaib"},{"family":"Ahmad","given":"Rabbiya"}],"issued":{"date-parts":[["2022",12,31]]}}}],"schema":"https://github.com/citation-style-language/schema/raw/master/csl-citation.json"} </w:instrText>
            </w:r>
            <w:r>
              <w:rPr>
                <w:rFonts w:ascii="Times New Roman" w:hAnsi="Times New Roman"/>
                <w:szCs w:val="18"/>
                <w:lang w:val="es-PE"/>
              </w:rPr>
              <w:fldChar w:fldCharType="separate"/>
            </w:r>
            <w:r w:rsidRPr="00E618A1">
              <w:rPr>
                <w:rFonts w:ascii="Times New Roman" w:hAnsi="Times New Roman"/>
              </w:rPr>
              <w:t>[26]</w:t>
            </w:r>
            <w:r>
              <w:rPr>
                <w:rFonts w:ascii="Times New Roman" w:hAnsi="Times New Roman"/>
                <w:szCs w:val="18"/>
                <w:lang w:val="es-PE"/>
              </w:rPr>
              <w:fldChar w:fldCharType="end"/>
            </w:r>
          </w:p>
        </w:tc>
        <w:tc>
          <w:tcPr>
            <w:tcW w:w="206" w:type="pct"/>
            <w:vAlign w:val="center"/>
          </w:tcPr>
          <w:p w14:paraId="6ADF9B68"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794A4D">
              <w:rPr>
                <w:rFonts w:ascii="Times New Roman" w:hAnsi="Times New Roman"/>
                <w:szCs w:val="18"/>
              </w:rPr>
              <w:t>2022</w:t>
            </w:r>
          </w:p>
        </w:tc>
        <w:tc>
          <w:tcPr>
            <w:tcW w:w="288" w:type="pct"/>
            <w:vAlign w:val="center"/>
          </w:tcPr>
          <w:p w14:paraId="1F59CB5C"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52DB5586"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436CCBFF"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3FDAD911"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49C63C70" w14:textId="7886308F"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550977AB"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6740B2EF"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81D7688"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5D5914F9" w14:textId="6ADCB87D"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3D867EEE" w14:textId="0EC1A4BD"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7AD8FFC7"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4B931646"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313779">
              <w:rPr>
                <w:rFonts w:ascii="Times New Roman" w:hAnsi="Times New Roman"/>
                <w:szCs w:val="18"/>
              </w:rPr>
              <w:t>Lin GSS,</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{"citationID":"AtVLWR6u","properties":{"formattedCitation":"[27]","plainCitation":"[27]","noteIndex":0},"citationItems":[{"id":12378,"uris":["http://zotero.org/users/6456139/items/A9FA7EXT"],"itemData":{"id":12378,"type":"article-journal","abstract":"Objective: \n          To evaluate the awareness, knowledge, and attitude on monkeypox viral infection among preclinical and clinical dental students in Malaysia.\n          Methods: \n          A cross-sectional study was conducted among 229 preclinical and clinical dental students via an online self-reported questionnaire. The questionnaire included 3 items on awareness, 15 items on knowledge, 9 items on attitude and 2 open-ended questions. Data were presented as frequencies and percentages. Chi-square test was used to compare knowledge and awareness scores between preclinical and clinical dental students and content analysis was performed for open-ended responses.\n          Results: \n          Preclinical and clinical dental students were aware of the existence of monkeypox (89.5% and 94.4%, respectively), that the disease emerged in non-endemic countries (81.0% and 87.1%, respectively) and that it was declared a public health emergency of international concern by the World Health Organization (73.3% and 79.0%, respectively). Clinical dental students’ overall knowledge level was significantly higher than preclinical dental students (P=0.014). Both preclinical (95.2%) and clinical (96.8%) dental students demonstrated positive attitudes toward monkeypox with no significant difference (P=0.736) noted between them. Three themes emerged from the open-ended questions: (1) reimplementation of nationwide lockdown, (2) impact on the economy and health, and (3) disruption to the educational system. Students also anticipated their face-to-face learning to be reduced should there be a new outbreak.\n          Conclusions: \n          Both preclinical and clinical dental students showed comparable awareness and attitudes, while the latter demonstrated greater satisfactory knowledge toward the re-emergence of monkeypox during the COVID-19 pandemic. Nonetheless, efforts to improve dental students’ understanding of this alarming outbreak are required, to safeguard their health and minimise transmission.","container-title":"Asian Pacific Journal of Tropical Medicine","DOI":"10.4103/1995-7645.359787","ISSN":"1995-7645","issue":"10","language":"en-US","page":"461","source":"journals.lww.com","title":"Monkeypox awareness, knowledge, and attitude among undergraduate preclinical and clinical students at a Malaysian dental school: An emerging outbreak during the COVID-19 era","title-short":"Monkeypox awareness, knowledge, and attitude among undergraduate preclinical and clinical students at a Malaysian dental school","volume":"15","author":[{"family":"Lin","given":"Galvin Sim Siang"},{"family":"Tan","given":"Wen Wu"},{"family":"Chan","given":"Daryl Zhun Kit"},{"family":"Ooi","given":"Kai Shen"},{"family":"Hashim","given":"Hasnah"}],"issued":{"date-parts":[["2022",10]]}}}],"schema":"https://github.com/citation-style-language/schema/raw/master/csl-citation.json"}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[27]</w:t>
            </w:r>
            <w:r>
              <w:rPr>
                <w:rFonts w:ascii="Times New Roman" w:hAnsi="Times New Roman"/>
                <w:szCs w:val="18"/>
              </w:rPr>
              <w:fldChar w:fldCharType="end"/>
            </w:r>
          </w:p>
        </w:tc>
        <w:tc>
          <w:tcPr>
            <w:tcW w:w="206" w:type="pct"/>
            <w:vAlign w:val="center"/>
          </w:tcPr>
          <w:p w14:paraId="64CA502C" w14:textId="77777777" w:rsidR="000E5DFC" w:rsidRPr="009142E0"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288" w:type="pct"/>
            <w:vAlign w:val="center"/>
          </w:tcPr>
          <w:p w14:paraId="40729288"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27" w:type="pct"/>
            <w:vAlign w:val="center"/>
          </w:tcPr>
          <w:p w14:paraId="066C507D"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644" w:type="pct"/>
            <w:vAlign w:val="center"/>
          </w:tcPr>
          <w:p w14:paraId="0458802A"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5" w:type="pct"/>
            <w:vAlign w:val="center"/>
          </w:tcPr>
          <w:p w14:paraId="523979F0"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7" w:type="pct"/>
            <w:vAlign w:val="center"/>
          </w:tcPr>
          <w:p w14:paraId="0207CC40" w14:textId="14BFFAFC"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446" w:type="pct"/>
            <w:vAlign w:val="center"/>
          </w:tcPr>
          <w:p w14:paraId="0033617C"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E2F884C"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396" w:type="pct"/>
            <w:vAlign w:val="center"/>
          </w:tcPr>
          <w:p w14:paraId="108CA991"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 xml:space="preserve">Yes </w:t>
            </w:r>
          </w:p>
        </w:tc>
        <w:tc>
          <w:tcPr>
            <w:tcW w:w="297" w:type="pct"/>
            <w:vAlign w:val="center"/>
          </w:tcPr>
          <w:p w14:paraId="7F51E0B6" w14:textId="4BD45F56"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03269970" w14:textId="7B67BAF0"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19D2050E" w14:textId="77777777" w:rsidTr="003D0B8D">
        <w:trPr>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71D967EF"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2414FE">
              <w:rPr>
                <w:rFonts w:ascii="Times New Roman" w:hAnsi="Times New Roman"/>
                <w:szCs w:val="18"/>
              </w:rPr>
              <w:t>Winters M,</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{"citationID":"DbzNlHTp","properties":{"formattedCitation":"[28]","plainCitation":"[28]","noteIndex":0},"citationItems":[{"id":11709,"uris":["http://zotero.org/users/6456139/items/EJFMF84J"],"itemData":{"id":11709,"type":"article-journal","abstract":"Amidst an unprecedented Monkeypox outbreak, we aimed to measure knowledge, attitudes, practices and Monkeypox vaccination intentions among the U.S. adult population. We conducted an online cross-sectional survey, representative of the U.S. adult general public in June 2022. We asked participants whether they would receive a Monkeypox vaccine, if they were recommended to do so. Participants also answered questions on their self-assessed level of Monkeypox knowledge, risk perception, perceived exaggeration of the threat, and self-efficacy around Monkeypox. Furthermore, we asked about their trusted sources of information, COVID-19 vaccination status and administered the 6-item Vaccine Trust Indicator (VTI). Survey weights were created based on age, gender and race. We analyzed predictors of Monkeypox vaccination intentions using logistic regression, adjusted for education, age, race and ethnicity. A total of 856 respondents completed the survey, of which 51% (n = 436) were female and 41% (n = 348) had a college degree or higher. If recommended, 46% of respondents intended to get vaccinated against Monkeypox, 29% would not get vaccinated and 25% did not know. Almost half the respondents (47%) found their own knowledge level about Monkeypox poor or very poor. The most trusted sources of information about the outbreak were healthcare professionals and officials, but also known doctors and researchers with a large online following. Only 24% indicated that the U.S. Centers for Disease Control and Prevention should be in charge of the outbreak response. Being vaccinated against COVID-19 was a strong predictor of intention to receive a Monkeypox if recommended (adjusted Odds Ratio (aOR) 29.2, 95% Confidence Interval (CI) 13.1-65.3). Increased risk perception was positively associated with vaccination intentions (aOR 2.6, 95% CI 1.8-3.6), scoring high on the VTI as well (5.4, 95% CI (3.2-9.1). The low levels of self-assessed knowledge, vaccination intentions and influence of COVID-19 vaccination status point to a lack of clear communication.","container-title":"PloS One","DOI":"10.1371/journal.pone.0278622","ISSN":"1932-6203","issue":"12","journalAbbreviation":"PLoS One","language":"eng","note":"PMID: 36454991\nPMCID: PMC9714903","page":"e0278622","source":"PubMed","title":"Attitudes towards Monkeypox vaccination and predictors of vaccination intentions among the US general public","volume":"17","author":[{"family":"Winters","given":"Maike"},{"family":"Malik","given":"Amyn A."},{"family":"Omer","given":"Saad B."}],"issued":{"date-parts":[["2022"]]}}}],"schema":"https://github.com/citation-style-language/schema/raw/master/csl-citation.json"}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[28]</w:t>
            </w:r>
            <w:r>
              <w:rPr>
                <w:rFonts w:ascii="Times New Roman" w:hAnsi="Times New Roman"/>
                <w:szCs w:val="18"/>
              </w:rPr>
              <w:fldChar w:fldCharType="end"/>
            </w:r>
            <w:r>
              <w:rPr>
                <w:rFonts w:ascii="Times New Roman" w:hAnsi="Times New Roman"/>
                <w:szCs w:val="18"/>
              </w:rPr>
              <w:t xml:space="preserve"> </w:t>
            </w:r>
          </w:p>
        </w:tc>
        <w:tc>
          <w:tcPr>
            <w:tcW w:w="206" w:type="pct"/>
            <w:vAlign w:val="center"/>
          </w:tcPr>
          <w:p w14:paraId="3C75294C" w14:textId="77777777" w:rsidR="000E5DFC" w:rsidRPr="009142E0"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Cs w:val="18"/>
              </w:rPr>
              <w:t>2022</w:t>
            </w:r>
          </w:p>
        </w:tc>
        <w:tc>
          <w:tcPr>
            <w:tcW w:w="288" w:type="pct"/>
            <w:vAlign w:val="center"/>
          </w:tcPr>
          <w:p w14:paraId="75BE0A9E"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16AA5094"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1EE1F6F0"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5DCB1F5D"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547F2C3E" w14:textId="09203CE9"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2DD13139"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4D5A245C"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1631B04C" w14:textId="77777777"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B45030B" w14:textId="7C89BE14"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71926FA5" w14:textId="009D2448" w:rsidR="000E5DFC" w:rsidRDefault="000E5DFC" w:rsidP="000E5DFC">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r w:rsidR="000E5DFC" w:rsidRPr="009142E0" w14:paraId="037C802B" w14:textId="77777777" w:rsidTr="003D0B8D">
        <w:trPr>
          <w:cnfStyle w:val="000000100000" w:firstRow="0" w:lastRow="0" w:firstColumn="0" w:lastColumn="0" w:oddVBand="0" w:evenVBand="0" w:oddHBand="1" w:evenHBand="0" w:firstRowFirstColumn="0" w:firstRowLastColumn="0" w:lastRowFirstColumn="0" w:lastRowLastColumn="0"/>
          <w:trHeight w:val="608"/>
          <w:jc w:val="center"/>
        </w:trPr>
        <w:tc>
          <w:tcPr>
            <w:cnfStyle w:val="001000000000" w:firstRow="0" w:lastRow="0" w:firstColumn="1" w:lastColumn="0" w:oddVBand="0" w:evenVBand="0" w:oddHBand="0" w:evenHBand="0" w:firstRowFirstColumn="0" w:firstRowLastColumn="0" w:lastRowFirstColumn="0" w:lastRowLastColumn="0"/>
            <w:tcW w:w="616" w:type="pct"/>
            <w:gridSpan w:val="2"/>
            <w:vAlign w:val="center"/>
          </w:tcPr>
          <w:p w14:paraId="2918A428" w14:textId="77777777" w:rsidR="000E5DFC" w:rsidRPr="009142E0" w:rsidRDefault="000E5DFC" w:rsidP="000E5DFC">
            <w:pPr>
              <w:tabs>
                <w:tab w:val="left" w:pos="7925"/>
              </w:tabs>
              <w:autoSpaceDE w:val="0"/>
              <w:autoSpaceDN w:val="0"/>
              <w:adjustRightInd w:val="0"/>
              <w:snapToGrid w:val="0"/>
              <w:spacing w:line="240" w:lineRule="auto"/>
              <w:jc w:val="center"/>
              <w:rPr>
                <w:rFonts w:ascii="Times New Roman" w:hAnsi="Times New Roman"/>
                <w:sz w:val="18"/>
                <w:szCs w:val="18"/>
              </w:rPr>
            </w:pPr>
            <w:r w:rsidRPr="003774F7">
              <w:rPr>
                <w:rFonts w:ascii="Times New Roman" w:hAnsi="Times New Roman"/>
                <w:szCs w:val="18"/>
              </w:rPr>
              <w:lastRenderedPageBreak/>
              <w:t>Harapan H,</w:t>
            </w:r>
            <w:r>
              <w:rPr>
                <w:rFonts w:ascii="Times New Roman" w:hAnsi="Times New Roman"/>
                <w:szCs w:val="18"/>
              </w:rPr>
              <w:t xml:space="preserve"> et al. </w:t>
            </w:r>
            <w:r>
              <w:rPr>
                <w:rFonts w:ascii="Times New Roman" w:hAnsi="Times New Roman"/>
                <w:szCs w:val="18"/>
              </w:rPr>
              <w:fldChar w:fldCharType="begin"/>
            </w:r>
            <w:r>
              <w:rPr>
                <w:rFonts w:ascii="Times New Roman" w:hAnsi="Times New Roman"/>
                <w:szCs w:val="18"/>
              </w:rPr>
              <w:instrText xml:space="preserve"> ADDIN ZOTERO_ITEM CSL_CITATION {"citationID":"TQoVWhYz","properties":{"formattedCitation":"[29]","plainCitation":"[29]","noteIndex":0},"citationItems":[{"id":11733,"uris":["http://zotero.org/users/6456139/items/7LGRUTZG"],"itemData":{"id":11733,"type":"article-journal","abstract":"Background\nAlthough there is no licensed vaccine for monkeypox, smallpox vaccine has been shown to be 85% effective in preventing the monkeypox. This study was conducted to assess the willingness of frontline healthcare providers to be vaccinated with smallpox vaccine to prevent monkeypox.\nMethods\nA cross-sectional study was conducted in Indonesia. The willingness was assessed under two scenarios: fully subsidized and non-subsidized vaccine. Explanatory variables such as sociodemographic profile, workplace and professional characteristics, and knowledge of monkeypox were collected. A logistic regression assessed the influence of these explanatory variables on participants’ willingness.\nResults\nOut of 510 received participants’ responses, 407 (79.8%) were analyzed. With a fully subsidized vaccine scenario, 381 (93.6%) of the participants were willing to be vaccinated and in an unadjusted analysis, gender, education, monthly income, and type of workplace were associated with willingness. With a non-subsidized vaccine (i.e. the vaccine price was US$ 17.9), the proportion who were willing to be vaccinated decreased to 71.9%. In adjusted analyses for both scenarios, gender was the only independent predictor for willingness; men were less willing to be vaccinated than women, adjusted odds ratio (aOR): 0.37; 95% confidence interval (CI): 0.16, 0.87 and aOR: 0.42; 95%CI: 0.27, 0.67, respectively for subsidized and non-subsidized scenario.\nConclusion\nVaccine price and gender are important factors for physicians' willingness to be vaccinated for smallpox vaccine prevent monkeypox in Indonesia. These findings indicate that achieving high vaccine converge may require partially or fully subsidized vaccines, along with a clear guideline and recommendation from authorities.","container-title":"Clinical Epidemiology and Global Health","DOI":"10.1016/j.cegh.2020.04.024","ISSN":"2213-3984","issue":"4","journalAbbreviation":"Clinical Epidemiology and Global Health","language":"en","page":"1259-1263","source":"ScienceDirect","title":"Physicians’ willingness to be vaccinated with a smallpox vaccine to prevent monkeypox viral infection: A cross-sectional study in Indonesia","title-short":"Physicians’ willingness to be vaccinated with a smallpox vaccine to prevent monkeypox viral infection","volume":"8","author":[{"family":"Harapan","given":"Harapan"},{"family":"Setiawan","given":"Abdul M."},{"family":"Yufika","given":"Amanda"},{"family":"Anwar","given":"Samsul"},{"family":"Wahyuni","given":"Sri"},{"family":"Asrizal","given":"Febrivan W."},{"family":"Sufri","given":"Muhammad R."},{"family":"Putra","given":"Reza P."},{"family":"Wijayanti","given":"Nanda P."},{"family":"Salwiyadi","given":"Salwiyadi"},{"family":"Maulana","given":"Razi"},{"family":"Khusna","given":"Afriyani"},{"family":"Nusrina","given":"Ina"},{"family":"Shidiq","given":"Muhammad"},{"family":"Fitriani","given":"Devi"},{"family":"Muharrir","given":"Muharrir"},{"family":"Husna","given":"Cut A."},{"family":"Yusri","given":"Fitria"},{"family":"Maulana","given":"Reza"},{"family":"Itoh","given":"Naoya"},{"family":"Andalas","given":"Mohd"},{"family":"Wagner","given":"Abram L."},{"family":"Mudatsir","given":"Mudatsir"}],"issued":{"date-parts":[["2020",12,1]]}}}],"schema":"https://github.com/citation-style-language/schema/raw/master/csl-citation.json"} </w:instrText>
            </w:r>
            <w:r>
              <w:rPr>
                <w:rFonts w:ascii="Times New Roman" w:hAnsi="Times New Roman"/>
                <w:szCs w:val="18"/>
              </w:rPr>
              <w:fldChar w:fldCharType="separate"/>
            </w:r>
            <w:r w:rsidRPr="00E618A1">
              <w:rPr>
                <w:rFonts w:ascii="Times New Roman" w:hAnsi="Times New Roman"/>
              </w:rPr>
              <w:t>[29]</w:t>
            </w:r>
            <w:r>
              <w:rPr>
                <w:rFonts w:ascii="Times New Roman" w:hAnsi="Times New Roman"/>
                <w:szCs w:val="18"/>
              </w:rPr>
              <w:fldChar w:fldCharType="end"/>
            </w:r>
          </w:p>
        </w:tc>
        <w:tc>
          <w:tcPr>
            <w:tcW w:w="206" w:type="pct"/>
            <w:vAlign w:val="center"/>
          </w:tcPr>
          <w:p w14:paraId="315E639B"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794A4D">
              <w:rPr>
                <w:rFonts w:ascii="Times New Roman" w:hAnsi="Times New Roman"/>
                <w:szCs w:val="18"/>
              </w:rPr>
              <w:t>2020</w:t>
            </w:r>
          </w:p>
        </w:tc>
        <w:tc>
          <w:tcPr>
            <w:tcW w:w="288" w:type="pct"/>
            <w:vAlign w:val="center"/>
          </w:tcPr>
          <w:p w14:paraId="0D1FF951"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27" w:type="pct"/>
            <w:vAlign w:val="center"/>
          </w:tcPr>
          <w:p w14:paraId="1EAC6142"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644" w:type="pct"/>
            <w:vAlign w:val="center"/>
          </w:tcPr>
          <w:p w14:paraId="561BE9BB"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5" w:type="pct"/>
            <w:vAlign w:val="center"/>
          </w:tcPr>
          <w:p w14:paraId="07E29316"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7" w:type="pct"/>
            <w:vAlign w:val="center"/>
          </w:tcPr>
          <w:p w14:paraId="1A3178E7" w14:textId="4A0ABACD"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446" w:type="pct"/>
            <w:vAlign w:val="center"/>
          </w:tcPr>
          <w:p w14:paraId="76F7FB73"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NA</w:t>
            </w:r>
          </w:p>
        </w:tc>
        <w:tc>
          <w:tcPr>
            <w:tcW w:w="446" w:type="pct"/>
            <w:vAlign w:val="center"/>
          </w:tcPr>
          <w:p w14:paraId="22765A33"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396" w:type="pct"/>
            <w:vAlign w:val="center"/>
          </w:tcPr>
          <w:p w14:paraId="316F0DE7" w14:textId="7777777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Yes</w:t>
            </w:r>
          </w:p>
        </w:tc>
        <w:tc>
          <w:tcPr>
            <w:tcW w:w="297" w:type="pct"/>
            <w:vAlign w:val="center"/>
          </w:tcPr>
          <w:p w14:paraId="0C751350" w14:textId="0B70FB8E"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6</w:t>
            </w:r>
          </w:p>
        </w:tc>
        <w:tc>
          <w:tcPr>
            <w:tcW w:w="392" w:type="pct"/>
            <w:vAlign w:val="center"/>
          </w:tcPr>
          <w:p w14:paraId="0272A6FA" w14:textId="4A2DE5A7" w:rsidR="000E5DFC" w:rsidRDefault="000E5DFC" w:rsidP="000E5DFC">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Pr>
                <w:rFonts w:ascii="Times New Roman" w:hAnsi="Times New Roman"/>
                <w:sz w:val="18"/>
                <w:szCs w:val="18"/>
              </w:rPr>
              <w:t>Moderate</w:t>
            </w:r>
          </w:p>
        </w:tc>
      </w:tr>
    </w:tbl>
    <w:p w14:paraId="0DA0147B" w14:textId="77777777" w:rsidR="00B87499" w:rsidRDefault="00B87499" w:rsidP="00B87499">
      <w:pPr>
        <w:pStyle w:val="MDPI31text"/>
        <w:jc w:val="center"/>
        <w:rPr>
          <w:rFonts w:ascii="Times New Roman" w:hAnsi="Times New Roman"/>
          <w:sz w:val="22"/>
          <w:szCs w:val="24"/>
        </w:rPr>
      </w:pPr>
      <w:r w:rsidRPr="00DC5131">
        <w:rPr>
          <w:rFonts w:ascii="Times New Roman" w:hAnsi="Times New Roman"/>
          <w:snapToGrid/>
          <w:szCs w:val="20"/>
        </w:rPr>
        <w:t>NA: Not assessed</w:t>
      </w:r>
    </w:p>
    <w:p w14:paraId="359CC0DC" w14:textId="77777777" w:rsidR="00FA20F9" w:rsidRDefault="00FA20F9" w:rsidP="00B87499">
      <w:pPr>
        <w:pStyle w:val="MDPI31text"/>
        <w:ind w:left="0" w:firstLine="0"/>
        <w:rPr>
          <w:rFonts w:ascii="Times New Roman" w:hAnsi="Times New Roman"/>
          <w:sz w:val="22"/>
          <w:szCs w:val="24"/>
        </w:rPr>
      </w:pPr>
    </w:p>
    <w:p w14:paraId="4E19B7F0" w14:textId="580A4709" w:rsidR="0007489C" w:rsidRPr="0007489C" w:rsidRDefault="0007489C" w:rsidP="0007489C">
      <w:pPr>
        <w:tabs>
          <w:tab w:val="center" w:pos="8108"/>
        </w:tabs>
        <w:rPr>
          <w:lang w:eastAsia="de-DE" w:bidi="en-US"/>
        </w:rPr>
        <w:sectPr w:rsidR="0007489C" w:rsidRPr="0007489C" w:rsidSect="00E43D79">
          <w:pgSz w:w="19618" w:h="11907" w:orient="landscape" w:code="9"/>
          <w:pgMar w:top="720" w:right="1701" w:bottom="1418" w:left="1701" w:header="1021" w:footer="340" w:gutter="0"/>
          <w:pgNumType w:start="1"/>
          <w:cols w:space="425"/>
          <w:titlePg/>
          <w:bidi/>
          <w:docGrid w:linePitch="326"/>
        </w:sectPr>
      </w:pPr>
    </w:p>
    <w:p w14:paraId="2B947248" w14:textId="77777777" w:rsidR="00042AD5" w:rsidRDefault="00042AD5" w:rsidP="00042AD5">
      <w:pPr>
        <w:tabs>
          <w:tab w:val="left" w:pos="1898"/>
        </w:tabs>
        <w:rPr>
          <w:rFonts w:ascii="Times New Roman" w:eastAsia="Times New Roman" w:hAnsi="Times New Roman"/>
          <w:b/>
          <w:bCs/>
          <w:noProof w:val="0"/>
          <w:snapToGrid w:val="0"/>
          <w:sz w:val="24"/>
          <w:szCs w:val="24"/>
          <w:lang w:eastAsia="de-DE" w:bidi="en-US"/>
        </w:rPr>
      </w:pPr>
      <w:r>
        <w:rPr>
          <w:rFonts w:ascii="Times New Roman" w:eastAsia="Times New Roman" w:hAnsi="Times New Roman"/>
          <w:b/>
          <w:bCs/>
          <w:sz w:val="24"/>
          <w:szCs w:val="24"/>
          <w:lang w:eastAsia="de-DE" w:bidi="en-US"/>
        </w:rPr>
        <w:lastRenderedPageBreak/>
        <w:drawing>
          <wp:inline distT="0" distB="0" distL="0" distR="0" wp14:anchorId="29580671" wp14:editId="30FBD6D2">
            <wp:extent cx="6024173" cy="4756150"/>
            <wp:effectExtent l="0" t="0" r="0" b="6350"/>
            <wp:docPr id="2098227083" name="Imagen 3"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227083" name="Imagen 3" descr="Imagen que contiene Diagrama&#10;&#10;Descripción generada automáticamente"/>
                    <pic:cNvPicPr/>
                  </pic:nvPicPr>
                  <pic:blipFill>
                    <a:blip r:embed="rId19"/>
                    <a:stretch>
                      <a:fillRect/>
                    </a:stretch>
                  </pic:blipFill>
                  <pic:spPr>
                    <a:xfrm>
                      <a:off x="0" y="0"/>
                      <a:ext cx="6036306" cy="4765729"/>
                    </a:xfrm>
                    <a:prstGeom prst="rect">
                      <a:avLst/>
                    </a:prstGeom>
                  </pic:spPr>
                </pic:pic>
              </a:graphicData>
            </a:graphic>
          </wp:inline>
        </w:drawing>
      </w:r>
    </w:p>
    <w:p w14:paraId="78F0EF46" w14:textId="15C7A8AC" w:rsidR="00042AD5" w:rsidRPr="00A36690" w:rsidRDefault="00042AD5" w:rsidP="00042AD5">
      <w:pPr>
        <w:pStyle w:val="MDPI31text"/>
        <w:ind w:left="0" w:firstLine="0"/>
        <w:jc w:val="center"/>
        <w:rPr>
          <w:rFonts w:ascii="Times New Roman" w:hAnsi="Times New Roman"/>
          <w:sz w:val="24"/>
          <w:szCs w:val="24"/>
        </w:rPr>
      </w:pPr>
      <w:r w:rsidRPr="00A36690">
        <w:rPr>
          <w:rFonts w:ascii="Times New Roman" w:hAnsi="Times New Roman"/>
          <w:b/>
          <w:bCs/>
          <w:sz w:val="24"/>
          <w:szCs w:val="24"/>
        </w:rPr>
        <w:t xml:space="preserve">Figure </w:t>
      </w:r>
      <w:r w:rsidR="00CB0920">
        <w:rPr>
          <w:rFonts w:ascii="Times New Roman" w:hAnsi="Times New Roman"/>
          <w:b/>
          <w:bCs/>
          <w:sz w:val="24"/>
          <w:szCs w:val="24"/>
        </w:rPr>
        <w:t>S1</w:t>
      </w:r>
      <w:r w:rsidRPr="00A36690">
        <w:rPr>
          <w:rFonts w:ascii="Times New Roman" w:hAnsi="Times New Roman"/>
          <w:sz w:val="24"/>
          <w:szCs w:val="24"/>
        </w:rPr>
        <w:t>:</w:t>
      </w:r>
      <w:r w:rsidRPr="000930DF">
        <w:t xml:space="preserve"> </w:t>
      </w:r>
      <w:r w:rsidRPr="00261DA6">
        <w:rPr>
          <w:rFonts w:ascii="Times New Roman" w:hAnsi="Times New Roman"/>
          <w:sz w:val="24"/>
          <w:szCs w:val="24"/>
        </w:rPr>
        <w:t>Forest plot illustrating the combined prevalence of vaccine refusal against monkeypox.</w:t>
      </w:r>
    </w:p>
    <w:p w14:paraId="4E183655" w14:textId="77777777" w:rsidR="00042AD5" w:rsidRDefault="00042AD5" w:rsidP="00042AD5">
      <w:pPr>
        <w:tabs>
          <w:tab w:val="left" w:pos="1898"/>
        </w:tabs>
        <w:rPr>
          <w:rFonts w:ascii="Times New Roman" w:eastAsia="Times New Roman" w:hAnsi="Times New Roman"/>
          <w:b/>
          <w:bCs/>
          <w:noProof w:val="0"/>
          <w:snapToGrid w:val="0"/>
          <w:sz w:val="24"/>
          <w:szCs w:val="24"/>
          <w:lang w:eastAsia="de-DE" w:bidi="en-US"/>
        </w:rPr>
      </w:pPr>
    </w:p>
    <w:p w14:paraId="11E935EB" w14:textId="77777777" w:rsidR="00042AD5" w:rsidRDefault="00042AD5" w:rsidP="00042AD5">
      <w:pPr>
        <w:tabs>
          <w:tab w:val="left" w:pos="1898"/>
        </w:tabs>
        <w:rPr>
          <w:rFonts w:ascii="Times New Roman" w:eastAsia="Times New Roman" w:hAnsi="Times New Roman"/>
          <w:b/>
          <w:bCs/>
          <w:noProof w:val="0"/>
          <w:snapToGrid w:val="0"/>
          <w:sz w:val="24"/>
          <w:szCs w:val="24"/>
          <w:lang w:eastAsia="de-DE" w:bidi="en-US"/>
        </w:rPr>
      </w:pPr>
    </w:p>
    <w:p w14:paraId="3AC64672" w14:textId="77777777" w:rsidR="00042AD5" w:rsidRDefault="00042AD5" w:rsidP="00042AD5">
      <w:pPr>
        <w:tabs>
          <w:tab w:val="left" w:pos="1898"/>
        </w:tabs>
        <w:rPr>
          <w:rFonts w:ascii="Times New Roman" w:eastAsia="Times New Roman" w:hAnsi="Times New Roman"/>
          <w:b/>
          <w:bCs/>
          <w:noProof w:val="0"/>
          <w:snapToGrid w:val="0"/>
          <w:sz w:val="24"/>
          <w:szCs w:val="24"/>
          <w:lang w:eastAsia="de-DE" w:bidi="en-US"/>
        </w:rPr>
      </w:pPr>
    </w:p>
    <w:p w14:paraId="63896797" w14:textId="77777777" w:rsidR="00042AD5" w:rsidRDefault="00042AD5" w:rsidP="00042AD5">
      <w:pPr>
        <w:tabs>
          <w:tab w:val="left" w:pos="1898"/>
        </w:tabs>
        <w:rPr>
          <w:rFonts w:ascii="Times New Roman" w:eastAsia="Times New Roman" w:hAnsi="Times New Roman"/>
          <w:b/>
          <w:bCs/>
          <w:noProof w:val="0"/>
          <w:snapToGrid w:val="0"/>
          <w:sz w:val="24"/>
          <w:szCs w:val="24"/>
          <w:lang w:eastAsia="de-DE" w:bidi="en-US"/>
        </w:rPr>
      </w:pPr>
    </w:p>
    <w:p w14:paraId="67E3AD1A" w14:textId="77777777" w:rsidR="00042AD5" w:rsidRDefault="00042AD5" w:rsidP="0038322E">
      <w:pPr>
        <w:pStyle w:val="MDPI31text"/>
        <w:ind w:left="0" w:firstLine="0"/>
        <w:rPr>
          <w:rFonts w:ascii="Times New Roman" w:hAnsi="Times New Roman"/>
          <w:noProof/>
          <w:snapToGrid/>
        </w:rPr>
      </w:pPr>
    </w:p>
    <w:p w14:paraId="29D7851D" w14:textId="77777777" w:rsidR="00042AD5" w:rsidRDefault="00042AD5" w:rsidP="0038322E">
      <w:pPr>
        <w:pStyle w:val="MDPI31text"/>
        <w:ind w:left="0" w:firstLine="0"/>
        <w:rPr>
          <w:rFonts w:ascii="Times New Roman" w:hAnsi="Times New Roman"/>
          <w:noProof/>
          <w:snapToGrid/>
        </w:rPr>
      </w:pPr>
    </w:p>
    <w:p w14:paraId="2D2F4E14" w14:textId="77777777" w:rsidR="00042AD5" w:rsidRDefault="00042AD5" w:rsidP="0038322E">
      <w:pPr>
        <w:pStyle w:val="MDPI31text"/>
        <w:ind w:left="0" w:firstLine="0"/>
        <w:rPr>
          <w:rFonts w:ascii="Times New Roman" w:hAnsi="Times New Roman"/>
          <w:noProof/>
          <w:snapToGrid/>
        </w:rPr>
      </w:pPr>
    </w:p>
    <w:p w14:paraId="60DD2656" w14:textId="77777777" w:rsidR="00042AD5" w:rsidRDefault="00042AD5" w:rsidP="0038322E">
      <w:pPr>
        <w:pStyle w:val="MDPI31text"/>
        <w:ind w:left="0" w:firstLine="0"/>
        <w:rPr>
          <w:rFonts w:ascii="Times New Roman" w:hAnsi="Times New Roman"/>
          <w:noProof/>
          <w:snapToGrid/>
        </w:rPr>
      </w:pPr>
    </w:p>
    <w:p w14:paraId="72FA4CDB" w14:textId="77777777" w:rsidR="00042AD5" w:rsidRDefault="00042AD5" w:rsidP="0038322E">
      <w:pPr>
        <w:pStyle w:val="MDPI31text"/>
        <w:ind w:left="0" w:firstLine="0"/>
        <w:rPr>
          <w:rFonts w:ascii="Times New Roman" w:hAnsi="Times New Roman"/>
          <w:noProof/>
          <w:snapToGrid/>
        </w:rPr>
      </w:pPr>
    </w:p>
    <w:p w14:paraId="0D4E39F7" w14:textId="77777777" w:rsidR="00042AD5" w:rsidRDefault="00042AD5" w:rsidP="0038322E">
      <w:pPr>
        <w:pStyle w:val="MDPI31text"/>
        <w:ind w:left="0" w:firstLine="0"/>
        <w:rPr>
          <w:rFonts w:ascii="Times New Roman" w:hAnsi="Times New Roman"/>
          <w:noProof/>
          <w:snapToGrid/>
        </w:rPr>
      </w:pPr>
    </w:p>
    <w:p w14:paraId="18800B66" w14:textId="77777777" w:rsidR="00042AD5" w:rsidRDefault="00042AD5" w:rsidP="0038322E">
      <w:pPr>
        <w:pStyle w:val="MDPI31text"/>
        <w:ind w:left="0" w:firstLine="0"/>
        <w:rPr>
          <w:rFonts w:ascii="Times New Roman" w:hAnsi="Times New Roman"/>
          <w:noProof/>
          <w:snapToGrid/>
        </w:rPr>
      </w:pPr>
    </w:p>
    <w:p w14:paraId="19C50F41" w14:textId="77777777" w:rsidR="00042AD5" w:rsidRDefault="00042AD5" w:rsidP="0038322E">
      <w:pPr>
        <w:pStyle w:val="MDPI31text"/>
        <w:ind w:left="0" w:firstLine="0"/>
        <w:rPr>
          <w:rFonts w:ascii="Times New Roman" w:hAnsi="Times New Roman"/>
          <w:noProof/>
          <w:snapToGrid/>
        </w:rPr>
      </w:pPr>
    </w:p>
    <w:p w14:paraId="34389BF3" w14:textId="77777777" w:rsidR="00042AD5" w:rsidRDefault="00042AD5" w:rsidP="0038322E">
      <w:pPr>
        <w:pStyle w:val="MDPI31text"/>
        <w:ind w:left="0" w:firstLine="0"/>
        <w:rPr>
          <w:rFonts w:ascii="Times New Roman" w:hAnsi="Times New Roman"/>
          <w:noProof/>
          <w:snapToGrid/>
        </w:rPr>
      </w:pPr>
    </w:p>
    <w:p w14:paraId="38076494" w14:textId="77777777" w:rsidR="00042AD5" w:rsidRDefault="00042AD5" w:rsidP="0038322E">
      <w:pPr>
        <w:pStyle w:val="MDPI31text"/>
        <w:ind w:left="0" w:firstLine="0"/>
        <w:rPr>
          <w:rFonts w:ascii="Times New Roman" w:hAnsi="Times New Roman"/>
          <w:noProof/>
          <w:snapToGrid/>
        </w:rPr>
      </w:pPr>
    </w:p>
    <w:p w14:paraId="34F1445E" w14:textId="77777777" w:rsidR="00042AD5" w:rsidRDefault="00042AD5" w:rsidP="0038322E">
      <w:pPr>
        <w:pStyle w:val="MDPI31text"/>
        <w:ind w:left="0" w:firstLine="0"/>
        <w:rPr>
          <w:rFonts w:ascii="Times New Roman" w:hAnsi="Times New Roman"/>
          <w:noProof/>
          <w:snapToGrid/>
        </w:rPr>
      </w:pPr>
    </w:p>
    <w:p w14:paraId="5C6EDCBE" w14:textId="77777777" w:rsidR="00042AD5" w:rsidRDefault="00042AD5" w:rsidP="0038322E">
      <w:pPr>
        <w:pStyle w:val="MDPI31text"/>
        <w:ind w:left="0" w:firstLine="0"/>
        <w:rPr>
          <w:rFonts w:ascii="Times New Roman" w:hAnsi="Times New Roman"/>
          <w:noProof/>
          <w:snapToGrid/>
        </w:rPr>
      </w:pPr>
    </w:p>
    <w:p w14:paraId="2ADEF571" w14:textId="77777777" w:rsidR="00042AD5" w:rsidRDefault="00042AD5" w:rsidP="0038322E">
      <w:pPr>
        <w:pStyle w:val="MDPI31text"/>
        <w:ind w:left="0" w:firstLine="0"/>
        <w:rPr>
          <w:rFonts w:ascii="Times New Roman" w:hAnsi="Times New Roman"/>
          <w:noProof/>
          <w:snapToGrid/>
        </w:rPr>
      </w:pPr>
    </w:p>
    <w:p w14:paraId="6D165EBA" w14:textId="77777777" w:rsidR="00042AD5" w:rsidRDefault="00042AD5" w:rsidP="0038322E">
      <w:pPr>
        <w:pStyle w:val="MDPI31text"/>
        <w:ind w:left="0" w:firstLine="0"/>
        <w:rPr>
          <w:rFonts w:ascii="Times New Roman" w:hAnsi="Times New Roman"/>
          <w:noProof/>
          <w:snapToGrid/>
        </w:rPr>
      </w:pPr>
    </w:p>
    <w:p w14:paraId="51DA7F4D" w14:textId="77777777" w:rsidR="00042AD5" w:rsidRDefault="00042AD5" w:rsidP="0038322E">
      <w:pPr>
        <w:pStyle w:val="MDPI31text"/>
        <w:ind w:left="0" w:firstLine="0"/>
        <w:rPr>
          <w:rFonts w:ascii="Times New Roman" w:hAnsi="Times New Roman"/>
          <w:noProof/>
          <w:snapToGrid/>
        </w:rPr>
      </w:pPr>
    </w:p>
    <w:p w14:paraId="6A43A61E" w14:textId="77777777" w:rsidR="00042AD5" w:rsidRDefault="00042AD5" w:rsidP="0038322E">
      <w:pPr>
        <w:pStyle w:val="MDPI31text"/>
        <w:ind w:left="0" w:firstLine="0"/>
        <w:rPr>
          <w:rFonts w:ascii="Times New Roman" w:hAnsi="Times New Roman"/>
          <w:noProof/>
          <w:snapToGrid/>
        </w:rPr>
      </w:pPr>
    </w:p>
    <w:p w14:paraId="3F1A47DB" w14:textId="77777777" w:rsidR="00042AD5" w:rsidRDefault="00042AD5" w:rsidP="0038322E">
      <w:pPr>
        <w:pStyle w:val="MDPI31text"/>
        <w:ind w:left="0" w:firstLine="0"/>
        <w:rPr>
          <w:rFonts w:ascii="Times New Roman" w:hAnsi="Times New Roman"/>
          <w:noProof/>
          <w:snapToGrid/>
        </w:rPr>
      </w:pPr>
    </w:p>
    <w:p w14:paraId="2EC885B8" w14:textId="77777777" w:rsidR="00042AD5" w:rsidRDefault="00042AD5" w:rsidP="0038322E">
      <w:pPr>
        <w:pStyle w:val="MDPI31text"/>
        <w:ind w:left="0" w:firstLine="0"/>
        <w:rPr>
          <w:rFonts w:ascii="Times New Roman" w:hAnsi="Times New Roman"/>
          <w:noProof/>
          <w:snapToGrid/>
        </w:rPr>
      </w:pPr>
    </w:p>
    <w:p w14:paraId="74E52944" w14:textId="77777777" w:rsidR="00042AD5" w:rsidRDefault="00042AD5" w:rsidP="0038322E">
      <w:pPr>
        <w:pStyle w:val="MDPI31text"/>
        <w:ind w:left="0" w:firstLine="0"/>
        <w:rPr>
          <w:rFonts w:ascii="Times New Roman" w:hAnsi="Times New Roman"/>
          <w:noProof/>
          <w:snapToGrid/>
        </w:rPr>
      </w:pPr>
    </w:p>
    <w:p w14:paraId="721C34F5" w14:textId="77777777" w:rsidR="00042AD5" w:rsidRDefault="00042AD5" w:rsidP="0038322E">
      <w:pPr>
        <w:pStyle w:val="MDPI31text"/>
        <w:ind w:left="0" w:firstLine="0"/>
        <w:rPr>
          <w:rFonts w:ascii="Times New Roman" w:hAnsi="Times New Roman"/>
          <w:noProof/>
          <w:snapToGrid/>
        </w:rPr>
      </w:pPr>
    </w:p>
    <w:p w14:paraId="10AF566B" w14:textId="77777777" w:rsidR="00042AD5" w:rsidRDefault="00042AD5" w:rsidP="0038322E">
      <w:pPr>
        <w:pStyle w:val="MDPI31text"/>
        <w:ind w:left="0" w:firstLine="0"/>
        <w:rPr>
          <w:rFonts w:ascii="Times New Roman" w:hAnsi="Times New Roman"/>
          <w:noProof/>
          <w:snapToGrid/>
        </w:rPr>
      </w:pPr>
    </w:p>
    <w:p w14:paraId="71B17670" w14:textId="77777777" w:rsidR="00042AD5" w:rsidRDefault="00042AD5" w:rsidP="0038322E">
      <w:pPr>
        <w:pStyle w:val="MDPI31text"/>
        <w:ind w:left="0" w:firstLine="0"/>
        <w:rPr>
          <w:rFonts w:ascii="Times New Roman" w:hAnsi="Times New Roman"/>
          <w:noProof/>
          <w:snapToGrid/>
        </w:rPr>
      </w:pPr>
    </w:p>
    <w:p w14:paraId="2FF6CF1A" w14:textId="77777777" w:rsidR="00042AD5" w:rsidRDefault="00042AD5" w:rsidP="0038322E">
      <w:pPr>
        <w:pStyle w:val="MDPI31text"/>
        <w:ind w:left="0" w:firstLine="0"/>
        <w:rPr>
          <w:rFonts w:ascii="Times New Roman" w:hAnsi="Times New Roman"/>
          <w:noProof/>
          <w:snapToGrid/>
        </w:rPr>
      </w:pPr>
    </w:p>
    <w:p w14:paraId="399EF4AC" w14:textId="77777777" w:rsidR="00042AD5" w:rsidRDefault="00042AD5" w:rsidP="0038322E">
      <w:pPr>
        <w:pStyle w:val="MDPI31text"/>
        <w:ind w:left="0" w:firstLine="0"/>
        <w:rPr>
          <w:rFonts w:ascii="Times New Roman" w:hAnsi="Times New Roman"/>
          <w:noProof/>
          <w:snapToGrid/>
        </w:rPr>
      </w:pPr>
    </w:p>
    <w:p w14:paraId="265F2829" w14:textId="77777777" w:rsidR="00042AD5" w:rsidRDefault="00042AD5" w:rsidP="0038322E">
      <w:pPr>
        <w:pStyle w:val="MDPI31text"/>
        <w:ind w:left="0" w:firstLine="0"/>
        <w:rPr>
          <w:rFonts w:ascii="Times New Roman" w:hAnsi="Times New Roman"/>
          <w:noProof/>
          <w:snapToGrid/>
        </w:rPr>
      </w:pPr>
    </w:p>
    <w:p w14:paraId="0D6AE438" w14:textId="0B3C1EFA" w:rsidR="001031FF" w:rsidRPr="00737963" w:rsidRDefault="001031FF" w:rsidP="0038322E">
      <w:pPr>
        <w:pStyle w:val="MDPI31text"/>
        <w:ind w:left="0" w:firstLine="0"/>
        <w:rPr>
          <w:rFonts w:ascii="Times New Roman" w:hAnsi="Times New Roman"/>
        </w:rPr>
      </w:pPr>
    </w:p>
    <w:p w14:paraId="7E51CF7B" w14:textId="77777777" w:rsidR="00B87499" w:rsidRDefault="00B87499" w:rsidP="00B87499">
      <w:pPr>
        <w:pStyle w:val="MDPI31text"/>
        <w:ind w:left="0" w:firstLine="0"/>
        <w:jc w:val="center"/>
        <w:rPr>
          <w:noProof/>
          <w:snapToGrid/>
        </w:rPr>
      </w:pPr>
      <w:r>
        <w:rPr>
          <w:noProof/>
          <w:snapToGrid/>
        </w:rPr>
        <w:drawing>
          <wp:inline distT="0" distB="0" distL="0" distR="0" wp14:anchorId="77DD91D5" wp14:editId="0A309FDA">
            <wp:extent cx="6008981" cy="6642100"/>
            <wp:effectExtent l="0" t="0" r="0" b="6350"/>
            <wp:docPr id="33952796" name="Imagen 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52796" name="Imagen 6" descr="Diagrama&#10;&#10;Descripción generada automáticamente"/>
                    <pic:cNvPicPr/>
                  </pic:nvPicPr>
                  <pic:blipFill>
                    <a:blip r:embed="rId20"/>
                    <a:stretch>
                      <a:fillRect/>
                    </a:stretch>
                  </pic:blipFill>
                  <pic:spPr>
                    <a:xfrm>
                      <a:off x="0" y="0"/>
                      <a:ext cx="6013285" cy="6646858"/>
                    </a:xfrm>
                    <a:prstGeom prst="rect">
                      <a:avLst/>
                    </a:prstGeom>
                  </pic:spPr>
                </pic:pic>
              </a:graphicData>
            </a:graphic>
          </wp:inline>
        </w:drawing>
      </w:r>
    </w:p>
    <w:p w14:paraId="23919A18" w14:textId="77777777" w:rsidR="00B87499" w:rsidRDefault="00B87499" w:rsidP="00B87499">
      <w:pPr>
        <w:pStyle w:val="MDPI31text"/>
        <w:ind w:left="0" w:firstLine="0"/>
        <w:rPr>
          <w:noProof/>
          <w:snapToGrid/>
        </w:rPr>
      </w:pPr>
    </w:p>
    <w:p w14:paraId="23D160AA" w14:textId="76E577B0" w:rsidR="00B87499" w:rsidRPr="00D712EC" w:rsidRDefault="00B87499" w:rsidP="00B87499">
      <w:pPr>
        <w:pStyle w:val="MDPI31text"/>
        <w:ind w:left="0"/>
        <w:jc w:val="center"/>
        <w:rPr>
          <w:rFonts w:ascii="Times New Roman" w:hAnsi="Times New Roman"/>
          <w:sz w:val="24"/>
          <w:szCs w:val="28"/>
        </w:rPr>
      </w:pPr>
      <w:r w:rsidRPr="00D712EC">
        <w:rPr>
          <w:rFonts w:ascii="Times New Roman" w:hAnsi="Times New Roman"/>
          <w:b/>
          <w:bCs/>
          <w:sz w:val="24"/>
          <w:szCs w:val="28"/>
        </w:rPr>
        <w:t xml:space="preserve">Figure </w:t>
      </w:r>
      <w:r w:rsidR="00285438">
        <w:rPr>
          <w:rFonts w:ascii="Times New Roman" w:hAnsi="Times New Roman"/>
          <w:b/>
          <w:bCs/>
          <w:sz w:val="24"/>
          <w:szCs w:val="28"/>
        </w:rPr>
        <w:t>S2</w:t>
      </w:r>
      <w:r w:rsidRPr="00D712EC">
        <w:rPr>
          <w:rFonts w:ascii="Times New Roman" w:hAnsi="Times New Roman"/>
          <w:b/>
          <w:bCs/>
          <w:sz w:val="24"/>
          <w:szCs w:val="28"/>
        </w:rPr>
        <w:t>.</w:t>
      </w:r>
      <w:r w:rsidRPr="00D712EC">
        <w:rPr>
          <w:rFonts w:ascii="Times New Roman" w:hAnsi="Times New Roman"/>
          <w:sz w:val="24"/>
          <w:szCs w:val="28"/>
        </w:rPr>
        <w:t xml:space="preserve"> </w:t>
      </w:r>
      <w:r w:rsidRPr="001B5113">
        <w:rPr>
          <w:rFonts w:ascii="Times New Roman" w:hAnsi="Times New Roman"/>
          <w:sz w:val="24"/>
          <w:szCs w:val="28"/>
        </w:rPr>
        <w:t xml:space="preserve">Forest plot illustrating the prevalence of monkeypox vaccination intention among </w:t>
      </w:r>
      <w:r w:rsidRPr="0015128B">
        <w:rPr>
          <w:rFonts w:ascii="Times New Roman" w:hAnsi="Times New Roman"/>
          <w:sz w:val="24"/>
          <w:szCs w:val="28"/>
        </w:rPr>
        <w:t>according to continents.</w:t>
      </w:r>
    </w:p>
    <w:p w14:paraId="32761A59" w14:textId="77777777" w:rsidR="00B87499" w:rsidRDefault="00B87499" w:rsidP="00B87499">
      <w:pPr>
        <w:pStyle w:val="MDPI31text"/>
      </w:pPr>
    </w:p>
    <w:p w14:paraId="363F246B" w14:textId="77777777" w:rsidR="00737963" w:rsidRDefault="00737963" w:rsidP="00B87499">
      <w:pPr>
        <w:pStyle w:val="MDPI31text"/>
        <w:ind w:left="0" w:firstLine="0"/>
        <w:rPr>
          <w:rFonts w:ascii="Times New Roman" w:hAnsi="Times New Roman"/>
          <w:sz w:val="24"/>
          <w:szCs w:val="28"/>
        </w:rPr>
      </w:pPr>
    </w:p>
    <w:p w14:paraId="75D64DED" w14:textId="77777777" w:rsidR="00B87499" w:rsidRDefault="00B87499" w:rsidP="00B87499">
      <w:pPr>
        <w:pStyle w:val="MDPI31text"/>
        <w:ind w:left="0" w:firstLine="0"/>
        <w:rPr>
          <w:rFonts w:ascii="Times New Roman" w:hAnsi="Times New Roman"/>
          <w:sz w:val="24"/>
          <w:szCs w:val="28"/>
        </w:rPr>
      </w:pPr>
    </w:p>
    <w:p w14:paraId="5FB935B7" w14:textId="77777777" w:rsidR="00B87499" w:rsidRDefault="00B87499" w:rsidP="00B87499">
      <w:pPr>
        <w:pStyle w:val="MDPI31text"/>
        <w:ind w:left="0" w:firstLine="0"/>
        <w:rPr>
          <w:rFonts w:ascii="Times New Roman" w:hAnsi="Times New Roman"/>
          <w:sz w:val="24"/>
          <w:szCs w:val="28"/>
        </w:rPr>
      </w:pPr>
    </w:p>
    <w:p w14:paraId="66BD9783" w14:textId="77777777" w:rsidR="00B87499" w:rsidRDefault="00B87499" w:rsidP="00B87499">
      <w:pPr>
        <w:pStyle w:val="MDPI31text"/>
        <w:ind w:left="0" w:firstLine="0"/>
        <w:rPr>
          <w:rFonts w:ascii="Times New Roman" w:hAnsi="Times New Roman"/>
          <w:sz w:val="24"/>
          <w:szCs w:val="28"/>
        </w:rPr>
      </w:pPr>
    </w:p>
    <w:p w14:paraId="1A39A9CF" w14:textId="77777777" w:rsidR="00B87499" w:rsidRDefault="00B87499" w:rsidP="00B87499">
      <w:pPr>
        <w:pStyle w:val="MDPI31text"/>
        <w:ind w:left="0" w:firstLine="0"/>
        <w:rPr>
          <w:rFonts w:ascii="Times New Roman" w:hAnsi="Times New Roman"/>
          <w:sz w:val="24"/>
          <w:szCs w:val="28"/>
        </w:rPr>
      </w:pPr>
    </w:p>
    <w:p w14:paraId="392C52F5" w14:textId="77777777" w:rsidR="00B87499" w:rsidRDefault="00B87499" w:rsidP="00B87499">
      <w:pPr>
        <w:pStyle w:val="MDPI31text"/>
        <w:ind w:left="0" w:firstLine="0"/>
        <w:rPr>
          <w:rFonts w:ascii="Times New Roman" w:hAnsi="Times New Roman"/>
          <w:sz w:val="24"/>
          <w:szCs w:val="28"/>
        </w:rPr>
      </w:pPr>
    </w:p>
    <w:p w14:paraId="215DC839" w14:textId="77777777" w:rsidR="00B87499" w:rsidRDefault="00B87499" w:rsidP="00B87499">
      <w:pPr>
        <w:pStyle w:val="MDPI31text"/>
        <w:ind w:left="0" w:firstLine="0"/>
        <w:rPr>
          <w:rFonts w:ascii="Times New Roman" w:hAnsi="Times New Roman"/>
          <w:sz w:val="24"/>
          <w:szCs w:val="28"/>
        </w:rPr>
      </w:pPr>
    </w:p>
    <w:p w14:paraId="154C070C" w14:textId="77777777" w:rsidR="00B87499" w:rsidRDefault="00B87499" w:rsidP="00B87499">
      <w:pPr>
        <w:pStyle w:val="MDPI31text"/>
        <w:ind w:left="0" w:firstLine="0"/>
        <w:rPr>
          <w:noProof/>
          <w:snapToGrid/>
        </w:rPr>
      </w:pPr>
    </w:p>
    <w:p w14:paraId="20B726C9" w14:textId="77777777" w:rsidR="00B87499" w:rsidRDefault="00B87499" w:rsidP="00B87499">
      <w:pPr>
        <w:pStyle w:val="MDPI31text"/>
        <w:ind w:left="0" w:firstLine="0"/>
        <w:rPr>
          <w:noProof/>
          <w:snapToGrid/>
        </w:rPr>
      </w:pPr>
    </w:p>
    <w:p w14:paraId="2D57B52D" w14:textId="77777777" w:rsidR="00B87499" w:rsidRDefault="00B87499" w:rsidP="00B87499">
      <w:pPr>
        <w:pStyle w:val="MDPI31text"/>
        <w:ind w:left="0" w:firstLine="0"/>
        <w:rPr>
          <w:noProof/>
          <w:snapToGrid/>
        </w:rPr>
      </w:pPr>
      <w:r>
        <w:rPr>
          <w:noProof/>
          <w:snapToGrid/>
        </w:rPr>
        <w:drawing>
          <wp:inline distT="0" distB="0" distL="0" distR="0" wp14:anchorId="57832D18" wp14:editId="5E65E196">
            <wp:extent cx="6013450" cy="6013450"/>
            <wp:effectExtent l="0" t="0" r="6350" b="6350"/>
            <wp:docPr id="329227431" name="Imagen 7"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227431" name="Imagen 7" descr="Diagrama&#10;&#10;Descripción generada automáticamente"/>
                    <pic:cNvPicPr/>
                  </pic:nvPicPr>
                  <pic:blipFill>
                    <a:blip r:embed="rId21"/>
                    <a:stretch>
                      <a:fillRect/>
                    </a:stretch>
                  </pic:blipFill>
                  <pic:spPr>
                    <a:xfrm>
                      <a:off x="0" y="0"/>
                      <a:ext cx="6013450" cy="6013450"/>
                    </a:xfrm>
                    <a:prstGeom prst="rect">
                      <a:avLst/>
                    </a:prstGeom>
                  </pic:spPr>
                </pic:pic>
              </a:graphicData>
            </a:graphic>
          </wp:inline>
        </w:drawing>
      </w:r>
    </w:p>
    <w:p w14:paraId="18CE561E" w14:textId="77777777" w:rsidR="00B87499" w:rsidRDefault="00B87499" w:rsidP="00B87499">
      <w:pPr>
        <w:pStyle w:val="MDPI31text"/>
        <w:ind w:left="0" w:firstLine="0"/>
        <w:rPr>
          <w:noProof/>
          <w:snapToGrid/>
        </w:rPr>
      </w:pPr>
    </w:p>
    <w:p w14:paraId="3ECA7D69" w14:textId="31759CBC" w:rsidR="00B87499" w:rsidRPr="00D712EC" w:rsidRDefault="00B87499" w:rsidP="00B87499">
      <w:pPr>
        <w:pStyle w:val="MDPI31text"/>
        <w:ind w:left="0"/>
        <w:jc w:val="center"/>
        <w:rPr>
          <w:rFonts w:ascii="Times New Roman" w:hAnsi="Times New Roman"/>
          <w:sz w:val="24"/>
          <w:szCs w:val="28"/>
        </w:rPr>
      </w:pPr>
      <w:r w:rsidRPr="00D712EC">
        <w:rPr>
          <w:rFonts w:ascii="Times New Roman" w:hAnsi="Times New Roman"/>
          <w:b/>
          <w:bCs/>
          <w:sz w:val="24"/>
          <w:szCs w:val="28"/>
        </w:rPr>
        <w:t xml:space="preserve">Figure </w:t>
      </w:r>
      <w:r w:rsidR="00D56C99">
        <w:rPr>
          <w:rFonts w:ascii="Times New Roman" w:hAnsi="Times New Roman"/>
          <w:b/>
          <w:bCs/>
          <w:sz w:val="24"/>
          <w:szCs w:val="28"/>
        </w:rPr>
        <w:t>S3</w:t>
      </w:r>
      <w:r w:rsidRPr="00D712EC">
        <w:rPr>
          <w:rFonts w:ascii="Times New Roman" w:hAnsi="Times New Roman"/>
          <w:b/>
          <w:bCs/>
          <w:sz w:val="24"/>
          <w:szCs w:val="28"/>
        </w:rPr>
        <w:t>.</w:t>
      </w:r>
      <w:r w:rsidRPr="00D712EC">
        <w:rPr>
          <w:rFonts w:ascii="Times New Roman" w:hAnsi="Times New Roman"/>
          <w:sz w:val="24"/>
          <w:szCs w:val="28"/>
        </w:rPr>
        <w:t xml:space="preserve"> </w:t>
      </w:r>
      <w:r w:rsidRPr="00483902">
        <w:rPr>
          <w:rFonts w:ascii="Times New Roman" w:hAnsi="Times New Roman"/>
          <w:sz w:val="24"/>
          <w:szCs w:val="28"/>
        </w:rPr>
        <w:t xml:space="preserve">Forest plot illustrating the prevalence of monkeypox vaccination rejection among </w:t>
      </w:r>
      <w:r w:rsidRPr="0015128B">
        <w:rPr>
          <w:rFonts w:ascii="Times New Roman" w:hAnsi="Times New Roman"/>
          <w:sz w:val="24"/>
          <w:szCs w:val="28"/>
        </w:rPr>
        <w:t>according to continents.</w:t>
      </w:r>
    </w:p>
    <w:p w14:paraId="793A0E0A" w14:textId="77777777" w:rsidR="00B87499" w:rsidRDefault="00B87499" w:rsidP="00B87499">
      <w:pPr>
        <w:pStyle w:val="MDPI31text"/>
        <w:ind w:left="0" w:firstLine="0"/>
        <w:jc w:val="center"/>
        <w:rPr>
          <w:rFonts w:ascii="Times New Roman" w:hAnsi="Times New Roman"/>
          <w:sz w:val="24"/>
          <w:szCs w:val="28"/>
        </w:rPr>
      </w:pPr>
    </w:p>
    <w:p w14:paraId="4339A139" w14:textId="77777777" w:rsidR="00B87499" w:rsidRDefault="00B87499" w:rsidP="00B87499">
      <w:pPr>
        <w:pStyle w:val="MDPI31text"/>
        <w:ind w:left="0" w:firstLine="0"/>
        <w:jc w:val="center"/>
        <w:rPr>
          <w:rFonts w:ascii="Times New Roman" w:hAnsi="Times New Roman"/>
          <w:sz w:val="24"/>
          <w:szCs w:val="28"/>
        </w:rPr>
      </w:pPr>
    </w:p>
    <w:p w14:paraId="14EAF0D6" w14:textId="77777777" w:rsidR="00B87499" w:rsidRDefault="00B87499" w:rsidP="00B87499">
      <w:pPr>
        <w:pStyle w:val="MDPI31text"/>
        <w:ind w:left="0" w:firstLine="0"/>
        <w:jc w:val="center"/>
        <w:rPr>
          <w:rFonts w:ascii="Times New Roman" w:hAnsi="Times New Roman"/>
          <w:sz w:val="24"/>
          <w:szCs w:val="28"/>
        </w:rPr>
      </w:pPr>
    </w:p>
    <w:p w14:paraId="1425EF27" w14:textId="77777777" w:rsidR="00B87499" w:rsidRDefault="00B87499" w:rsidP="00B87499">
      <w:pPr>
        <w:pStyle w:val="MDPI31text"/>
        <w:ind w:left="0" w:firstLine="0"/>
        <w:jc w:val="center"/>
        <w:rPr>
          <w:rFonts w:ascii="Times New Roman" w:hAnsi="Times New Roman"/>
          <w:sz w:val="24"/>
          <w:szCs w:val="28"/>
        </w:rPr>
      </w:pPr>
    </w:p>
    <w:p w14:paraId="0E54617F" w14:textId="77777777" w:rsidR="00B87499" w:rsidRDefault="00B87499" w:rsidP="00B87499">
      <w:pPr>
        <w:pStyle w:val="MDPI31text"/>
        <w:ind w:left="0" w:firstLine="0"/>
        <w:jc w:val="center"/>
        <w:rPr>
          <w:rFonts w:ascii="Times New Roman" w:hAnsi="Times New Roman"/>
          <w:sz w:val="24"/>
          <w:szCs w:val="28"/>
        </w:rPr>
      </w:pPr>
      <w:r>
        <w:rPr>
          <w:noProof/>
          <w:snapToGrid/>
        </w:rPr>
        <w:lastRenderedPageBreak/>
        <w:drawing>
          <wp:inline distT="0" distB="0" distL="0" distR="0" wp14:anchorId="058C189A" wp14:editId="6A988F01">
            <wp:extent cx="5400040" cy="5684852"/>
            <wp:effectExtent l="0" t="0" r="0" b="0"/>
            <wp:docPr id="1652424634" name="Imagen 4"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424634" name="Imagen 4" descr="Diagrama&#10;&#10;Descripción generada automáticamente con confianza media"/>
                    <pic:cNvPicPr/>
                  </pic:nvPicPr>
                  <pic:blipFill>
                    <a:blip r:embed="rId22"/>
                    <a:stretch>
                      <a:fillRect/>
                    </a:stretch>
                  </pic:blipFill>
                  <pic:spPr>
                    <a:xfrm>
                      <a:off x="0" y="0"/>
                      <a:ext cx="5400040" cy="5684852"/>
                    </a:xfrm>
                    <a:prstGeom prst="rect">
                      <a:avLst/>
                    </a:prstGeom>
                  </pic:spPr>
                </pic:pic>
              </a:graphicData>
            </a:graphic>
          </wp:inline>
        </w:drawing>
      </w:r>
    </w:p>
    <w:p w14:paraId="562CECB3" w14:textId="77777777" w:rsidR="00B87499" w:rsidRDefault="00B87499" w:rsidP="00B87499">
      <w:pPr>
        <w:pStyle w:val="MDPI31text"/>
        <w:ind w:left="0" w:firstLine="0"/>
        <w:rPr>
          <w:rFonts w:ascii="Times New Roman" w:hAnsi="Times New Roman"/>
          <w:sz w:val="24"/>
          <w:szCs w:val="28"/>
        </w:rPr>
      </w:pPr>
    </w:p>
    <w:p w14:paraId="14816546" w14:textId="1CE23F0F" w:rsidR="00B87499" w:rsidRDefault="00B87499" w:rsidP="00B87499">
      <w:pPr>
        <w:pStyle w:val="MDPI31text"/>
        <w:ind w:left="0" w:firstLine="0"/>
        <w:jc w:val="center"/>
        <w:rPr>
          <w:rFonts w:ascii="Times New Roman" w:hAnsi="Times New Roman"/>
          <w:sz w:val="24"/>
          <w:szCs w:val="28"/>
        </w:rPr>
      </w:pPr>
      <w:r w:rsidRPr="000550A9">
        <w:rPr>
          <w:rFonts w:ascii="Times New Roman" w:hAnsi="Times New Roman"/>
          <w:b/>
          <w:bCs/>
          <w:sz w:val="24"/>
          <w:szCs w:val="28"/>
        </w:rPr>
        <w:t xml:space="preserve">Figure </w:t>
      </w:r>
      <w:r w:rsidR="00DF7BFB">
        <w:rPr>
          <w:rFonts w:ascii="Times New Roman" w:hAnsi="Times New Roman"/>
          <w:b/>
          <w:bCs/>
          <w:sz w:val="24"/>
          <w:szCs w:val="28"/>
        </w:rPr>
        <w:t>S4</w:t>
      </w:r>
      <w:r w:rsidRPr="000550A9">
        <w:rPr>
          <w:rFonts w:ascii="Times New Roman" w:hAnsi="Times New Roman"/>
          <w:sz w:val="24"/>
          <w:szCs w:val="28"/>
        </w:rPr>
        <w:t xml:space="preserve">. </w:t>
      </w:r>
      <w:r w:rsidRPr="00141221">
        <w:rPr>
          <w:rFonts w:ascii="Times New Roman" w:hAnsi="Times New Roman"/>
          <w:sz w:val="24"/>
          <w:szCs w:val="28"/>
        </w:rPr>
        <w:t>Forest plot illustrating the prevalence of monkeypox vaccination intention among study subjects</w:t>
      </w:r>
      <w:r w:rsidRPr="00E9368C">
        <w:rPr>
          <w:rFonts w:ascii="Times New Roman" w:hAnsi="Times New Roman"/>
          <w:sz w:val="24"/>
          <w:szCs w:val="28"/>
        </w:rPr>
        <w:t>.</w:t>
      </w:r>
    </w:p>
    <w:p w14:paraId="4316E487" w14:textId="77777777" w:rsidR="00B87499" w:rsidRDefault="00B87499" w:rsidP="00B87499">
      <w:pPr>
        <w:pStyle w:val="MDPI31text"/>
        <w:ind w:left="0" w:firstLine="0"/>
        <w:jc w:val="center"/>
        <w:rPr>
          <w:rFonts w:ascii="Times New Roman" w:hAnsi="Times New Roman"/>
          <w:sz w:val="24"/>
          <w:szCs w:val="28"/>
        </w:rPr>
      </w:pPr>
    </w:p>
    <w:p w14:paraId="6049EE6D" w14:textId="77777777" w:rsidR="00B87499" w:rsidRDefault="00B87499" w:rsidP="00B87499">
      <w:pPr>
        <w:pStyle w:val="MDPI31text"/>
        <w:ind w:left="0" w:firstLine="0"/>
        <w:rPr>
          <w:rFonts w:ascii="Times New Roman" w:hAnsi="Times New Roman"/>
          <w:b/>
          <w:bCs/>
          <w:sz w:val="24"/>
          <w:szCs w:val="28"/>
        </w:rPr>
      </w:pPr>
    </w:p>
    <w:p w14:paraId="0F4CAE35" w14:textId="77777777" w:rsidR="00B87499" w:rsidRDefault="00B87499" w:rsidP="00B87499">
      <w:pPr>
        <w:pStyle w:val="MDPI31text"/>
        <w:ind w:left="0" w:firstLine="0"/>
        <w:rPr>
          <w:rFonts w:ascii="Times New Roman" w:hAnsi="Times New Roman"/>
          <w:b/>
          <w:bCs/>
          <w:sz w:val="24"/>
          <w:szCs w:val="28"/>
        </w:rPr>
      </w:pPr>
    </w:p>
    <w:p w14:paraId="0BC3DC3B" w14:textId="77777777" w:rsidR="00B87499" w:rsidRDefault="00B87499" w:rsidP="00B87499">
      <w:pPr>
        <w:pStyle w:val="MDPI31text"/>
        <w:ind w:left="0" w:firstLine="0"/>
        <w:rPr>
          <w:rFonts w:ascii="Times New Roman" w:hAnsi="Times New Roman"/>
          <w:b/>
          <w:bCs/>
          <w:sz w:val="24"/>
          <w:szCs w:val="28"/>
        </w:rPr>
      </w:pPr>
    </w:p>
    <w:p w14:paraId="73E48704" w14:textId="77777777" w:rsidR="00B87499" w:rsidRDefault="00B87499" w:rsidP="00B87499">
      <w:pPr>
        <w:pStyle w:val="MDPI31text"/>
        <w:ind w:left="0" w:firstLine="0"/>
        <w:rPr>
          <w:rFonts w:ascii="Times New Roman" w:hAnsi="Times New Roman"/>
          <w:b/>
          <w:bCs/>
          <w:sz w:val="24"/>
          <w:szCs w:val="28"/>
        </w:rPr>
      </w:pPr>
    </w:p>
    <w:p w14:paraId="211C9E83" w14:textId="77777777" w:rsidR="00B87499" w:rsidRDefault="00B87499" w:rsidP="00B87499">
      <w:pPr>
        <w:pStyle w:val="MDPI31text"/>
        <w:ind w:left="0" w:firstLine="0"/>
        <w:rPr>
          <w:rFonts w:ascii="Times New Roman" w:hAnsi="Times New Roman"/>
          <w:b/>
          <w:bCs/>
          <w:sz w:val="24"/>
          <w:szCs w:val="28"/>
        </w:rPr>
      </w:pPr>
    </w:p>
    <w:p w14:paraId="61F9DD62" w14:textId="77777777" w:rsidR="00B87499" w:rsidRDefault="00B87499" w:rsidP="00B87499">
      <w:pPr>
        <w:pStyle w:val="MDPI31text"/>
        <w:ind w:left="0" w:firstLine="0"/>
        <w:rPr>
          <w:rFonts w:ascii="Times New Roman" w:hAnsi="Times New Roman"/>
          <w:b/>
          <w:bCs/>
          <w:sz w:val="24"/>
          <w:szCs w:val="28"/>
        </w:rPr>
      </w:pPr>
    </w:p>
    <w:p w14:paraId="49AED19E" w14:textId="77777777" w:rsidR="00B87499" w:rsidRDefault="00B87499" w:rsidP="00B87499">
      <w:pPr>
        <w:pStyle w:val="MDPI31text"/>
        <w:ind w:left="0" w:firstLine="0"/>
        <w:rPr>
          <w:rFonts w:ascii="Times New Roman" w:hAnsi="Times New Roman"/>
          <w:b/>
          <w:bCs/>
          <w:sz w:val="24"/>
          <w:szCs w:val="28"/>
        </w:rPr>
      </w:pPr>
    </w:p>
    <w:p w14:paraId="52AC6C25" w14:textId="77777777" w:rsidR="00B87499" w:rsidRDefault="00B87499" w:rsidP="00B87499">
      <w:pPr>
        <w:pStyle w:val="MDPI31text"/>
        <w:ind w:left="0" w:firstLine="0"/>
        <w:rPr>
          <w:rFonts w:ascii="Times New Roman" w:hAnsi="Times New Roman"/>
          <w:b/>
          <w:bCs/>
          <w:sz w:val="24"/>
          <w:szCs w:val="28"/>
        </w:rPr>
      </w:pPr>
    </w:p>
    <w:p w14:paraId="41F0358E" w14:textId="77777777" w:rsidR="00B87499" w:rsidRDefault="00B87499" w:rsidP="00B87499">
      <w:pPr>
        <w:pStyle w:val="MDPI31text"/>
        <w:ind w:left="0" w:firstLine="0"/>
        <w:rPr>
          <w:rFonts w:ascii="Times New Roman" w:hAnsi="Times New Roman"/>
          <w:b/>
          <w:bCs/>
          <w:sz w:val="24"/>
          <w:szCs w:val="28"/>
        </w:rPr>
      </w:pPr>
    </w:p>
    <w:p w14:paraId="2CF33A7D" w14:textId="77777777" w:rsidR="00B87499" w:rsidRDefault="00B87499" w:rsidP="00B87499">
      <w:pPr>
        <w:pStyle w:val="MDPI31text"/>
        <w:ind w:left="0" w:firstLine="0"/>
        <w:rPr>
          <w:rFonts w:ascii="Times New Roman" w:hAnsi="Times New Roman"/>
          <w:b/>
          <w:bCs/>
          <w:sz w:val="24"/>
          <w:szCs w:val="28"/>
        </w:rPr>
      </w:pPr>
    </w:p>
    <w:p w14:paraId="48193830" w14:textId="77777777" w:rsidR="00B87499" w:rsidRDefault="00B87499" w:rsidP="00B87499">
      <w:pPr>
        <w:pStyle w:val="MDPI31text"/>
        <w:ind w:left="0" w:firstLine="0"/>
        <w:rPr>
          <w:rFonts w:ascii="Times New Roman" w:hAnsi="Times New Roman"/>
          <w:b/>
          <w:bCs/>
          <w:sz w:val="24"/>
          <w:szCs w:val="28"/>
        </w:rPr>
      </w:pPr>
    </w:p>
    <w:p w14:paraId="3BBDA7CD" w14:textId="77777777" w:rsidR="00B87499" w:rsidRDefault="00B87499" w:rsidP="00B87499">
      <w:pPr>
        <w:pStyle w:val="MDPI31text"/>
        <w:ind w:left="0" w:firstLine="0"/>
        <w:rPr>
          <w:rFonts w:ascii="Times New Roman" w:hAnsi="Times New Roman"/>
          <w:b/>
          <w:bCs/>
          <w:sz w:val="24"/>
          <w:szCs w:val="28"/>
        </w:rPr>
      </w:pPr>
    </w:p>
    <w:p w14:paraId="75DB2D93" w14:textId="77777777" w:rsidR="00B87499" w:rsidRDefault="00B87499" w:rsidP="00B87499">
      <w:pPr>
        <w:pStyle w:val="MDPI31text"/>
        <w:ind w:left="0" w:firstLine="0"/>
        <w:jc w:val="center"/>
        <w:rPr>
          <w:rFonts w:ascii="Times New Roman" w:hAnsi="Times New Roman"/>
          <w:b/>
          <w:bCs/>
          <w:noProof/>
          <w:snapToGrid/>
          <w:sz w:val="24"/>
          <w:szCs w:val="28"/>
        </w:rPr>
      </w:pPr>
    </w:p>
    <w:p w14:paraId="747052E4" w14:textId="77777777" w:rsidR="00B87499" w:rsidRDefault="00B87499" w:rsidP="00B87499">
      <w:pPr>
        <w:pStyle w:val="MDPI31text"/>
        <w:ind w:left="0" w:firstLine="0"/>
        <w:jc w:val="center"/>
        <w:rPr>
          <w:rFonts w:ascii="Times New Roman" w:hAnsi="Times New Roman"/>
          <w:b/>
          <w:bCs/>
          <w:noProof/>
          <w:snapToGrid/>
          <w:sz w:val="24"/>
          <w:szCs w:val="28"/>
        </w:rPr>
      </w:pPr>
    </w:p>
    <w:p w14:paraId="1428E3A6" w14:textId="77777777" w:rsidR="00B87499" w:rsidRDefault="00B87499" w:rsidP="00B87499">
      <w:pPr>
        <w:pStyle w:val="MDPI31text"/>
        <w:ind w:left="0" w:firstLine="0"/>
        <w:jc w:val="center"/>
        <w:rPr>
          <w:rFonts w:ascii="Times New Roman" w:hAnsi="Times New Roman"/>
          <w:b/>
          <w:bCs/>
          <w:noProof/>
          <w:snapToGrid/>
          <w:sz w:val="24"/>
          <w:szCs w:val="28"/>
        </w:rPr>
      </w:pPr>
    </w:p>
    <w:p w14:paraId="7FB223A7" w14:textId="77777777" w:rsidR="00B87499" w:rsidRDefault="00B87499" w:rsidP="00B87499">
      <w:pPr>
        <w:pStyle w:val="MDPI31text"/>
        <w:ind w:left="0" w:firstLine="0"/>
        <w:jc w:val="center"/>
        <w:rPr>
          <w:rFonts w:ascii="Times New Roman" w:hAnsi="Times New Roman"/>
          <w:b/>
          <w:bCs/>
          <w:noProof/>
          <w:snapToGrid/>
          <w:sz w:val="24"/>
          <w:szCs w:val="28"/>
        </w:rPr>
      </w:pPr>
    </w:p>
    <w:p w14:paraId="700EC164" w14:textId="77777777" w:rsidR="00B87499" w:rsidRDefault="00B87499" w:rsidP="00B87499">
      <w:pPr>
        <w:pStyle w:val="MDPI31text"/>
        <w:ind w:left="0" w:firstLine="0"/>
        <w:jc w:val="center"/>
        <w:rPr>
          <w:rFonts w:ascii="Times New Roman" w:hAnsi="Times New Roman"/>
          <w:b/>
          <w:bCs/>
          <w:noProof/>
          <w:snapToGrid/>
          <w:sz w:val="24"/>
          <w:szCs w:val="28"/>
        </w:rPr>
      </w:pPr>
    </w:p>
    <w:p w14:paraId="011DFFC2" w14:textId="77777777" w:rsidR="00B87499" w:rsidRDefault="00B87499" w:rsidP="00B87499">
      <w:pPr>
        <w:pStyle w:val="MDPI31text"/>
        <w:ind w:left="0" w:firstLine="0"/>
        <w:jc w:val="center"/>
        <w:rPr>
          <w:rFonts w:ascii="Times New Roman" w:hAnsi="Times New Roman"/>
          <w:b/>
          <w:bCs/>
          <w:noProof/>
          <w:snapToGrid/>
          <w:sz w:val="24"/>
          <w:szCs w:val="28"/>
        </w:rPr>
      </w:pPr>
    </w:p>
    <w:p w14:paraId="76E974A3" w14:textId="77777777" w:rsidR="00B87499" w:rsidRDefault="00B87499" w:rsidP="00B87499">
      <w:pPr>
        <w:pStyle w:val="MDPI31text"/>
        <w:ind w:left="0" w:firstLine="0"/>
        <w:jc w:val="center"/>
        <w:rPr>
          <w:rFonts w:ascii="Times New Roman" w:hAnsi="Times New Roman"/>
          <w:b/>
          <w:bCs/>
          <w:sz w:val="24"/>
          <w:szCs w:val="28"/>
        </w:rPr>
      </w:pPr>
      <w:r>
        <w:rPr>
          <w:noProof/>
          <w:snapToGrid/>
        </w:rPr>
        <w:drawing>
          <wp:inline distT="0" distB="0" distL="0" distR="0" wp14:anchorId="79B30901" wp14:editId="646D5DED">
            <wp:extent cx="5400040" cy="5115949"/>
            <wp:effectExtent l="0" t="0" r="0" b="8890"/>
            <wp:docPr id="250615347" name="Imagen 5" descr="Diagrama, Esquemát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615347" name="Imagen 5" descr="Diagrama, Esquemático&#10;&#10;Descripción generada automáticamente"/>
                    <pic:cNvPicPr/>
                  </pic:nvPicPr>
                  <pic:blipFill>
                    <a:blip r:embed="rId23"/>
                    <a:stretch>
                      <a:fillRect/>
                    </a:stretch>
                  </pic:blipFill>
                  <pic:spPr>
                    <a:xfrm>
                      <a:off x="0" y="0"/>
                      <a:ext cx="5400040" cy="5115949"/>
                    </a:xfrm>
                    <a:prstGeom prst="rect">
                      <a:avLst/>
                    </a:prstGeom>
                  </pic:spPr>
                </pic:pic>
              </a:graphicData>
            </a:graphic>
          </wp:inline>
        </w:drawing>
      </w:r>
    </w:p>
    <w:p w14:paraId="752C9623" w14:textId="77777777" w:rsidR="00B87499" w:rsidRDefault="00B87499" w:rsidP="00B87499">
      <w:pPr>
        <w:pStyle w:val="MDPI31text"/>
        <w:ind w:left="0" w:firstLine="0"/>
        <w:rPr>
          <w:rFonts w:ascii="Times New Roman" w:hAnsi="Times New Roman"/>
          <w:b/>
          <w:bCs/>
          <w:sz w:val="24"/>
          <w:szCs w:val="28"/>
        </w:rPr>
      </w:pPr>
    </w:p>
    <w:p w14:paraId="4A88AAEF" w14:textId="1FF2053E" w:rsidR="00B87499" w:rsidRDefault="00B87499" w:rsidP="00B87499">
      <w:pPr>
        <w:pStyle w:val="MDPI31text"/>
        <w:ind w:left="0" w:firstLine="0"/>
        <w:jc w:val="center"/>
        <w:rPr>
          <w:rFonts w:ascii="Times New Roman" w:hAnsi="Times New Roman"/>
          <w:sz w:val="24"/>
          <w:szCs w:val="28"/>
        </w:rPr>
      </w:pPr>
      <w:r w:rsidRPr="000550A9">
        <w:rPr>
          <w:rFonts w:ascii="Times New Roman" w:hAnsi="Times New Roman"/>
          <w:b/>
          <w:bCs/>
          <w:sz w:val="24"/>
          <w:szCs w:val="28"/>
        </w:rPr>
        <w:t xml:space="preserve">Figure </w:t>
      </w:r>
      <w:r w:rsidR="005F3409">
        <w:rPr>
          <w:rFonts w:ascii="Times New Roman" w:hAnsi="Times New Roman"/>
          <w:b/>
          <w:bCs/>
          <w:sz w:val="24"/>
          <w:szCs w:val="28"/>
        </w:rPr>
        <w:t>S5</w:t>
      </w:r>
      <w:r w:rsidRPr="000550A9">
        <w:rPr>
          <w:rFonts w:ascii="Times New Roman" w:hAnsi="Times New Roman"/>
          <w:sz w:val="24"/>
          <w:szCs w:val="28"/>
        </w:rPr>
        <w:t xml:space="preserve">. </w:t>
      </w:r>
      <w:r w:rsidRPr="00BD67B2">
        <w:rPr>
          <w:rFonts w:ascii="Times New Roman" w:hAnsi="Times New Roman"/>
          <w:sz w:val="24"/>
          <w:szCs w:val="28"/>
        </w:rPr>
        <w:t>Forest plot illustrating the prevalence of monkeypox vaccination rejection among study subjects</w:t>
      </w:r>
      <w:r w:rsidRPr="000550A9">
        <w:rPr>
          <w:rFonts w:ascii="Times New Roman" w:hAnsi="Times New Roman"/>
          <w:sz w:val="24"/>
          <w:szCs w:val="28"/>
        </w:rPr>
        <w:t>.</w:t>
      </w:r>
    </w:p>
    <w:p w14:paraId="78127427" w14:textId="77777777" w:rsidR="00B87499" w:rsidRDefault="00B87499" w:rsidP="00B87499">
      <w:pPr>
        <w:pStyle w:val="MDPI31text"/>
        <w:ind w:left="0" w:firstLine="0"/>
        <w:rPr>
          <w:rFonts w:ascii="Times New Roman" w:hAnsi="Times New Roman"/>
          <w:sz w:val="24"/>
          <w:szCs w:val="28"/>
        </w:rPr>
      </w:pPr>
    </w:p>
    <w:p w14:paraId="76FEFA7E" w14:textId="77777777" w:rsidR="00B87499" w:rsidRDefault="00B87499" w:rsidP="00B87499">
      <w:pPr>
        <w:pStyle w:val="MDPI31text"/>
        <w:ind w:left="0" w:firstLine="0"/>
        <w:rPr>
          <w:rFonts w:ascii="Times New Roman" w:hAnsi="Times New Roman"/>
          <w:sz w:val="24"/>
          <w:szCs w:val="28"/>
        </w:rPr>
      </w:pPr>
    </w:p>
    <w:p w14:paraId="2EDCBD91" w14:textId="77777777" w:rsidR="00B87499" w:rsidRDefault="00B87499" w:rsidP="00B87499">
      <w:pPr>
        <w:pStyle w:val="MDPI31text"/>
        <w:ind w:left="0" w:firstLine="0"/>
        <w:rPr>
          <w:rFonts w:ascii="Times New Roman" w:hAnsi="Times New Roman"/>
          <w:sz w:val="24"/>
          <w:szCs w:val="28"/>
        </w:rPr>
      </w:pPr>
    </w:p>
    <w:p w14:paraId="65613F03" w14:textId="77777777" w:rsidR="00B87499" w:rsidRDefault="00B87499" w:rsidP="00B87499">
      <w:pPr>
        <w:pStyle w:val="MDPI31text"/>
        <w:ind w:left="0" w:firstLine="0"/>
        <w:rPr>
          <w:rFonts w:ascii="Times New Roman" w:hAnsi="Times New Roman"/>
          <w:sz w:val="24"/>
          <w:szCs w:val="28"/>
        </w:rPr>
      </w:pPr>
    </w:p>
    <w:p w14:paraId="5EBB4009" w14:textId="77777777" w:rsidR="00B87499" w:rsidRDefault="00B87499" w:rsidP="00B87499">
      <w:pPr>
        <w:pStyle w:val="MDPI31text"/>
        <w:ind w:left="0" w:firstLine="0"/>
        <w:rPr>
          <w:rFonts w:ascii="Times New Roman" w:hAnsi="Times New Roman"/>
          <w:sz w:val="24"/>
          <w:szCs w:val="28"/>
        </w:rPr>
      </w:pPr>
    </w:p>
    <w:p w14:paraId="50949354" w14:textId="77777777" w:rsidR="00B87499" w:rsidRDefault="00B87499" w:rsidP="00B87499">
      <w:pPr>
        <w:pStyle w:val="MDPI31text"/>
        <w:ind w:left="0" w:firstLine="0"/>
        <w:rPr>
          <w:rFonts w:ascii="Times New Roman" w:hAnsi="Times New Roman"/>
          <w:sz w:val="24"/>
          <w:szCs w:val="28"/>
        </w:rPr>
      </w:pPr>
    </w:p>
    <w:p w14:paraId="6EE4D33B" w14:textId="77777777" w:rsidR="00B87499" w:rsidRDefault="00B87499" w:rsidP="00B87499">
      <w:pPr>
        <w:pStyle w:val="MDPI31text"/>
        <w:ind w:left="0" w:firstLine="0"/>
        <w:rPr>
          <w:rFonts w:ascii="Times New Roman" w:hAnsi="Times New Roman"/>
          <w:sz w:val="24"/>
          <w:szCs w:val="28"/>
        </w:rPr>
      </w:pPr>
    </w:p>
    <w:p w14:paraId="5B8876D8" w14:textId="77777777" w:rsidR="00B87499" w:rsidRDefault="00B87499" w:rsidP="00B87499">
      <w:pPr>
        <w:pStyle w:val="MDPI31text"/>
        <w:ind w:left="0" w:firstLine="0"/>
        <w:rPr>
          <w:rFonts w:ascii="Times New Roman" w:hAnsi="Times New Roman"/>
          <w:sz w:val="24"/>
          <w:szCs w:val="28"/>
        </w:rPr>
      </w:pPr>
    </w:p>
    <w:p w14:paraId="1D44126A" w14:textId="77777777" w:rsidR="00B87499" w:rsidRDefault="00B87499" w:rsidP="00B87499">
      <w:pPr>
        <w:pStyle w:val="MDPI31text"/>
        <w:ind w:left="0" w:firstLine="0"/>
        <w:rPr>
          <w:rFonts w:ascii="Times New Roman" w:hAnsi="Times New Roman"/>
          <w:sz w:val="24"/>
          <w:szCs w:val="28"/>
        </w:rPr>
      </w:pPr>
    </w:p>
    <w:p w14:paraId="582957B2" w14:textId="77777777" w:rsidR="001031FF" w:rsidRDefault="001031FF" w:rsidP="000550A9">
      <w:pPr>
        <w:pStyle w:val="MDPI31text"/>
        <w:ind w:left="0" w:firstLine="0"/>
        <w:rPr>
          <w:rFonts w:ascii="Times New Roman" w:hAnsi="Times New Roman"/>
          <w:sz w:val="24"/>
          <w:szCs w:val="28"/>
        </w:rPr>
      </w:pPr>
    </w:p>
    <w:p w14:paraId="7EAE10E9" w14:textId="77777777" w:rsidR="001031FF" w:rsidRDefault="001031FF" w:rsidP="000550A9">
      <w:pPr>
        <w:pStyle w:val="MDPI31text"/>
        <w:ind w:left="0" w:firstLine="0"/>
        <w:rPr>
          <w:rFonts w:ascii="Times New Roman" w:hAnsi="Times New Roman"/>
          <w:sz w:val="24"/>
          <w:szCs w:val="28"/>
        </w:rPr>
      </w:pPr>
    </w:p>
    <w:p w14:paraId="7FD150ED" w14:textId="77777777" w:rsidR="00B65085" w:rsidRDefault="00B65085" w:rsidP="000550A9">
      <w:pPr>
        <w:pStyle w:val="MDPI31text"/>
        <w:ind w:left="0" w:firstLine="0"/>
        <w:rPr>
          <w:rFonts w:ascii="Times New Roman" w:hAnsi="Times New Roman"/>
          <w:sz w:val="24"/>
          <w:szCs w:val="28"/>
        </w:rPr>
      </w:pPr>
    </w:p>
    <w:p w14:paraId="5AD25CF1" w14:textId="77777777" w:rsidR="00994880" w:rsidRDefault="00994880" w:rsidP="00994880">
      <w:pPr>
        <w:pStyle w:val="MDPI62BackMatter"/>
        <w:spacing w:line="240" w:lineRule="auto"/>
        <w:ind w:left="0"/>
        <w:rPr>
          <w:rFonts w:ascii="Times New Roman" w:hAnsi="Times New Roman"/>
          <w:sz w:val="24"/>
          <w:szCs w:val="24"/>
        </w:rPr>
      </w:pPr>
    </w:p>
    <w:p w14:paraId="4FFB5D0A" w14:textId="77777777" w:rsidR="00B87499" w:rsidRDefault="00B87499" w:rsidP="00994880">
      <w:pPr>
        <w:pStyle w:val="MDPI62BackMatter"/>
        <w:spacing w:line="240" w:lineRule="auto"/>
        <w:ind w:left="0"/>
        <w:rPr>
          <w:rFonts w:ascii="Times New Roman" w:hAnsi="Times New Roman"/>
          <w:sz w:val="24"/>
          <w:szCs w:val="24"/>
        </w:rPr>
      </w:pPr>
    </w:p>
    <w:p w14:paraId="1D38E0DA" w14:textId="77777777" w:rsidR="00B87499" w:rsidRDefault="00B87499" w:rsidP="00994880">
      <w:pPr>
        <w:pStyle w:val="MDPI62BackMatter"/>
        <w:spacing w:line="240" w:lineRule="auto"/>
        <w:ind w:left="0"/>
        <w:rPr>
          <w:rFonts w:ascii="Times New Roman" w:hAnsi="Times New Roman"/>
          <w:sz w:val="24"/>
          <w:szCs w:val="24"/>
        </w:rPr>
      </w:pPr>
    </w:p>
    <w:p w14:paraId="45FF59C2" w14:textId="77777777" w:rsidR="00B87499" w:rsidRDefault="00B87499" w:rsidP="00994880">
      <w:pPr>
        <w:pStyle w:val="MDPI62BackMatter"/>
        <w:spacing w:line="240" w:lineRule="auto"/>
        <w:ind w:left="0"/>
        <w:rPr>
          <w:rFonts w:ascii="Times New Roman" w:hAnsi="Times New Roman"/>
          <w:sz w:val="24"/>
          <w:szCs w:val="24"/>
        </w:rPr>
      </w:pPr>
    </w:p>
    <w:p w14:paraId="157BFBDB" w14:textId="77777777" w:rsidR="00B87499" w:rsidRDefault="00B87499" w:rsidP="00994880">
      <w:pPr>
        <w:pStyle w:val="MDPI62BackMatter"/>
        <w:spacing w:line="240" w:lineRule="auto"/>
        <w:ind w:left="0"/>
        <w:rPr>
          <w:rFonts w:ascii="Times New Roman" w:hAnsi="Times New Roman"/>
          <w:sz w:val="24"/>
          <w:szCs w:val="24"/>
        </w:rPr>
      </w:pPr>
    </w:p>
    <w:p w14:paraId="6AF36CCC" w14:textId="77777777" w:rsidR="00B87499" w:rsidRPr="00085AA7" w:rsidRDefault="00B87499" w:rsidP="00994880">
      <w:pPr>
        <w:pStyle w:val="MDPI62BackMatter"/>
        <w:spacing w:line="240" w:lineRule="auto"/>
        <w:ind w:left="0"/>
        <w:rPr>
          <w:rFonts w:ascii="Times New Roman" w:hAnsi="Times New Roman"/>
          <w:sz w:val="24"/>
          <w:szCs w:val="24"/>
        </w:rPr>
      </w:pPr>
    </w:p>
    <w:p w14:paraId="53448003" w14:textId="77777777" w:rsidR="00994880" w:rsidRPr="00CD2F15" w:rsidRDefault="00994880" w:rsidP="00994880">
      <w:pPr>
        <w:pStyle w:val="MDPI21heading1"/>
        <w:spacing w:line="240" w:lineRule="auto"/>
        <w:ind w:left="0"/>
        <w:jc w:val="both"/>
        <w:rPr>
          <w:rFonts w:ascii="Times New Roman" w:hAnsi="Times New Roman"/>
          <w:sz w:val="24"/>
          <w:szCs w:val="24"/>
        </w:rPr>
      </w:pPr>
      <w:r w:rsidRPr="00CD2F15">
        <w:rPr>
          <w:rFonts w:ascii="Times New Roman" w:hAnsi="Times New Roman"/>
          <w:sz w:val="24"/>
          <w:szCs w:val="24"/>
        </w:rPr>
        <w:t>References</w:t>
      </w:r>
    </w:p>
    <w:p w14:paraId="2FE5C588" w14:textId="77777777" w:rsidR="00042AD5" w:rsidRPr="00042AD5" w:rsidRDefault="00994880" w:rsidP="00042AD5">
      <w:pPr>
        <w:pStyle w:val="Bibliografa"/>
      </w:pPr>
      <w:r>
        <w:fldChar w:fldCharType="begin"/>
      </w:r>
      <w:r w:rsidR="00042AD5">
        <w:instrText xml:space="preserve"> ADDIN ZOTERO_BIBL {"uncited":[],"omitted":[],"custom":[]} CSL_BIBLIOGRAPHY </w:instrText>
      </w:r>
      <w:r>
        <w:fldChar w:fldCharType="separate"/>
      </w:r>
      <w:r w:rsidR="00042AD5" w:rsidRPr="00042AD5">
        <w:t xml:space="preserve">1. </w:t>
      </w:r>
      <w:r w:rsidR="00042AD5" w:rsidRPr="00042AD5">
        <w:tab/>
        <w:t xml:space="preserve">Araoz-Salinas, J.M.; Ortiz-Saavedra, B.; Ponce-Rosas, L.; Soriano-Moreno, D.R.; Soriano-Moreno, A.N.; Alave, J.; Gonzales-Zamora, J.A. Perceptions and Intention to Get Vaccinated against Mpox among the LGBTIQ+ Community during the 2022 Outbreak: A Cross-Sectional Study in Peru. </w:t>
      </w:r>
      <w:r w:rsidR="00042AD5" w:rsidRPr="00042AD5">
        <w:rPr>
          <w:i/>
          <w:iCs/>
        </w:rPr>
        <w:t>Vaccines</w:t>
      </w:r>
      <w:r w:rsidR="00042AD5" w:rsidRPr="00042AD5">
        <w:t xml:space="preserve"> </w:t>
      </w:r>
      <w:r w:rsidR="00042AD5" w:rsidRPr="00042AD5">
        <w:rPr>
          <w:b/>
          <w:bCs/>
        </w:rPr>
        <w:t>2023</w:t>
      </w:r>
      <w:r w:rsidR="00042AD5" w:rsidRPr="00042AD5">
        <w:t xml:space="preserve">, </w:t>
      </w:r>
      <w:r w:rsidR="00042AD5" w:rsidRPr="00042AD5">
        <w:rPr>
          <w:i/>
          <w:iCs/>
        </w:rPr>
        <w:t>11</w:t>
      </w:r>
      <w:r w:rsidR="00042AD5" w:rsidRPr="00042AD5">
        <w:t>, 1008, doi:10.3390/vaccines11051008.</w:t>
      </w:r>
    </w:p>
    <w:p w14:paraId="1CD7B9E4" w14:textId="77777777" w:rsidR="00042AD5" w:rsidRPr="00042AD5" w:rsidRDefault="00042AD5" w:rsidP="00042AD5">
      <w:pPr>
        <w:pStyle w:val="Bibliografa"/>
      </w:pPr>
      <w:r w:rsidRPr="00042AD5">
        <w:t xml:space="preserve">2. </w:t>
      </w:r>
      <w:r w:rsidRPr="00042AD5">
        <w:tab/>
        <w:t xml:space="preserve">Mahameed, H.; Al-Mahzoum, K.; AlRaie, L.A.; Aburumman, R.; Al-Naimat, H.; Alhiary, S.; Barakat, M.; Al-Tammemi, A.B.; Salim, N.A.; Sallam, M. Previous Vaccination History and Psychological Factors as Significant Predictors of Willingness to Receive Mpox Vaccination and a Favorable Attitude towards Compulsory Vaccination. </w:t>
      </w:r>
      <w:r w:rsidRPr="00042AD5">
        <w:rPr>
          <w:i/>
          <w:iCs/>
        </w:rPr>
        <w:t>Vaccines</w:t>
      </w:r>
      <w:r w:rsidRPr="00042AD5">
        <w:t xml:space="preserve"> </w:t>
      </w:r>
      <w:r w:rsidRPr="00042AD5">
        <w:rPr>
          <w:b/>
          <w:bCs/>
        </w:rPr>
        <w:t>2023</w:t>
      </w:r>
      <w:r w:rsidRPr="00042AD5">
        <w:t xml:space="preserve">, </w:t>
      </w:r>
      <w:r w:rsidRPr="00042AD5">
        <w:rPr>
          <w:i/>
          <w:iCs/>
        </w:rPr>
        <w:t>11</w:t>
      </w:r>
      <w:r w:rsidRPr="00042AD5">
        <w:t>, 897, doi:10.3390/vaccines11050897.</w:t>
      </w:r>
    </w:p>
    <w:p w14:paraId="1B031E3F" w14:textId="77777777" w:rsidR="00042AD5" w:rsidRPr="00042AD5" w:rsidRDefault="00042AD5" w:rsidP="00042AD5">
      <w:pPr>
        <w:pStyle w:val="Bibliografa"/>
      </w:pPr>
      <w:r w:rsidRPr="00042AD5">
        <w:t xml:space="preserve">3. </w:t>
      </w:r>
      <w:r w:rsidRPr="00042AD5">
        <w:tab/>
        <w:t xml:space="preserve">Wang, B.; Peng, X.; Li, Y.; Fu, L.; Tian, T.; Liang, B.; Sun, Y.; Chen, Y.; Wu, X.; Liu, Q.; et al. Perceptions, Precautions, and Vaccine Acceptance Related to Monkeypox in the Public in China: A Cross-Sectional Survey. </w:t>
      </w:r>
      <w:r w:rsidRPr="00042AD5">
        <w:rPr>
          <w:i/>
          <w:iCs/>
        </w:rPr>
        <w:t>J. Infect. Public Health</w:t>
      </w:r>
      <w:r w:rsidRPr="00042AD5">
        <w:t xml:space="preserve"> </w:t>
      </w:r>
      <w:r w:rsidRPr="00042AD5">
        <w:rPr>
          <w:b/>
          <w:bCs/>
        </w:rPr>
        <w:t>2023</w:t>
      </w:r>
      <w:r w:rsidRPr="00042AD5">
        <w:t xml:space="preserve">, </w:t>
      </w:r>
      <w:r w:rsidRPr="00042AD5">
        <w:rPr>
          <w:i/>
          <w:iCs/>
        </w:rPr>
        <w:t>16</w:t>
      </w:r>
      <w:r w:rsidRPr="00042AD5">
        <w:t>, 163–170, doi:10.1016/j.jiph.2022.12.010.</w:t>
      </w:r>
    </w:p>
    <w:p w14:paraId="61AC1620" w14:textId="77777777" w:rsidR="00042AD5" w:rsidRPr="00042AD5" w:rsidRDefault="00042AD5" w:rsidP="00042AD5">
      <w:pPr>
        <w:pStyle w:val="Bibliografa"/>
      </w:pPr>
      <w:r w:rsidRPr="00042AD5">
        <w:t xml:space="preserve">4. </w:t>
      </w:r>
      <w:r w:rsidRPr="00042AD5">
        <w:tab/>
        <w:t xml:space="preserve">Al-Mustapha, A.I.; Ogundijo, O.A.; Sikiru, N.A.; Kolawole, B.; Oyewo, M.; El-Nadi, H.; Mustapha, A.M.; Adebudo, L.I.; Odukoya, A.; Asiegbu, E.C.; et al. A Cross-Sectional Survey of Public Knowledge of the Monkeypox Disease in Nigeria. </w:t>
      </w:r>
      <w:r w:rsidRPr="00042AD5">
        <w:rPr>
          <w:i/>
          <w:iCs/>
        </w:rPr>
        <w:t>BMC Public Health</w:t>
      </w:r>
      <w:r w:rsidRPr="00042AD5">
        <w:t xml:space="preserve"> </w:t>
      </w:r>
      <w:r w:rsidRPr="00042AD5">
        <w:rPr>
          <w:b/>
          <w:bCs/>
        </w:rPr>
        <w:t>2023</w:t>
      </w:r>
      <w:r w:rsidRPr="00042AD5">
        <w:t xml:space="preserve">, </w:t>
      </w:r>
      <w:r w:rsidRPr="00042AD5">
        <w:rPr>
          <w:i/>
          <w:iCs/>
        </w:rPr>
        <w:t>23</w:t>
      </w:r>
      <w:r w:rsidRPr="00042AD5">
        <w:t>, 591, doi:10.1186/s12889-023-15398-0.</w:t>
      </w:r>
    </w:p>
    <w:p w14:paraId="21D9AF28" w14:textId="77777777" w:rsidR="00042AD5" w:rsidRPr="00042AD5" w:rsidRDefault="00042AD5" w:rsidP="00042AD5">
      <w:pPr>
        <w:pStyle w:val="Bibliografa"/>
      </w:pPr>
      <w:r w:rsidRPr="00042AD5">
        <w:t xml:space="preserve">5. </w:t>
      </w:r>
      <w:r w:rsidRPr="00042AD5">
        <w:tab/>
        <w:t xml:space="preserve">Fu, L.; Sun, Y.; Li, Y.; Wang, B.; Yang, L.; Tian, T.; Wu, X.; Peng, X.; Liu, Q.; Chen, Y.; et al. Perception of and Vaccine Readiness towards Mpox among Men Who Have Sex with Men Living with HIV in China: A Cross-Sectional Study. </w:t>
      </w:r>
      <w:r w:rsidRPr="00042AD5">
        <w:rPr>
          <w:i/>
          <w:iCs/>
        </w:rPr>
        <w:t>Vaccines</w:t>
      </w:r>
      <w:r w:rsidRPr="00042AD5">
        <w:t xml:space="preserve"> </w:t>
      </w:r>
      <w:r w:rsidRPr="00042AD5">
        <w:rPr>
          <w:b/>
          <w:bCs/>
        </w:rPr>
        <w:t>2023</w:t>
      </w:r>
      <w:r w:rsidRPr="00042AD5">
        <w:t xml:space="preserve">, </w:t>
      </w:r>
      <w:r w:rsidRPr="00042AD5">
        <w:rPr>
          <w:i/>
          <w:iCs/>
        </w:rPr>
        <w:t>11</w:t>
      </w:r>
      <w:r w:rsidRPr="00042AD5">
        <w:t>, 528, doi:10.3390/vaccines11030528.</w:t>
      </w:r>
    </w:p>
    <w:p w14:paraId="372149BA" w14:textId="77777777" w:rsidR="00042AD5" w:rsidRPr="00042AD5" w:rsidRDefault="00042AD5" w:rsidP="00042AD5">
      <w:pPr>
        <w:pStyle w:val="Bibliografa"/>
      </w:pPr>
      <w:r w:rsidRPr="00042AD5">
        <w:t xml:space="preserve">6. </w:t>
      </w:r>
      <w:r w:rsidRPr="00042AD5">
        <w:tab/>
        <w:t xml:space="preserve">Dukers-Muijrers, N.H.T.M.; Evers, Y.; Widdershoven, V.; Davidovich, U.; Adam, P.C.G.; Op de Coul, E.L.M.; Zantkuijl, P.; Matser, A.; Prins, M.; de Vries, H.J.C.; et al. Mpox Vaccination Willingness, Determinants, and Communication Needs in Gay, Bisexual, and Other Men Who Have Sex with Men, in the Context of Limited Vaccine Availability in the Netherlands (Dutch Mpox-Survey). </w:t>
      </w:r>
      <w:r w:rsidRPr="00042AD5">
        <w:rPr>
          <w:i/>
          <w:iCs/>
        </w:rPr>
        <w:t>Front. Public Health</w:t>
      </w:r>
      <w:r w:rsidRPr="00042AD5">
        <w:t xml:space="preserve"> </w:t>
      </w:r>
      <w:r w:rsidRPr="00042AD5">
        <w:rPr>
          <w:b/>
          <w:bCs/>
        </w:rPr>
        <w:t>2022</w:t>
      </w:r>
      <w:r w:rsidRPr="00042AD5">
        <w:t xml:space="preserve">, </w:t>
      </w:r>
      <w:r w:rsidRPr="00042AD5">
        <w:rPr>
          <w:i/>
          <w:iCs/>
        </w:rPr>
        <w:t>10</w:t>
      </w:r>
      <w:r w:rsidRPr="00042AD5">
        <w:t>, 1058807, doi:10.3389/fpubh.2022.1058807.</w:t>
      </w:r>
    </w:p>
    <w:p w14:paraId="13164741" w14:textId="77777777" w:rsidR="00042AD5" w:rsidRPr="00042AD5" w:rsidRDefault="00042AD5" w:rsidP="00042AD5">
      <w:pPr>
        <w:pStyle w:val="Bibliografa"/>
      </w:pPr>
      <w:r w:rsidRPr="00042AD5">
        <w:t xml:space="preserve">7. </w:t>
      </w:r>
      <w:r w:rsidRPr="00042AD5">
        <w:tab/>
        <w:t xml:space="preserve">Tran, B.X.; Anh Do, L.; Hoang, T.P.; Boyer, L.; Auquier, P.; Fond, G.; Le, H.T.; Le Vu, M.N.; Dang, T.H.T.; Nguyen, A.H.T.; et al. Crucial Choices in a Global Health Crisis: Revealing the Demand and Willingness to Pay for a Hypothetical Monkeypox Vaccine - the PREVENT Study. </w:t>
      </w:r>
      <w:r w:rsidRPr="00042AD5">
        <w:rPr>
          <w:i/>
          <w:iCs/>
        </w:rPr>
        <w:t>J. Glob. Health</w:t>
      </w:r>
      <w:r w:rsidRPr="00042AD5">
        <w:t xml:space="preserve"> </w:t>
      </w:r>
      <w:r w:rsidRPr="00042AD5">
        <w:rPr>
          <w:b/>
          <w:bCs/>
        </w:rPr>
        <w:t>2023</w:t>
      </w:r>
      <w:r w:rsidRPr="00042AD5">
        <w:t xml:space="preserve">, </w:t>
      </w:r>
      <w:r w:rsidRPr="00042AD5">
        <w:rPr>
          <w:i/>
          <w:iCs/>
        </w:rPr>
        <w:t>13</w:t>
      </w:r>
      <w:r w:rsidRPr="00042AD5">
        <w:t>, 04033, doi:10.7189/jogh.13.04033.</w:t>
      </w:r>
    </w:p>
    <w:p w14:paraId="58B8448E" w14:textId="77777777" w:rsidR="00042AD5" w:rsidRPr="00042AD5" w:rsidRDefault="00042AD5" w:rsidP="00042AD5">
      <w:pPr>
        <w:pStyle w:val="Bibliografa"/>
      </w:pPr>
      <w:r w:rsidRPr="00042AD5">
        <w:t xml:space="preserve">8. </w:t>
      </w:r>
      <w:r w:rsidRPr="00042AD5">
        <w:tab/>
        <w:t xml:space="preserve">Ghazy, R.M.; Yazbek, S.; Gebreal, A.; Hussein, M.; Addai, S.A.; Mensah, E.; Sarfo, M.; Kofi, A.; Al-Ahdal, T.; Eshun, G. Monkeypox Vaccine Acceptance among Ghanaians: A Call for Action. </w:t>
      </w:r>
      <w:r w:rsidRPr="00042AD5">
        <w:rPr>
          <w:i/>
          <w:iCs/>
        </w:rPr>
        <w:t>Vaccines</w:t>
      </w:r>
      <w:r w:rsidRPr="00042AD5">
        <w:t xml:space="preserve"> </w:t>
      </w:r>
      <w:r w:rsidRPr="00042AD5">
        <w:rPr>
          <w:b/>
          <w:bCs/>
        </w:rPr>
        <w:t>2023</w:t>
      </w:r>
      <w:r w:rsidRPr="00042AD5">
        <w:t xml:space="preserve">, </w:t>
      </w:r>
      <w:r w:rsidRPr="00042AD5">
        <w:rPr>
          <w:i/>
          <w:iCs/>
        </w:rPr>
        <w:t>11</w:t>
      </w:r>
      <w:r w:rsidRPr="00042AD5">
        <w:t>, 240, doi:10.3390/vaccines11020240.</w:t>
      </w:r>
    </w:p>
    <w:p w14:paraId="302AE16A" w14:textId="77777777" w:rsidR="00042AD5" w:rsidRPr="00042AD5" w:rsidRDefault="00042AD5" w:rsidP="00042AD5">
      <w:pPr>
        <w:pStyle w:val="Bibliografa"/>
      </w:pPr>
      <w:r w:rsidRPr="00042AD5">
        <w:t xml:space="preserve">9. </w:t>
      </w:r>
      <w:r w:rsidRPr="00042AD5">
        <w:tab/>
        <w:t xml:space="preserve">Hong, J.; Pan, B.; Jiang, H.-J.; Zhang, Q.-M.; Xu, X.-W.; Jiang, H.; Ye, J.-E.; Cui, Y.; Yan, X.-J.; Zhai, X.-F.; et al. The Willingness of Chinese Healthcare Workers to Receive Monkeypox Vaccine and Its Independent Predictors: A Cross-Sectional Survey. </w:t>
      </w:r>
      <w:r w:rsidRPr="00042AD5">
        <w:rPr>
          <w:i/>
          <w:iCs/>
        </w:rPr>
        <w:t>J. Med. Virol.</w:t>
      </w:r>
      <w:r w:rsidRPr="00042AD5">
        <w:t xml:space="preserve"> </w:t>
      </w:r>
      <w:r w:rsidRPr="00042AD5">
        <w:rPr>
          <w:b/>
          <w:bCs/>
        </w:rPr>
        <w:t>2023</w:t>
      </w:r>
      <w:r w:rsidRPr="00042AD5">
        <w:t xml:space="preserve">, </w:t>
      </w:r>
      <w:r w:rsidRPr="00042AD5">
        <w:rPr>
          <w:i/>
          <w:iCs/>
        </w:rPr>
        <w:t>95</w:t>
      </w:r>
      <w:r w:rsidRPr="00042AD5">
        <w:t>, e28294, doi:10.1002/jmv.28294.</w:t>
      </w:r>
    </w:p>
    <w:p w14:paraId="78167393" w14:textId="77777777" w:rsidR="00042AD5" w:rsidRPr="00042AD5" w:rsidRDefault="00042AD5" w:rsidP="00042AD5">
      <w:pPr>
        <w:pStyle w:val="Bibliografa"/>
      </w:pPr>
      <w:r w:rsidRPr="00042AD5">
        <w:t xml:space="preserve">10. </w:t>
      </w:r>
      <w:r w:rsidRPr="00042AD5">
        <w:tab/>
        <w:t xml:space="preserve">Jamaleddine, Y.; El Ezz, A.A.; Mahmoud, M.; Ismail, O.; Saifan, A.; Mayta, Z.; Saab, A.; Salameh, P. Knowledge and Attitude towards Monkeypox among the Lebanese Population and Their Attitude towards Vaccination. </w:t>
      </w:r>
      <w:r w:rsidRPr="00042AD5">
        <w:rPr>
          <w:i/>
          <w:iCs/>
        </w:rPr>
        <w:t>J. Prev. Med. Hyg.</w:t>
      </w:r>
      <w:r w:rsidRPr="00042AD5">
        <w:t xml:space="preserve"> </w:t>
      </w:r>
      <w:r w:rsidRPr="00042AD5">
        <w:rPr>
          <w:b/>
          <w:bCs/>
        </w:rPr>
        <w:t>2023</w:t>
      </w:r>
      <w:r w:rsidRPr="00042AD5">
        <w:t xml:space="preserve">, </w:t>
      </w:r>
      <w:r w:rsidRPr="00042AD5">
        <w:rPr>
          <w:i/>
          <w:iCs/>
        </w:rPr>
        <w:t>64</w:t>
      </w:r>
      <w:r w:rsidRPr="00042AD5">
        <w:t>, E13–E26, doi:10.15167/2421-4248/jpmh2023.64.1.2903.</w:t>
      </w:r>
    </w:p>
    <w:p w14:paraId="105CC6F7" w14:textId="77777777" w:rsidR="00042AD5" w:rsidRPr="00042AD5" w:rsidRDefault="00042AD5" w:rsidP="00042AD5">
      <w:pPr>
        <w:pStyle w:val="Bibliografa"/>
      </w:pPr>
      <w:r w:rsidRPr="00042AD5">
        <w:t xml:space="preserve">11. </w:t>
      </w:r>
      <w:r w:rsidRPr="00042AD5">
        <w:tab/>
        <w:t xml:space="preserve">Dong, C.; Yu, Z.; Zhao, Y.; Ma, X. Knowledge and Vaccination Intention of Monkeypox in China’s General Population: A Cross-Sectional Online Survey. </w:t>
      </w:r>
      <w:r w:rsidRPr="00042AD5">
        <w:rPr>
          <w:i/>
          <w:iCs/>
        </w:rPr>
        <w:t>Travel Med. Infect. Dis.</w:t>
      </w:r>
      <w:r w:rsidRPr="00042AD5">
        <w:t xml:space="preserve"> </w:t>
      </w:r>
      <w:r w:rsidRPr="00042AD5">
        <w:rPr>
          <w:b/>
          <w:bCs/>
        </w:rPr>
        <w:t>2023</w:t>
      </w:r>
      <w:r w:rsidRPr="00042AD5">
        <w:t xml:space="preserve">, </w:t>
      </w:r>
      <w:r w:rsidRPr="00042AD5">
        <w:rPr>
          <w:i/>
          <w:iCs/>
        </w:rPr>
        <w:t>52</w:t>
      </w:r>
      <w:r w:rsidRPr="00042AD5">
        <w:t>, 102533, doi:10.1016/j.tmaid.2022.102533.</w:t>
      </w:r>
    </w:p>
    <w:p w14:paraId="5249AF3F" w14:textId="77777777" w:rsidR="00042AD5" w:rsidRPr="00042AD5" w:rsidRDefault="00042AD5" w:rsidP="00042AD5">
      <w:pPr>
        <w:pStyle w:val="Bibliografa"/>
      </w:pPr>
      <w:r w:rsidRPr="00042AD5">
        <w:lastRenderedPageBreak/>
        <w:t xml:space="preserve">12. </w:t>
      </w:r>
      <w:r w:rsidRPr="00042AD5">
        <w:tab/>
        <w:t xml:space="preserve">Chen, Y.; Li, Y.; Fu, L.; Zhou, X.; Wu, X.; Wang, B.; Peng, X.; Sun, Y.; Liu, Q.; Lin, Y.-F.; et al. Knowledge of Human Mpox (Monkeypox) and Attitude towards Mpox Vaccination among Male Sex Workers in China: A Cross-Sectional Study. </w:t>
      </w:r>
      <w:r w:rsidRPr="00042AD5">
        <w:rPr>
          <w:i/>
          <w:iCs/>
        </w:rPr>
        <w:t>Vaccines</w:t>
      </w:r>
      <w:r w:rsidRPr="00042AD5">
        <w:t xml:space="preserve"> </w:t>
      </w:r>
      <w:r w:rsidRPr="00042AD5">
        <w:rPr>
          <w:b/>
          <w:bCs/>
        </w:rPr>
        <w:t>2023</w:t>
      </w:r>
      <w:r w:rsidRPr="00042AD5">
        <w:t xml:space="preserve">, </w:t>
      </w:r>
      <w:r w:rsidRPr="00042AD5">
        <w:rPr>
          <w:i/>
          <w:iCs/>
        </w:rPr>
        <w:t>11</w:t>
      </w:r>
      <w:r w:rsidRPr="00042AD5">
        <w:t>, 285, doi:10.3390/vaccines11020285.</w:t>
      </w:r>
    </w:p>
    <w:p w14:paraId="6FD4E298" w14:textId="77777777" w:rsidR="00042AD5" w:rsidRPr="00042AD5" w:rsidRDefault="00042AD5" w:rsidP="00042AD5">
      <w:pPr>
        <w:pStyle w:val="Bibliografa"/>
      </w:pPr>
      <w:r w:rsidRPr="00042AD5">
        <w:t xml:space="preserve">13. </w:t>
      </w:r>
      <w:r w:rsidRPr="00042AD5">
        <w:tab/>
        <w:t xml:space="preserve">Lounis, M.; Bencherit, D.; Abdelhadi, S. Knowledge and Awareness of Algerian Healthcare Workers about Human Monkeypox and Their Attitude toward Its Vaccination: An Online Cross-Sectional Survey. </w:t>
      </w:r>
      <w:r w:rsidRPr="00042AD5">
        <w:rPr>
          <w:i/>
          <w:iCs/>
        </w:rPr>
        <w:t>Vacunas</w:t>
      </w:r>
      <w:r w:rsidRPr="00042AD5">
        <w:t xml:space="preserve"> </w:t>
      </w:r>
      <w:r w:rsidRPr="00042AD5">
        <w:rPr>
          <w:b/>
          <w:bCs/>
        </w:rPr>
        <w:t>2023</w:t>
      </w:r>
      <w:r w:rsidRPr="00042AD5">
        <w:t xml:space="preserve">, </w:t>
      </w:r>
      <w:r w:rsidRPr="00042AD5">
        <w:rPr>
          <w:i/>
          <w:iCs/>
        </w:rPr>
        <w:t>24</w:t>
      </w:r>
      <w:r w:rsidRPr="00042AD5">
        <w:t>, 122–127, doi:10.1016/j.vacun.2022.11.003.</w:t>
      </w:r>
    </w:p>
    <w:p w14:paraId="5505D1D6" w14:textId="77777777" w:rsidR="00042AD5" w:rsidRPr="00042AD5" w:rsidRDefault="00042AD5" w:rsidP="00042AD5">
      <w:pPr>
        <w:pStyle w:val="Bibliografa"/>
      </w:pPr>
      <w:r w:rsidRPr="00042AD5">
        <w:t xml:space="preserve">14. </w:t>
      </w:r>
      <w:r w:rsidRPr="00042AD5">
        <w:tab/>
        <w:t xml:space="preserve">Ahmed, S.K.; Abdulqadir, S.O.; Omar, R.M.; Abdullah, A.J.; Rahman, H.A.; Hussein, S.H.; Mohammed Amin, H.I.; Chandran, D.; Sharma, A.K.; Dhama, K.; et al. Knowledge, Attitude and Worry in the Kurdistan Region of Iraq during the Mpox (Monkeypox) Outbreak in 2022: An Online Cross-Sectional Study. </w:t>
      </w:r>
      <w:r w:rsidRPr="00042AD5">
        <w:rPr>
          <w:i/>
          <w:iCs/>
        </w:rPr>
        <w:t>Vaccines</w:t>
      </w:r>
      <w:r w:rsidRPr="00042AD5">
        <w:t xml:space="preserve"> </w:t>
      </w:r>
      <w:r w:rsidRPr="00042AD5">
        <w:rPr>
          <w:b/>
          <w:bCs/>
        </w:rPr>
        <w:t>2023</w:t>
      </w:r>
      <w:r w:rsidRPr="00042AD5">
        <w:t xml:space="preserve">, </w:t>
      </w:r>
      <w:r w:rsidRPr="00042AD5">
        <w:rPr>
          <w:i/>
          <w:iCs/>
        </w:rPr>
        <w:t>11</w:t>
      </w:r>
      <w:r w:rsidRPr="00042AD5">
        <w:t>, 610, doi:10.3390/vaccines11030610.</w:t>
      </w:r>
    </w:p>
    <w:p w14:paraId="5B4FD8E1" w14:textId="77777777" w:rsidR="00042AD5" w:rsidRPr="00042AD5" w:rsidRDefault="00042AD5" w:rsidP="00042AD5">
      <w:pPr>
        <w:pStyle w:val="Bibliografa"/>
      </w:pPr>
      <w:r w:rsidRPr="00042AD5">
        <w:t xml:space="preserve">15. </w:t>
      </w:r>
      <w:r w:rsidRPr="00042AD5">
        <w:tab/>
        <w:t xml:space="preserve">Riad, A.; Drobov, A.; Rozmarinová, J.; Drapáčová, P.; Klugarová, J.; Dušek, L.; Pokorná, A.; Klugar, M. Monkeypox Knowledge and Vaccine Hesitancy of Czech Healthcare Workers: A Health Belief Model (HBM)-Based Study. </w:t>
      </w:r>
      <w:r w:rsidRPr="00042AD5">
        <w:rPr>
          <w:i/>
          <w:iCs/>
        </w:rPr>
        <w:t>Vaccines</w:t>
      </w:r>
      <w:r w:rsidRPr="00042AD5">
        <w:t xml:space="preserve"> </w:t>
      </w:r>
      <w:r w:rsidRPr="00042AD5">
        <w:rPr>
          <w:b/>
          <w:bCs/>
        </w:rPr>
        <w:t>2022</w:t>
      </w:r>
      <w:r w:rsidRPr="00042AD5">
        <w:t xml:space="preserve">, </w:t>
      </w:r>
      <w:r w:rsidRPr="00042AD5">
        <w:rPr>
          <w:i/>
          <w:iCs/>
        </w:rPr>
        <w:t>10</w:t>
      </w:r>
      <w:r w:rsidRPr="00042AD5">
        <w:t>, 2022, doi:10.3390/vaccines10122022.</w:t>
      </w:r>
    </w:p>
    <w:p w14:paraId="21401D49" w14:textId="77777777" w:rsidR="00042AD5" w:rsidRPr="00042AD5" w:rsidRDefault="00042AD5" w:rsidP="00042AD5">
      <w:pPr>
        <w:pStyle w:val="Bibliografa"/>
      </w:pPr>
      <w:r w:rsidRPr="00042AD5">
        <w:t xml:space="preserve">16. </w:t>
      </w:r>
      <w:r w:rsidRPr="00042AD5">
        <w:tab/>
        <w:t xml:space="preserve">Zucman, D.; Fourn, E.; Touche, P.; Majerholc, C.; Vallée, A. Monkeypox Vaccine Hesitancy in French Men Having Sex with Men with PrEP or Living with HIV in France. </w:t>
      </w:r>
      <w:r w:rsidRPr="00042AD5">
        <w:rPr>
          <w:i/>
          <w:iCs/>
        </w:rPr>
        <w:t>Vaccines</w:t>
      </w:r>
      <w:r w:rsidRPr="00042AD5">
        <w:t xml:space="preserve"> </w:t>
      </w:r>
      <w:r w:rsidRPr="00042AD5">
        <w:rPr>
          <w:b/>
          <w:bCs/>
        </w:rPr>
        <w:t>2022</w:t>
      </w:r>
      <w:r w:rsidRPr="00042AD5">
        <w:t xml:space="preserve">, </w:t>
      </w:r>
      <w:r w:rsidRPr="00042AD5">
        <w:rPr>
          <w:i/>
          <w:iCs/>
        </w:rPr>
        <w:t>10</w:t>
      </w:r>
      <w:r w:rsidRPr="00042AD5">
        <w:t>, 1629, doi:10.3390/vaccines10101629.</w:t>
      </w:r>
    </w:p>
    <w:p w14:paraId="33B0426D" w14:textId="77777777" w:rsidR="00042AD5" w:rsidRPr="00042AD5" w:rsidRDefault="00042AD5" w:rsidP="00042AD5">
      <w:pPr>
        <w:pStyle w:val="Bibliografa"/>
      </w:pPr>
      <w:r w:rsidRPr="00042AD5">
        <w:t xml:space="preserve">17. </w:t>
      </w:r>
      <w:r w:rsidRPr="00042AD5">
        <w:tab/>
        <w:t xml:space="preserve">Reyes-Urueña, J.; D’Ambrosio, A.; Croci, R.; Bluemel, B.; Cenciarelli, O.; Pharris, A.; Dukers-Muijrers, N.; Nutland, W.; Niaupari, S.; Badran, J.; et al. High Monkeypox Vaccine Acceptance among Male Users of Smartphone-Based Online Gay-Dating Apps in Europe, 30 July to 12 August 2022. </w:t>
      </w:r>
      <w:r w:rsidRPr="00042AD5">
        <w:rPr>
          <w:i/>
          <w:iCs/>
        </w:rPr>
        <w:t>Euro Surveill. Bull. Eur. Sur Mal. Transm. Eur. Commun. Dis. Bull.</w:t>
      </w:r>
      <w:r w:rsidRPr="00042AD5">
        <w:t xml:space="preserve"> </w:t>
      </w:r>
      <w:r w:rsidRPr="00042AD5">
        <w:rPr>
          <w:b/>
          <w:bCs/>
        </w:rPr>
        <w:t>2022</w:t>
      </w:r>
      <w:r w:rsidRPr="00042AD5">
        <w:t xml:space="preserve">, </w:t>
      </w:r>
      <w:r w:rsidRPr="00042AD5">
        <w:rPr>
          <w:i/>
          <w:iCs/>
        </w:rPr>
        <w:t>27</w:t>
      </w:r>
      <w:r w:rsidRPr="00042AD5">
        <w:t>, 2200757, doi:10.2807/1560-7917.ES.2022.27.42.2200757.</w:t>
      </w:r>
    </w:p>
    <w:p w14:paraId="0BF11F53" w14:textId="77777777" w:rsidR="00042AD5" w:rsidRPr="00042AD5" w:rsidRDefault="00042AD5" w:rsidP="00042AD5">
      <w:pPr>
        <w:pStyle w:val="Bibliografa"/>
      </w:pPr>
      <w:r w:rsidRPr="00042AD5">
        <w:t xml:space="preserve">18. </w:t>
      </w:r>
      <w:r w:rsidRPr="00042AD5">
        <w:tab/>
        <w:t xml:space="preserve">Bates, B.R.; Grijalva, M.J. Knowledge, Attitudes, and Practices towards Monkeypox during the 2022 Outbreak: An Online Cross-Sectional Survey among Clinicians in Ohio, USA. </w:t>
      </w:r>
      <w:r w:rsidRPr="00042AD5">
        <w:rPr>
          <w:i/>
          <w:iCs/>
        </w:rPr>
        <w:t>J. Infect. Public Health</w:t>
      </w:r>
      <w:r w:rsidRPr="00042AD5">
        <w:t xml:space="preserve"> </w:t>
      </w:r>
      <w:r w:rsidRPr="00042AD5">
        <w:rPr>
          <w:b/>
          <w:bCs/>
        </w:rPr>
        <w:t>2022</w:t>
      </w:r>
      <w:r w:rsidRPr="00042AD5">
        <w:t xml:space="preserve">, </w:t>
      </w:r>
      <w:r w:rsidRPr="00042AD5">
        <w:rPr>
          <w:i/>
          <w:iCs/>
        </w:rPr>
        <w:t>15</w:t>
      </w:r>
      <w:r w:rsidRPr="00042AD5">
        <w:t>, 1459–1465, doi:10.1016/j.jiph.2022.11.004.</w:t>
      </w:r>
    </w:p>
    <w:p w14:paraId="3C4B70D2" w14:textId="77777777" w:rsidR="00042AD5" w:rsidRPr="00042AD5" w:rsidRDefault="00042AD5" w:rsidP="00042AD5">
      <w:pPr>
        <w:pStyle w:val="Bibliografa"/>
      </w:pPr>
      <w:r w:rsidRPr="00042AD5">
        <w:t xml:space="preserve">19. </w:t>
      </w:r>
      <w:r w:rsidRPr="00042AD5">
        <w:tab/>
        <w:t xml:space="preserve">Zheng, M.; Qin, C.; Qian, X.; Yao, Y.; Liu, J.; Yuan, Z.; Ma, L.; Fan, J.; Tao, R.; Zhou, F.; et al. Knowledge and Vaccination Acceptance toward the Human Monkeypox among Men Who Have Sex with Men in China. </w:t>
      </w:r>
      <w:r w:rsidRPr="00042AD5">
        <w:rPr>
          <w:i/>
          <w:iCs/>
        </w:rPr>
        <w:t>Front. Public Health</w:t>
      </w:r>
      <w:r w:rsidRPr="00042AD5">
        <w:t xml:space="preserve"> </w:t>
      </w:r>
      <w:r w:rsidRPr="00042AD5">
        <w:rPr>
          <w:b/>
          <w:bCs/>
        </w:rPr>
        <w:t>2022</w:t>
      </w:r>
      <w:r w:rsidRPr="00042AD5">
        <w:t xml:space="preserve">, </w:t>
      </w:r>
      <w:r w:rsidRPr="00042AD5">
        <w:rPr>
          <w:i/>
          <w:iCs/>
        </w:rPr>
        <w:t>10</w:t>
      </w:r>
      <w:r w:rsidRPr="00042AD5">
        <w:t>, 997637, doi:10.3389/fpubh.2022.997637.</w:t>
      </w:r>
    </w:p>
    <w:p w14:paraId="3533EE93" w14:textId="77777777" w:rsidR="00042AD5" w:rsidRPr="00042AD5" w:rsidRDefault="00042AD5" w:rsidP="00042AD5">
      <w:pPr>
        <w:pStyle w:val="Bibliografa"/>
      </w:pPr>
      <w:r w:rsidRPr="00042AD5">
        <w:t xml:space="preserve">20. </w:t>
      </w:r>
      <w:r w:rsidRPr="00042AD5">
        <w:tab/>
        <w:t xml:space="preserve">Sahin, T.K.; Erul, E.; Aksun, M.S.; Sonmezer, M.C.; Unal, S.; Akova, M. Knowledge and Attitudes of Turkish Physicians towards Human Monkeypox Disease and Related Vaccination: A Cross-Sectional Study. </w:t>
      </w:r>
      <w:r w:rsidRPr="00042AD5">
        <w:rPr>
          <w:i/>
          <w:iCs/>
        </w:rPr>
        <w:t>Vaccines</w:t>
      </w:r>
      <w:r w:rsidRPr="00042AD5">
        <w:t xml:space="preserve"> </w:t>
      </w:r>
      <w:r w:rsidRPr="00042AD5">
        <w:rPr>
          <w:b/>
          <w:bCs/>
        </w:rPr>
        <w:t>2022</w:t>
      </w:r>
      <w:r w:rsidRPr="00042AD5">
        <w:t xml:space="preserve">, </w:t>
      </w:r>
      <w:r w:rsidRPr="00042AD5">
        <w:rPr>
          <w:i/>
          <w:iCs/>
        </w:rPr>
        <w:t>11</w:t>
      </w:r>
      <w:r w:rsidRPr="00042AD5">
        <w:t>, 19, doi:10.3390/vaccines11010019.</w:t>
      </w:r>
    </w:p>
    <w:p w14:paraId="24543F6B" w14:textId="77777777" w:rsidR="00042AD5" w:rsidRPr="00042AD5" w:rsidRDefault="00042AD5" w:rsidP="00042AD5">
      <w:pPr>
        <w:pStyle w:val="Bibliografa"/>
      </w:pPr>
      <w:r w:rsidRPr="00042AD5">
        <w:t xml:space="preserve">21. </w:t>
      </w:r>
      <w:r w:rsidRPr="00042AD5">
        <w:tab/>
        <w:t xml:space="preserve">Wang, H.; Paulo, K.J.I. d’Abreu de; Gültzow, T.; Zimmermann, H.M.L.; Jonas, K.J. Monkeypox Self-Diagnosis Abilities, Determinants of Vaccination and Self-Isolation Intention after Diagnosis among MSM, the Netherlands, July 2022. </w:t>
      </w:r>
      <w:r w:rsidRPr="00042AD5">
        <w:rPr>
          <w:i/>
          <w:iCs/>
        </w:rPr>
        <w:t>Eurosurveillance</w:t>
      </w:r>
      <w:r w:rsidRPr="00042AD5">
        <w:t xml:space="preserve"> </w:t>
      </w:r>
      <w:r w:rsidRPr="00042AD5">
        <w:rPr>
          <w:b/>
          <w:bCs/>
        </w:rPr>
        <w:t>2022</w:t>
      </w:r>
      <w:r w:rsidRPr="00042AD5">
        <w:t xml:space="preserve">, </w:t>
      </w:r>
      <w:r w:rsidRPr="00042AD5">
        <w:rPr>
          <w:i/>
          <w:iCs/>
        </w:rPr>
        <w:t>27</w:t>
      </w:r>
      <w:r w:rsidRPr="00042AD5">
        <w:t>, 2200603, doi:10.2807/1560-7917.ES.2022.27.33.2200603.</w:t>
      </w:r>
    </w:p>
    <w:p w14:paraId="4F11A052" w14:textId="77777777" w:rsidR="00042AD5" w:rsidRPr="00042AD5" w:rsidRDefault="00042AD5" w:rsidP="00042AD5">
      <w:pPr>
        <w:pStyle w:val="Bibliografa"/>
      </w:pPr>
      <w:r w:rsidRPr="00042AD5">
        <w:t xml:space="preserve">22. </w:t>
      </w:r>
      <w:r w:rsidRPr="00042AD5">
        <w:tab/>
        <w:t xml:space="preserve">Salim, N.A.; Septadina, I.S.; Permata, M.; Hudari, H. KNOWLEDGE, ATTITUDE, AND PERCEPTION OF ANTICIPATING 2022 GLOBAL HUMAN MONKEYPOX INFECTION AMONG INTERNAL MEDICINE RESIDENTS AT PALEMBANG INDONESIA: AN ONLINE SURVEY. </w:t>
      </w:r>
      <w:r w:rsidRPr="00042AD5">
        <w:rPr>
          <w:i/>
          <w:iCs/>
        </w:rPr>
        <w:t>J. Kedokt. Dan Kesehat. Publ. Ilm. Fak. Kedokt. Univ. Sriwij.</w:t>
      </w:r>
      <w:r w:rsidRPr="00042AD5">
        <w:t xml:space="preserve"> </w:t>
      </w:r>
      <w:r w:rsidRPr="00042AD5">
        <w:rPr>
          <w:b/>
          <w:bCs/>
        </w:rPr>
        <w:t>2022</w:t>
      </w:r>
      <w:r w:rsidRPr="00042AD5">
        <w:t xml:space="preserve">, </w:t>
      </w:r>
      <w:r w:rsidRPr="00042AD5">
        <w:rPr>
          <w:i/>
          <w:iCs/>
        </w:rPr>
        <w:t>9</w:t>
      </w:r>
      <w:r w:rsidRPr="00042AD5">
        <w:t>, 253–262, doi:10.32539/JKK.V9I3.18799.</w:t>
      </w:r>
    </w:p>
    <w:p w14:paraId="72404952" w14:textId="77777777" w:rsidR="00042AD5" w:rsidRPr="00042AD5" w:rsidRDefault="00042AD5" w:rsidP="00042AD5">
      <w:pPr>
        <w:pStyle w:val="Bibliografa"/>
      </w:pPr>
      <w:r w:rsidRPr="00042AD5">
        <w:t xml:space="preserve">23. </w:t>
      </w:r>
      <w:r w:rsidRPr="00042AD5">
        <w:tab/>
        <w:t xml:space="preserve">Riccò, M.; Ferraro, P.; Camisa, V.; Satta, E.; Zaniboni, A.; Ranzieri, S.; Baldassarre, A.; Zaffina, S.; Marchesi, F. When a Neglected Tropical Disease Goes Global: Knowledge, Attitudes and Practices of Italian Physicians towards Monkeypox, Preliminary Results. </w:t>
      </w:r>
      <w:r w:rsidRPr="00042AD5">
        <w:rPr>
          <w:i/>
          <w:iCs/>
        </w:rPr>
        <w:t>Trop. Med. Infect. Dis.</w:t>
      </w:r>
      <w:r w:rsidRPr="00042AD5">
        <w:t xml:space="preserve"> </w:t>
      </w:r>
      <w:r w:rsidRPr="00042AD5">
        <w:rPr>
          <w:b/>
          <w:bCs/>
        </w:rPr>
        <w:t>2022</w:t>
      </w:r>
      <w:r w:rsidRPr="00042AD5">
        <w:t xml:space="preserve">, </w:t>
      </w:r>
      <w:r w:rsidRPr="00042AD5">
        <w:rPr>
          <w:i/>
          <w:iCs/>
        </w:rPr>
        <w:t>7</w:t>
      </w:r>
      <w:r w:rsidRPr="00042AD5">
        <w:t>, 135, doi:10.3390/tropicalmed7070135.</w:t>
      </w:r>
    </w:p>
    <w:p w14:paraId="2749BF55" w14:textId="77777777" w:rsidR="00042AD5" w:rsidRPr="00042AD5" w:rsidRDefault="00042AD5" w:rsidP="00042AD5">
      <w:pPr>
        <w:pStyle w:val="Bibliografa"/>
      </w:pPr>
      <w:r w:rsidRPr="00042AD5">
        <w:t xml:space="preserve">24. </w:t>
      </w:r>
      <w:r w:rsidRPr="00042AD5">
        <w:tab/>
        <w:t xml:space="preserve">Meo, S.A.; Al-Khlaiwi, T.; Aljofan, Z.F.; Alanazi, A.I.; Meo, A.S. Public Perceptions of the Emerging Human Monkeypox Disease and Vaccination in Riyadh, Saudi Arabia: A Cross-Sectional Study. </w:t>
      </w:r>
      <w:r w:rsidRPr="00042AD5">
        <w:rPr>
          <w:i/>
          <w:iCs/>
        </w:rPr>
        <w:t>Vaccines</w:t>
      </w:r>
      <w:r w:rsidRPr="00042AD5">
        <w:t xml:space="preserve"> </w:t>
      </w:r>
      <w:r w:rsidRPr="00042AD5">
        <w:rPr>
          <w:b/>
          <w:bCs/>
        </w:rPr>
        <w:t>2022</w:t>
      </w:r>
      <w:r w:rsidRPr="00042AD5">
        <w:t xml:space="preserve">, </w:t>
      </w:r>
      <w:r w:rsidRPr="00042AD5">
        <w:rPr>
          <w:i/>
          <w:iCs/>
        </w:rPr>
        <w:t>10</w:t>
      </w:r>
      <w:r w:rsidRPr="00042AD5">
        <w:t>, 1534, doi:10.3390/vaccines10091534.</w:t>
      </w:r>
    </w:p>
    <w:p w14:paraId="533DF320" w14:textId="77777777" w:rsidR="00042AD5" w:rsidRPr="00042AD5" w:rsidRDefault="00042AD5" w:rsidP="00042AD5">
      <w:pPr>
        <w:pStyle w:val="Bibliografa"/>
      </w:pPr>
      <w:r w:rsidRPr="00042AD5">
        <w:t xml:space="preserve">25. </w:t>
      </w:r>
      <w:r w:rsidRPr="00042AD5">
        <w:tab/>
        <w:t>Temsah, M.-H.; Aljamaan, F.; Alenezi, S.; Alhasan, K.; Saddik, B.; Al-Barag, A.; Alhaboob, A.; Bahabri, N.; Alshahrani, F.; Alrabiaah, A.; et al. Monkeypox Caused Less Worry than COVID-</w:t>
      </w:r>
      <w:r w:rsidRPr="00042AD5">
        <w:lastRenderedPageBreak/>
        <w:t xml:space="preserve">19 among the General Population during the First Month of the WHO Monkeypox Alert: Experience from Saudi Arabia. </w:t>
      </w:r>
      <w:r w:rsidRPr="00042AD5">
        <w:rPr>
          <w:i/>
          <w:iCs/>
        </w:rPr>
        <w:t>Travel Med. Infect. Dis.</w:t>
      </w:r>
      <w:r w:rsidRPr="00042AD5">
        <w:t xml:space="preserve"> </w:t>
      </w:r>
      <w:r w:rsidRPr="00042AD5">
        <w:rPr>
          <w:b/>
          <w:bCs/>
        </w:rPr>
        <w:t>2022</w:t>
      </w:r>
      <w:r w:rsidRPr="00042AD5">
        <w:t xml:space="preserve">, </w:t>
      </w:r>
      <w:r w:rsidRPr="00042AD5">
        <w:rPr>
          <w:i/>
          <w:iCs/>
        </w:rPr>
        <w:t>49</w:t>
      </w:r>
      <w:r w:rsidRPr="00042AD5">
        <w:t>, 102426, doi:10.1016/j.tmaid.2022.102426.</w:t>
      </w:r>
    </w:p>
    <w:p w14:paraId="0AA4E4E6" w14:textId="77777777" w:rsidR="00042AD5" w:rsidRPr="00042AD5" w:rsidRDefault="00042AD5" w:rsidP="00042AD5">
      <w:pPr>
        <w:pStyle w:val="Bibliografa"/>
      </w:pPr>
      <w:r w:rsidRPr="00042AD5">
        <w:t xml:space="preserve">26. </w:t>
      </w:r>
      <w:r w:rsidRPr="00042AD5">
        <w:tab/>
        <w:t xml:space="preserve">Kumar, N.; Ahmed, F.; Raza, M.S.; Rajpoot, P.L.; Rehman, W.; Khatri, S.A.; Mohammed, M.; Muhammad, S.; Ahmad, R. Monkeypox Cross-Sectional Survey of Knowledge, Attitudes, Practices, and Willingness to Vaccinate among University Students in Pakistan. </w:t>
      </w:r>
      <w:r w:rsidRPr="00042AD5">
        <w:rPr>
          <w:i/>
          <w:iCs/>
        </w:rPr>
        <w:t>Vaccines</w:t>
      </w:r>
      <w:r w:rsidRPr="00042AD5">
        <w:t xml:space="preserve"> </w:t>
      </w:r>
      <w:r w:rsidRPr="00042AD5">
        <w:rPr>
          <w:b/>
          <w:bCs/>
        </w:rPr>
        <w:t>2022</w:t>
      </w:r>
      <w:r w:rsidRPr="00042AD5">
        <w:t xml:space="preserve">, </w:t>
      </w:r>
      <w:r w:rsidRPr="00042AD5">
        <w:rPr>
          <w:i/>
          <w:iCs/>
        </w:rPr>
        <w:t>11</w:t>
      </w:r>
      <w:r w:rsidRPr="00042AD5">
        <w:t>, 97, doi:10.3390/vaccines11010097.</w:t>
      </w:r>
    </w:p>
    <w:p w14:paraId="72EE0FF6" w14:textId="77777777" w:rsidR="00042AD5" w:rsidRPr="00042AD5" w:rsidRDefault="00042AD5" w:rsidP="00042AD5">
      <w:pPr>
        <w:pStyle w:val="Bibliografa"/>
      </w:pPr>
      <w:r w:rsidRPr="00042AD5">
        <w:t xml:space="preserve">27. </w:t>
      </w:r>
      <w:r w:rsidRPr="00042AD5">
        <w:tab/>
        <w:t xml:space="preserve">Lin, G.S.S.; Tan, W.W.; Chan, D.Z.K.; Ooi, K.S.; Hashim, H. Monkeypox Awareness, Knowledge, and Attitude among Undergraduate Preclinical and Clinical Students at a Malaysian Dental School: An Emerging Outbreak during the COVID-19 Era. </w:t>
      </w:r>
      <w:r w:rsidRPr="00042AD5">
        <w:rPr>
          <w:i/>
          <w:iCs/>
        </w:rPr>
        <w:t>Asian Pac. J. Trop. Med.</w:t>
      </w:r>
      <w:r w:rsidRPr="00042AD5">
        <w:t xml:space="preserve"> </w:t>
      </w:r>
      <w:r w:rsidRPr="00042AD5">
        <w:rPr>
          <w:b/>
          <w:bCs/>
        </w:rPr>
        <w:t>2022</w:t>
      </w:r>
      <w:r w:rsidRPr="00042AD5">
        <w:t xml:space="preserve">, </w:t>
      </w:r>
      <w:r w:rsidRPr="00042AD5">
        <w:rPr>
          <w:i/>
          <w:iCs/>
        </w:rPr>
        <w:t>15</w:t>
      </w:r>
      <w:r w:rsidRPr="00042AD5">
        <w:t>, 461, doi:10.4103/1995-7645.359787.</w:t>
      </w:r>
    </w:p>
    <w:p w14:paraId="31E74A5A" w14:textId="77777777" w:rsidR="00042AD5" w:rsidRPr="00042AD5" w:rsidRDefault="00042AD5" w:rsidP="00042AD5">
      <w:pPr>
        <w:pStyle w:val="Bibliografa"/>
      </w:pPr>
      <w:r w:rsidRPr="00042AD5">
        <w:t xml:space="preserve">28. </w:t>
      </w:r>
      <w:r w:rsidRPr="00042AD5">
        <w:tab/>
        <w:t xml:space="preserve">Winters, M.; Malik, A.A.; Omer, S.B. Attitudes towards Monkeypox Vaccination and Predictors of Vaccination Intentions among the US General Public. </w:t>
      </w:r>
      <w:r w:rsidRPr="00042AD5">
        <w:rPr>
          <w:i/>
          <w:iCs/>
        </w:rPr>
        <w:t>PloS One</w:t>
      </w:r>
      <w:r w:rsidRPr="00042AD5">
        <w:t xml:space="preserve"> </w:t>
      </w:r>
      <w:r w:rsidRPr="00042AD5">
        <w:rPr>
          <w:b/>
          <w:bCs/>
        </w:rPr>
        <w:t>2022</w:t>
      </w:r>
      <w:r w:rsidRPr="00042AD5">
        <w:t xml:space="preserve">, </w:t>
      </w:r>
      <w:r w:rsidRPr="00042AD5">
        <w:rPr>
          <w:i/>
          <w:iCs/>
        </w:rPr>
        <w:t>17</w:t>
      </w:r>
      <w:r w:rsidRPr="00042AD5">
        <w:t>, e0278622, doi:10.1371/journal.pone.0278622.</w:t>
      </w:r>
    </w:p>
    <w:p w14:paraId="111C2D73" w14:textId="77777777" w:rsidR="00042AD5" w:rsidRPr="00042AD5" w:rsidRDefault="00042AD5" w:rsidP="00042AD5">
      <w:pPr>
        <w:pStyle w:val="Bibliografa"/>
      </w:pPr>
      <w:r w:rsidRPr="00042AD5">
        <w:t xml:space="preserve">29. </w:t>
      </w:r>
      <w:r w:rsidRPr="00042AD5">
        <w:tab/>
        <w:t xml:space="preserve">Harapan, H.; Setiawan, A.M.; Yufika, A.; Anwar, S.; Wahyuni, S.; Asrizal, F.W.; Sufri, M.R.; Putra, R.P.; Wijayanti, N.P.; Salwiyadi, S.; et al. Physicians’ Willingness to Be Vaccinated with a Smallpox Vaccine to Prevent Monkeypox Viral Infection: A Cross-Sectional Study in Indonesia. </w:t>
      </w:r>
      <w:r w:rsidRPr="00042AD5">
        <w:rPr>
          <w:i/>
          <w:iCs/>
        </w:rPr>
        <w:t>Clin. Epidemiol. Glob. Health</w:t>
      </w:r>
      <w:r w:rsidRPr="00042AD5">
        <w:t xml:space="preserve"> </w:t>
      </w:r>
      <w:r w:rsidRPr="00042AD5">
        <w:rPr>
          <w:b/>
          <w:bCs/>
        </w:rPr>
        <w:t>2020</w:t>
      </w:r>
      <w:r w:rsidRPr="00042AD5">
        <w:t xml:space="preserve">, </w:t>
      </w:r>
      <w:r w:rsidRPr="00042AD5">
        <w:rPr>
          <w:i/>
          <w:iCs/>
        </w:rPr>
        <w:t>8</w:t>
      </w:r>
      <w:r w:rsidRPr="00042AD5">
        <w:t>, 1259–1263, doi:10.1016/j.cegh.2020.04.024.</w:t>
      </w:r>
    </w:p>
    <w:p w14:paraId="237F043D" w14:textId="353BDDA0" w:rsidR="00994880" w:rsidRPr="00994880" w:rsidRDefault="00994880" w:rsidP="00994880">
      <w:pPr>
        <w:pStyle w:val="MDPI63Notes"/>
        <w:spacing w:line="240" w:lineRule="auto"/>
        <w:rPr>
          <w:rFonts w:ascii="Times New Roman" w:hAnsi="Times New Roman"/>
          <w:sz w:val="24"/>
          <w:szCs w:val="24"/>
        </w:rPr>
      </w:pPr>
      <w:r>
        <w:rPr>
          <w:rFonts w:ascii="Times New Roman" w:hAnsi="Times New Roman"/>
          <w:sz w:val="24"/>
          <w:szCs w:val="24"/>
        </w:rPr>
        <w:fldChar w:fldCharType="end"/>
      </w:r>
    </w:p>
    <w:sectPr w:rsidR="00994880" w:rsidRPr="00994880" w:rsidSect="00613085">
      <w:pgSz w:w="11906" w:h="16838" w:code="9"/>
      <w:pgMar w:top="1417" w:right="1701" w:bottom="1418" w:left="1701" w:header="1020" w:footer="340" w:gutter="0"/>
      <w:pgNumType w:start="1"/>
      <w:cols w:space="425"/>
      <w:titlePg/>
      <w:bidi/>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775B8" w14:textId="77777777" w:rsidR="001E5E8C" w:rsidRDefault="001E5E8C">
      <w:pPr>
        <w:spacing w:line="240" w:lineRule="auto"/>
      </w:pPr>
      <w:r>
        <w:separator/>
      </w:r>
    </w:p>
  </w:endnote>
  <w:endnote w:type="continuationSeparator" w:id="0">
    <w:p w14:paraId="4ECE6473" w14:textId="77777777" w:rsidR="001E5E8C" w:rsidRDefault="001E5E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DejaVu Sans">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E6F20" w14:textId="77777777" w:rsidR="00E90986" w:rsidRPr="00590BF9" w:rsidRDefault="00E90986" w:rsidP="00E90986">
    <w:pPr>
      <w:pStyle w:val="Piedepgina"/>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B9161" w14:textId="59D6F50B" w:rsidR="00E90986" w:rsidRPr="008B308E" w:rsidRDefault="00E90986" w:rsidP="00B200C8">
    <w:pPr>
      <w:pStyle w:val="MDPIfooterfirstpage"/>
      <w:tabs>
        <w:tab w:val="clear" w:pos="8845"/>
        <w:tab w:val="right" w:pos="10466"/>
      </w:tabs>
      <w:spacing w:line="240" w:lineRule="auto"/>
      <w:jc w:val="both"/>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56109" w14:textId="77777777" w:rsidR="001E5E8C" w:rsidRDefault="001E5E8C">
      <w:pPr>
        <w:spacing w:line="240" w:lineRule="auto"/>
      </w:pPr>
      <w:r>
        <w:separator/>
      </w:r>
    </w:p>
  </w:footnote>
  <w:footnote w:type="continuationSeparator" w:id="0">
    <w:p w14:paraId="72455ACF" w14:textId="77777777" w:rsidR="001E5E8C" w:rsidRDefault="001E5E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83BBC" w14:textId="77777777" w:rsidR="00E90986" w:rsidRDefault="00E90986" w:rsidP="00E90986">
    <w:pPr>
      <w:pStyle w:val="Encabezado"/>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B12E6D"/>
    <w:multiLevelType w:val="hybridMultilevel"/>
    <w:tmpl w:val="89DE7AB4"/>
    <w:lvl w:ilvl="0" w:tplc="F270330A">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468F5"/>
    <w:multiLevelType w:val="hybridMultilevel"/>
    <w:tmpl w:val="E4EA68C0"/>
    <w:lvl w:ilvl="0" w:tplc="76342416">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3"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5"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EB46A9"/>
    <w:multiLevelType w:val="hybridMultilevel"/>
    <w:tmpl w:val="0F36FAF2"/>
    <w:lvl w:ilvl="0" w:tplc="278A6020">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7"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8"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3C440C7"/>
    <w:multiLevelType w:val="hybridMultilevel"/>
    <w:tmpl w:val="77241A6A"/>
    <w:lvl w:ilvl="0" w:tplc="D92C0296">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1" w15:restartNumberingAfterBreak="0">
    <w:nsid w:val="589478C6"/>
    <w:multiLevelType w:val="hybridMultilevel"/>
    <w:tmpl w:val="77DE21FC"/>
    <w:lvl w:ilvl="0" w:tplc="036EFC60">
      <w:numFmt w:val="bullet"/>
      <w:lvlText w:val="-"/>
      <w:lvlJc w:val="left"/>
      <w:pPr>
        <w:ind w:left="644" w:hanging="360"/>
      </w:pPr>
      <w:rPr>
        <w:rFonts w:ascii="Arial" w:eastAsiaTheme="minorHAnsi" w:hAnsi="Arial" w:cs="Arial" w:hint="default"/>
      </w:rPr>
    </w:lvl>
    <w:lvl w:ilvl="1" w:tplc="280A0003" w:tentative="1">
      <w:start w:val="1"/>
      <w:numFmt w:val="bullet"/>
      <w:lvlText w:val="o"/>
      <w:lvlJc w:val="left"/>
      <w:pPr>
        <w:ind w:left="1364" w:hanging="360"/>
      </w:pPr>
      <w:rPr>
        <w:rFonts w:ascii="Courier New" w:hAnsi="Courier New" w:cs="Courier New" w:hint="default"/>
      </w:rPr>
    </w:lvl>
    <w:lvl w:ilvl="2" w:tplc="280A0005" w:tentative="1">
      <w:start w:val="1"/>
      <w:numFmt w:val="bullet"/>
      <w:lvlText w:val=""/>
      <w:lvlJc w:val="left"/>
      <w:pPr>
        <w:ind w:left="2084" w:hanging="360"/>
      </w:pPr>
      <w:rPr>
        <w:rFonts w:ascii="Wingdings" w:hAnsi="Wingdings" w:hint="default"/>
      </w:rPr>
    </w:lvl>
    <w:lvl w:ilvl="3" w:tplc="280A0001" w:tentative="1">
      <w:start w:val="1"/>
      <w:numFmt w:val="bullet"/>
      <w:lvlText w:val=""/>
      <w:lvlJc w:val="left"/>
      <w:pPr>
        <w:ind w:left="2804" w:hanging="360"/>
      </w:pPr>
      <w:rPr>
        <w:rFonts w:ascii="Symbol" w:hAnsi="Symbol" w:hint="default"/>
      </w:rPr>
    </w:lvl>
    <w:lvl w:ilvl="4" w:tplc="280A0003" w:tentative="1">
      <w:start w:val="1"/>
      <w:numFmt w:val="bullet"/>
      <w:lvlText w:val="o"/>
      <w:lvlJc w:val="left"/>
      <w:pPr>
        <w:ind w:left="3524" w:hanging="360"/>
      </w:pPr>
      <w:rPr>
        <w:rFonts w:ascii="Courier New" w:hAnsi="Courier New" w:cs="Courier New" w:hint="default"/>
      </w:rPr>
    </w:lvl>
    <w:lvl w:ilvl="5" w:tplc="280A0005" w:tentative="1">
      <w:start w:val="1"/>
      <w:numFmt w:val="bullet"/>
      <w:lvlText w:val=""/>
      <w:lvlJc w:val="left"/>
      <w:pPr>
        <w:ind w:left="4244" w:hanging="360"/>
      </w:pPr>
      <w:rPr>
        <w:rFonts w:ascii="Wingdings" w:hAnsi="Wingdings" w:hint="default"/>
      </w:rPr>
    </w:lvl>
    <w:lvl w:ilvl="6" w:tplc="280A0001" w:tentative="1">
      <w:start w:val="1"/>
      <w:numFmt w:val="bullet"/>
      <w:lvlText w:val=""/>
      <w:lvlJc w:val="left"/>
      <w:pPr>
        <w:ind w:left="4964" w:hanging="360"/>
      </w:pPr>
      <w:rPr>
        <w:rFonts w:ascii="Symbol" w:hAnsi="Symbol" w:hint="default"/>
      </w:rPr>
    </w:lvl>
    <w:lvl w:ilvl="7" w:tplc="280A0003" w:tentative="1">
      <w:start w:val="1"/>
      <w:numFmt w:val="bullet"/>
      <w:lvlText w:val="o"/>
      <w:lvlJc w:val="left"/>
      <w:pPr>
        <w:ind w:left="5684" w:hanging="360"/>
      </w:pPr>
      <w:rPr>
        <w:rFonts w:ascii="Courier New" w:hAnsi="Courier New" w:cs="Courier New" w:hint="default"/>
      </w:rPr>
    </w:lvl>
    <w:lvl w:ilvl="8" w:tplc="280A0005" w:tentative="1">
      <w:start w:val="1"/>
      <w:numFmt w:val="bullet"/>
      <w:lvlText w:val=""/>
      <w:lvlJc w:val="left"/>
      <w:pPr>
        <w:ind w:left="6404" w:hanging="360"/>
      </w:pPr>
      <w:rPr>
        <w:rFonts w:ascii="Wingdings" w:hAnsi="Wingdings" w:hint="default"/>
      </w:rPr>
    </w:lvl>
  </w:abstractNum>
  <w:abstractNum w:abstractNumId="12"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7AD6B26"/>
    <w:multiLevelType w:val="hybridMultilevel"/>
    <w:tmpl w:val="CA128E84"/>
    <w:lvl w:ilvl="0" w:tplc="369C5648">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983120896">
    <w:abstractNumId w:val="4"/>
  </w:num>
  <w:num w:numId="2" w16cid:durableId="613487806">
    <w:abstractNumId w:val="7"/>
  </w:num>
  <w:num w:numId="3" w16cid:durableId="717976663">
    <w:abstractNumId w:val="3"/>
  </w:num>
  <w:num w:numId="4" w16cid:durableId="11880601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42228884">
    <w:abstractNumId w:val="5"/>
  </w:num>
  <w:num w:numId="6" w16cid:durableId="1269005301">
    <w:abstractNumId w:val="10"/>
  </w:num>
  <w:num w:numId="7" w16cid:durableId="2044624447">
    <w:abstractNumId w:val="2"/>
  </w:num>
  <w:num w:numId="8" w16cid:durableId="1990329370">
    <w:abstractNumId w:val="10"/>
  </w:num>
  <w:num w:numId="9" w16cid:durableId="1819879645">
    <w:abstractNumId w:val="2"/>
  </w:num>
  <w:num w:numId="10" w16cid:durableId="1526478403">
    <w:abstractNumId w:val="10"/>
  </w:num>
  <w:num w:numId="11" w16cid:durableId="1114012711">
    <w:abstractNumId w:val="2"/>
  </w:num>
  <w:num w:numId="12" w16cid:durableId="464003878">
    <w:abstractNumId w:val="12"/>
  </w:num>
  <w:num w:numId="13" w16cid:durableId="438068372">
    <w:abstractNumId w:val="10"/>
  </w:num>
  <w:num w:numId="14" w16cid:durableId="256520048">
    <w:abstractNumId w:val="2"/>
  </w:num>
  <w:num w:numId="15" w16cid:durableId="462769856">
    <w:abstractNumId w:val="1"/>
  </w:num>
  <w:num w:numId="16" w16cid:durableId="33505890">
    <w:abstractNumId w:val="8"/>
  </w:num>
  <w:num w:numId="17" w16cid:durableId="951323575">
    <w:abstractNumId w:val="0"/>
  </w:num>
  <w:num w:numId="18" w16cid:durableId="2008945808">
    <w:abstractNumId w:val="10"/>
  </w:num>
  <w:num w:numId="19" w16cid:durableId="538785186">
    <w:abstractNumId w:val="2"/>
  </w:num>
  <w:num w:numId="20" w16cid:durableId="1500541001">
    <w:abstractNumId w:val="1"/>
  </w:num>
  <w:num w:numId="21" w16cid:durableId="385958424">
    <w:abstractNumId w:val="9"/>
  </w:num>
  <w:num w:numId="22" w16cid:durableId="1853564132">
    <w:abstractNumId w:val="6"/>
  </w:num>
  <w:num w:numId="23" w16cid:durableId="1902789581">
    <w:abstractNumId w:val="0"/>
  </w:num>
  <w:num w:numId="24" w16cid:durableId="1999848145">
    <w:abstractNumId w:val="11"/>
  </w:num>
  <w:num w:numId="25" w16cid:durableId="84262178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hyphenationZone w:val="425"/>
  <w:drawingGridHorizontalSpacing w:val="10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C3A"/>
    <w:rsid w:val="0000202A"/>
    <w:rsid w:val="00002064"/>
    <w:rsid w:val="0000266A"/>
    <w:rsid w:val="00002B37"/>
    <w:rsid w:val="00002C5A"/>
    <w:rsid w:val="00004D98"/>
    <w:rsid w:val="000104A3"/>
    <w:rsid w:val="000106C4"/>
    <w:rsid w:val="00010B9B"/>
    <w:rsid w:val="00012BED"/>
    <w:rsid w:val="00022923"/>
    <w:rsid w:val="0002554A"/>
    <w:rsid w:val="00025861"/>
    <w:rsid w:val="0003183D"/>
    <w:rsid w:val="00033CAE"/>
    <w:rsid w:val="0003567E"/>
    <w:rsid w:val="00037BEA"/>
    <w:rsid w:val="00041937"/>
    <w:rsid w:val="00042049"/>
    <w:rsid w:val="00042AD5"/>
    <w:rsid w:val="00042C6B"/>
    <w:rsid w:val="0004433D"/>
    <w:rsid w:val="0004465B"/>
    <w:rsid w:val="000469FC"/>
    <w:rsid w:val="00047C14"/>
    <w:rsid w:val="00050735"/>
    <w:rsid w:val="00052072"/>
    <w:rsid w:val="00053A67"/>
    <w:rsid w:val="000550A9"/>
    <w:rsid w:val="00056D61"/>
    <w:rsid w:val="0006068F"/>
    <w:rsid w:val="00062D64"/>
    <w:rsid w:val="00062E50"/>
    <w:rsid w:val="000631FF"/>
    <w:rsid w:val="00063BA4"/>
    <w:rsid w:val="0006442A"/>
    <w:rsid w:val="000650EA"/>
    <w:rsid w:val="00070BC3"/>
    <w:rsid w:val="0007286E"/>
    <w:rsid w:val="000729C1"/>
    <w:rsid w:val="00072F70"/>
    <w:rsid w:val="0007477F"/>
    <w:rsid w:val="0007489C"/>
    <w:rsid w:val="00075264"/>
    <w:rsid w:val="0007580C"/>
    <w:rsid w:val="00075E0A"/>
    <w:rsid w:val="00076648"/>
    <w:rsid w:val="00077506"/>
    <w:rsid w:val="000778F0"/>
    <w:rsid w:val="0008021B"/>
    <w:rsid w:val="00080693"/>
    <w:rsid w:val="00080A20"/>
    <w:rsid w:val="00084141"/>
    <w:rsid w:val="0008598A"/>
    <w:rsid w:val="00085AA7"/>
    <w:rsid w:val="00086C21"/>
    <w:rsid w:val="0009193E"/>
    <w:rsid w:val="000930DF"/>
    <w:rsid w:val="000946E3"/>
    <w:rsid w:val="000953F3"/>
    <w:rsid w:val="000A0093"/>
    <w:rsid w:val="000A02B5"/>
    <w:rsid w:val="000A04F4"/>
    <w:rsid w:val="000A4071"/>
    <w:rsid w:val="000A5B3A"/>
    <w:rsid w:val="000A689E"/>
    <w:rsid w:val="000B6369"/>
    <w:rsid w:val="000C1E3C"/>
    <w:rsid w:val="000C34D0"/>
    <w:rsid w:val="000C3B7B"/>
    <w:rsid w:val="000C3D95"/>
    <w:rsid w:val="000C46A4"/>
    <w:rsid w:val="000C54B9"/>
    <w:rsid w:val="000C66A4"/>
    <w:rsid w:val="000C77E0"/>
    <w:rsid w:val="000C79F4"/>
    <w:rsid w:val="000D2039"/>
    <w:rsid w:val="000D3E83"/>
    <w:rsid w:val="000D45A8"/>
    <w:rsid w:val="000D4CAC"/>
    <w:rsid w:val="000D6422"/>
    <w:rsid w:val="000E5DFC"/>
    <w:rsid w:val="000F291B"/>
    <w:rsid w:val="00102164"/>
    <w:rsid w:val="001031FF"/>
    <w:rsid w:val="001035B5"/>
    <w:rsid w:val="001059AA"/>
    <w:rsid w:val="00113504"/>
    <w:rsid w:val="00113A18"/>
    <w:rsid w:val="00114006"/>
    <w:rsid w:val="00114401"/>
    <w:rsid w:val="0011698A"/>
    <w:rsid w:val="0012068C"/>
    <w:rsid w:val="00121956"/>
    <w:rsid w:val="001228BC"/>
    <w:rsid w:val="00123558"/>
    <w:rsid w:val="00125279"/>
    <w:rsid w:val="00125C4B"/>
    <w:rsid w:val="00125D79"/>
    <w:rsid w:val="00127ED1"/>
    <w:rsid w:val="00132D07"/>
    <w:rsid w:val="001338EF"/>
    <w:rsid w:val="00133F29"/>
    <w:rsid w:val="00136E7B"/>
    <w:rsid w:val="00137C46"/>
    <w:rsid w:val="001402BF"/>
    <w:rsid w:val="001437B6"/>
    <w:rsid w:val="001442D5"/>
    <w:rsid w:val="00144932"/>
    <w:rsid w:val="00144A8E"/>
    <w:rsid w:val="00146DDF"/>
    <w:rsid w:val="00150C92"/>
    <w:rsid w:val="00151613"/>
    <w:rsid w:val="0015187A"/>
    <w:rsid w:val="00155189"/>
    <w:rsid w:val="00155875"/>
    <w:rsid w:val="00162008"/>
    <w:rsid w:val="00163A94"/>
    <w:rsid w:val="00165C48"/>
    <w:rsid w:val="0016616A"/>
    <w:rsid w:val="00171658"/>
    <w:rsid w:val="0017165E"/>
    <w:rsid w:val="00171AA9"/>
    <w:rsid w:val="00173016"/>
    <w:rsid w:val="00175AD9"/>
    <w:rsid w:val="001765F2"/>
    <w:rsid w:val="00177995"/>
    <w:rsid w:val="00182526"/>
    <w:rsid w:val="00183AB8"/>
    <w:rsid w:val="00184D45"/>
    <w:rsid w:val="00185AD8"/>
    <w:rsid w:val="00186C1A"/>
    <w:rsid w:val="00187A46"/>
    <w:rsid w:val="001904C4"/>
    <w:rsid w:val="00190CBE"/>
    <w:rsid w:val="001933CC"/>
    <w:rsid w:val="00194C32"/>
    <w:rsid w:val="001957FA"/>
    <w:rsid w:val="00197B95"/>
    <w:rsid w:val="001A16B7"/>
    <w:rsid w:val="001A24D2"/>
    <w:rsid w:val="001A465A"/>
    <w:rsid w:val="001A5520"/>
    <w:rsid w:val="001A5766"/>
    <w:rsid w:val="001A5A7B"/>
    <w:rsid w:val="001A5EDD"/>
    <w:rsid w:val="001A7CF7"/>
    <w:rsid w:val="001B0864"/>
    <w:rsid w:val="001B1B94"/>
    <w:rsid w:val="001B4743"/>
    <w:rsid w:val="001B50BA"/>
    <w:rsid w:val="001B63AB"/>
    <w:rsid w:val="001C14E5"/>
    <w:rsid w:val="001C3A2B"/>
    <w:rsid w:val="001C56D4"/>
    <w:rsid w:val="001D0686"/>
    <w:rsid w:val="001D19AC"/>
    <w:rsid w:val="001D297D"/>
    <w:rsid w:val="001D2D33"/>
    <w:rsid w:val="001D41F9"/>
    <w:rsid w:val="001D4670"/>
    <w:rsid w:val="001D4D27"/>
    <w:rsid w:val="001D54BC"/>
    <w:rsid w:val="001D67CF"/>
    <w:rsid w:val="001E0C33"/>
    <w:rsid w:val="001E14DE"/>
    <w:rsid w:val="001E188B"/>
    <w:rsid w:val="001E297A"/>
    <w:rsid w:val="001E2AEB"/>
    <w:rsid w:val="001E3E10"/>
    <w:rsid w:val="001E4109"/>
    <w:rsid w:val="001E50EA"/>
    <w:rsid w:val="001E518A"/>
    <w:rsid w:val="001E5538"/>
    <w:rsid w:val="001E5609"/>
    <w:rsid w:val="001E5E8C"/>
    <w:rsid w:val="001E6CB1"/>
    <w:rsid w:val="001F0C32"/>
    <w:rsid w:val="001F1266"/>
    <w:rsid w:val="001F3A12"/>
    <w:rsid w:val="001F4302"/>
    <w:rsid w:val="001F48C4"/>
    <w:rsid w:val="001F53CA"/>
    <w:rsid w:val="001F6C94"/>
    <w:rsid w:val="001F6D18"/>
    <w:rsid w:val="002019E5"/>
    <w:rsid w:val="0020566A"/>
    <w:rsid w:val="00205AC7"/>
    <w:rsid w:val="0020625A"/>
    <w:rsid w:val="00207800"/>
    <w:rsid w:val="00207818"/>
    <w:rsid w:val="00213BE7"/>
    <w:rsid w:val="00213DFE"/>
    <w:rsid w:val="00214A6A"/>
    <w:rsid w:val="00214BBE"/>
    <w:rsid w:val="00215214"/>
    <w:rsid w:val="00215B17"/>
    <w:rsid w:val="0022099E"/>
    <w:rsid w:val="00220D17"/>
    <w:rsid w:val="00223336"/>
    <w:rsid w:val="0022347D"/>
    <w:rsid w:val="002235A6"/>
    <w:rsid w:val="00223C61"/>
    <w:rsid w:val="002351C5"/>
    <w:rsid w:val="00235497"/>
    <w:rsid w:val="00236323"/>
    <w:rsid w:val="0023763D"/>
    <w:rsid w:val="0024193B"/>
    <w:rsid w:val="00242B94"/>
    <w:rsid w:val="002439F9"/>
    <w:rsid w:val="002451AA"/>
    <w:rsid w:val="00247566"/>
    <w:rsid w:val="00247739"/>
    <w:rsid w:val="00247DAA"/>
    <w:rsid w:val="002507CF"/>
    <w:rsid w:val="00251401"/>
    <w:rsid w:val="0025253A"/>
    <w:rsid w:val="00253DE5"/>
    <w:rsid w:val="002546AB"/>
    <w:rsid w:val="0025599D"/>
    <w:rsid w:val="00257BA9"/>
    <w:rsid w:val="00262314"/>
    <w:rsid w:val="00263F02"/>
    <w:rsid w:val="002674D2"/>
    <w:rsid w:val="00271140"/>
    <w:rsid w:val="00271E45"/>
    <w:rsid w:val="00274107"/>
    <w:rsid w:val="00274D90"/>
    <w:rsid w:val="0027519E"/>
    <w:rsid w:val="002778A3"/>
    <w:rsid w:val="002802AC"/>
    <w:rsid w:val="0028197B"/>
    <w:rsid w:val="00284406"/>
    <w:rsid w:val="00284BEB"/>
    <w:rsid w:val="00285438"/>
    <w:rsid w:val="0028607E"/>
    <w:rsid w:val="00287176"/>
    <w:rsid w:val="0028726C"/>
    <w:rsid w:val="00287526"/>
    <w:rsid w:val="002904EA"/>
    <w:rsid w:val="002925D7"/>
    <w:rsid w:val="00292E33"/>
    <w:rsid w:val="00294656"/>
    <w:rsid w:val="0029599F"/>
    <w:rsid w:val="002A0736"/>
    <w:rsid w:val="002A2528"/>
    <w:rsid w:val="002A53BD"/>
    <w:rsid w:val="002B05EE"/>
    <w:rsid w:val="002B0E78"/>
    <w:rsid w:val="002B276E"/>
    <w:rsid w:val="002B3A89"/>
    <w:rsid w:val="002B69DF"/>
    <w:rsid w:val="002B7D7D"/>
    <w:rsid w:val="002C018D"/>
    <w:rsid w:val="002C6D1E"/>
    <w:rsid w:val="002C7A7B"/>
    <w:rsid w:val="002D1293"/>
    <w:rsid w:val="002D18CB"/>
    <w:rsid w:val="002D19AD"/>
    <w:rsid w:val="002D2319"/>
    <w:rsid w:val="002D2B5C"/>
    <w:rsid w:val="002D57A5"/>
    <w:rsid w:val="002D5CEB"/>
    <w:rsid w:val="002E16D3"/>
    <w:rsid w:val="002E3019"/>
    <w:rsid w:val="002E3319"/>
    <w:rsid w:val="002E576D"/>
    <w:rsid w:val="002E590F"/>
    <w:rsid w:val="002E5CEA"/>
    <w:rsid w:val="002F0B92"/>
    <w:rsid w:val="002F3D49"/>
    <w:rsid w:val="002F44A8"/>
    <w:rsid w:val="002F55ED"/>
    <w:rsid w:val="003003CF"/>
    <w:rsid w:val="0030059B"/>
    <w:rsid w:val="00300BFD"/>
    <w:rsid w:val="0030280D"/>
    <w:rsid w:val="00302C67"/>
    <w:rsid w:val="00303D70"/>
    <w:rsid w:val="0030491A"/>
    <w:rsid w:val="00304D43"/>
    <w:rsid w:val="00304DBC"/>
    <w:rsid w:val="0030550C"/>
    <w:rsid w:val="00306807"/>
    <w:rsid w:val="0031064A"/>
    <w:rsid w:val="003108DA"/>
    <w:rsid w:val="0031138B"/>
    <w:rsid w:val="00312AB1"/>
    <w:rsid w:val="00313F35"/>
    <w:rsid w:val="0031462C"/>
    <w:rsid w:val="00315047"/>
    <w:rsid w:val="003151EC"/>
    <w:rsid w:val="00316574"/>
    <w:rsid w:val="00322BD2"/>
    <w:rsid w:val="00325FCF"/>
    <w:rsid w:val="00326141"/>
    <w:rsid w:val="00327685"/>
    <w:rsid w:val="00330048"/>
    <w:rsid w:val="00333601"/>
    <w:rsid w:val="00336092"/>
    <w:rsid w:val="003362C2"/>
    <w:rsid w:val="0034438A"/>
    <w:rsid w:val="00350BD8"/>
    <w:rsid w:val="00350C9E"/>
    <w:rsid w:val="00354E7C"/>
    <w:rsid w:val="003557AC"/>
    <w:rsid w:val="0035597A"/>
    <w:rsid w:val="00360AF1"/>
    <w:rsid w:val="0036349C"/>
    <w:rsid w:val="00364DC6"/>
    <w:rsid w:val="003659A5"/>
    <w:rsid w:val="003663D4"/>
    <w:rsid w:val="00366EF1"/>
    <w:rsid w:val="0037013F"/>
    <w:rsid w:val="00370327"/>
    <w:rsid w:val="003735A1"/>
    <w:rsid w:val="00373748"/>
    <w:rsid w:val="003774F7"/>
    <w:rsid w:val="00380D58"/>
    <w:rsid w:val="003828AE"/>
    <w:rsid w:val="0038292E"/>
    <w:rsid w:val="0038322E"/>
    <w:rsid w:val="003838C3"/>
    <w:rsid w:val="00383B27"/>
    <w:rsid w:val="003875A6"/>
    <w:rsid w:val="0039002C"/>
    <w:rsid w:val="00391FB8"/>
    <w:rsid w:val="003922B3"/>
    <w:rsid w:val="00392CD0"/>
    <w:rsid w:val="00392D86"/>
    <w:rsid w:val="003938DA"/>
    <w:rsid w:val="00395977"/>
    <w:rsid w:val="00395B0C"/>
    <w:rsid w:val="003A3105"/>
    <w:rsid w:val="003A4A06"/>
    <w:rsid w:val="003A5706"/>
    <w:rsid w:val="003A591D"/>
    <w:rsid w:val="003A7E59"/>
    <w:rsid w:val="003B4962"/>
    <w:rsid w:val="003B546C"/>
    <w:rsid w:val="003B6082"/>
    <w:rsid w:val="003C025B"/>
    <w:rsid w:val="003C3E25"/>
    <w:rsid w:val="003C4267"/>
    <w:rsid w:val="003C6223"/>
    <w:rsid w:val="003C7C9E"/>
    <w:rsid w:val="003D0A5A"/>
    <w:rsid w:val="003D145E"/>
    <w:rsid w:val="003D1561"/>
    <w:rsid w:val="003D3CAD"/>
    <w:rsid w:val="003D4935"/>
    <w:rsid w:val="003D5A5B"/>
    <w:rsid w:val="003D686C"/>
    <w:rsid w:val="003D7E10"/>
    <w:rsid w:val="003E0D31"/>
    <w:rsid w:val="003E15DE"/>
    <w:rsid w:val="003E3E34"/>
    <w:rsid w:val="003E4B50"/>
    <w:rsid w:val="003E57C7"/>
    <w:rsid w:val="003E59BD"/>
    <w:rsid w:val="003F5EDD"/>
    <w:rsid w:val="003F6348"/>
    <w:rsid w:val="003F7BB1"/>
    <w:rsid w:val="00400594"/>
    <w:rsid w:val="00401B3A"/>
    <w:rsid w:val="00401D30"/>
    <w:rsid w:val="00404FC7"/>
    <w:rsid w:val="004074A8"/>
    <w:rsid w:val="00407587"/>
    <w:rsid w:val="00407BBF"/>
    <w:rsid w:val="00411CD3"/>
    <w:rsid w:val="00414DE1"/>
    <w:rsid w:val="00415366"/>
    <w:rsid w:val="004176D1"/>
    <w:rsid w:val="00417958"/>
    <w:rsid w:val="00421077"/>
    <w:rsid w:val="004212A0"/>
    <w:rsid w:val="0042369D"/>
    <w:rsid w:val="004260C3"/>
    <w:rsid w:val="0042738E"/>
    <w:rsid w:val="00432918"/>
    <w:rsid w:val="00433F84"/>
    <w:rsid w:val="004344A5"/>
    <w:rsid w:val="00434632"/>
    <w:rsid w:val="0044136B"/>
    <w:rsid w:val="00444223"/>
    <w:rsid w:val="00446A6C"/>
    <w:rsid w:val="00453CC6"/>
    <w:rsid w:val="004541C5"/>
    <w:rsid w:val="0045771B"/>
    <w:rsid w:val="00464219"/>
    <w:rsid w:val="004649FA"/>
    <w:rsid w:val="00464F94"/>
    <w:rsid w:val="0046589A"/>
    <w:rsid w:val="0046726B"/>
    <w:rsid w:val="004710D9"/>
    <w:rsid w:val="004748FD"/>
    <w:rsid w:val="00475BCF"/>
    <w:rsid w:val="004805C0"/>
    <w:rsid w:val="004821B3"/>
    <w:rsid w:val="00483912"/>
    <w:rsid w:val="00484C66"/>
    <w:rsid w:val="0048738A"/>
    <w:rsid w:val="00487EB2"/>
    <w:rsid w:val="00491014"/>
    <w:rsid w:val="00491DEB"/>
    <w:rsid w:val="00495421"/>
    <w:rsid w:val="00497F1B"/>
    <w:rsid w:val="004A14D9"/>
    <w:rsid w:val="004A2A69"/>
    <w:rsid w:val="004A2E4E"/>
    <w:rsid w:val="004A6282"/>
    <w:rsid w:val="004A6E57"/>
    <w:rsid w:val="004A751A"/>
    <w:rsid w:val="004B1F1E"/>
    <w:rsid w:val="004B5280"/>
    <w:rsid w:val="004B7CC2"/>
    <w:rsid w:val="004C5E02"/>
    <w:rsid w:val="004C69AF"/>
    <w:rsid w:val="004C6A41"/>
    <w:rsid w:val="004C6E57"/>
    <w:rsid w:val="004D0D3D"/>
    <w:rsid w:val="004D18ED"/>
    <w:rsid w:val="004D4712"/>
    <w:rsid w:val="004D5A80"/>
    <w:rsid w:val="004D6B8D"/>
    <w:rsid w:val="004E29E4"/>
    <w:rsid w:val="004E3A6C"/>
    <w:rsid w:val="004E3A8A"/>
    <w:rsid w:val="004E5A7B"/>
    <w:rsid w:val="004F090C"/>
    <w:rsid w:val="004F13B6"/>
    <w:rsid w:val="004F4281"/>
    <w:rsid w:val="004F4C7E"/>
    <w:rsid w:val="004F5DE1"/>
    <w:rsid w:val="00500C90"/>
    <w:rsid w:val="00500EAB"/>
    <w:rsid w:val="00502707"/>
    <w:rsid w:val="00502A9A"/>
    <w:rsid w:val="0050407C"/>
    <w:rsid w:val="005048D5"/>
    <w:rsid w:val="00504A49"/>
    <w:rsid w:val="00504DE5"/>
    <w:rsid w:val="00506F09"/>
    <w:rsid w:val="00510707"/>
    <w:rsid w:val="00513F82"/>
    <w:rsid w:val="00514646"/>
    <w:rsid w:val="005151B2"/>
    <w:rsid w:val="00515EC4"/>
    <w:rsid w:val="00517594"/>
    <w:rsid w:val="005218FF"/>
    <w:rsid w:val="00521CD6"/>
    <w:rsid w:val="00522304"/>
    <w:rsid w:val="00523F9F"/>
    <w:rsid w:val="0052573D"/>
    <w:rsid w:val="00527484"/>
    <w:rsid w:val="00527501"/>
    <w:rsid w:val="005326E4"/>
    <w:rsid w:val="00535468"/>
    <w:rsid w:val="00536F35"/>
    <w:rsid w:val="0053783E"/>
    <w:rsid w:val="00541B12"/>
    <w:rsid w:val="00544136"/>
    <w:rsid w:val="005454DE"/>
    <w:rsid w:val="00545C53"/>
    <w:rsid w:val="005464B5"/>
    <w:rsid w:val="005473D8"/>
    <w:rsid w:val="00547C19"/>
    <w:rsid w:val="005523B6"/>
    <w:rsid w:val="0055446B"/>
    <w:rsid w:val="00555296"/>
    <w:rsid w:val="00555C3A"/>
    <w:rsid w:val="00565537"/>
    <w:rsid w:val="00570BF1"/>
    <w:rsid w:val="005725B0"/>
    <w:rsid w:val="005729E4"/>
    <w:rsid w:val="00576272"/>
    <w:rsid w:val="005817BC"/>
    <w:rsid w:val="0058617A"/>
    <w:rsid w:val="005906B6"/>
    <w:rsid w:val="00592831"/>
    <w:rsid w:val="005940DE"/>
    <w:rsid w:val="0059676A"/>
    <w:rsid w:val="00596A19"/>
    <w:rsid w:val="005A0CDC"/>
    <w:rsid w:val="005A1004"/>
    <w:rsid w:val="005A3684"/>
    <w:rsid w:val="005A376B"/>
    <w:rsid w:val="005B0E8A"/>
    <w:rsid w:val="005B101A"/>
    <w:rsid w:val="005B2B9B"/>
    <w:rsid w:val="005B348A"/>
    <w:rsid w:val="005B3A86"/>
    <w:rsid w:val="005B6C3D"/>
    <w:rsid w:val="005B7C8D"/>
    <w:rsid w:val="005C09EE"/>
    <w:rsid w:val="005C1D13"/>
    <w:rsid w:val="005C2B5E"/>
    <w:rsid w:val="005C2D9B"/>
    <w:rsid w:val="005C45B3"/>
    <w:rsid w:val="005C5931"/>
    <w:rsid w:val="005C60D8"/>
    <w:rsid w:val="005C73E2"/>
    <w:rsid w:val="005C7937"/>
    <w:rsid w:val="005D022E"/>
    <w:rsid w:val="005D1E6B"/>
    <w:rsid w:val="005D3951"/>
    <w:rsid w:val="005D3D76"/>
    <w:rsid w:val="005D4697"/>
    <w:rsid w:val="005D71B5"/>
    <w:rsid w:val="005E04FC"/>
    <w:rsid w:val="005E1896"/>
    <w:rsid w:val="005E213E"/>
    <w:rsid w:val="005E24D3"/>
    <w:rsid w:val="005E58AF"/>
    <w:rsid w:val="005F0241"/>
    <w:rsid w:val="005F2DE3"/>
    <w:rsid w:val="005F3409"/>
    <w:rsid w:val="00601E28"/>
    <w:rsid w:val="006072C9"/>
    <w:rsid w:val="00611196"/>
    <w:rsid w:val="00613085"/>
    <w:rsid w:val="00615FFE"/>
    <w:rsid w:val="0061655B"/>
    <w:rsid w:val="0061757B"/>
    <w:rsid w:val="006207BE"/>
    <w:rsid w:val="006211DD"/>
    <w:rsid w:val="0062255A"/>
    <w:rsid w:val="006238FE"/>
    <w:rsid w:val="00627C39"/>
    <w:rsid w:val="006331AD"/>
    <w:rsid w:val="0063457F"/>
    <w:rsid w:val="006357AE"/>
    <w:rsid w:val="00635D56"/>
    <w:rsid w:val="0063714C"/>
    <w:rsid w:val="006373AC"/>
    <w:rsid w:val="00637E7E"/>
    <w:rsid w:val="006412FF"/>
    <w:rsid w:val="00641FCC"/>
    <w:rsid w:val="00650547"/>
    <w:rsid w:val="00653DC0"/>
    <w:rsid w:val="00653E20"/>
    <w:rsid w:val="00653EEE"/>
    <w:rsid w:val="006554EC"/>
    <w:rsid w:val="00656CB9"/>
    <w:rsid w:val="00657C27"/>
    <w:rsid w:val="006600C4"/>
    <w:rsid w:val="00662E41"/>
    <w:rsid w:val="006630EE"/>
    <w:rsid w:val="0066346E"/>
    <w:rsid w:val="00666B03"/>
    <w:rsid w:val="0066790B"/>
    <w:rsid w:val="00667DB4"/>
    <w:rsid w:val="00670AFB"/>
    <w:rsid w:val="00671C3E"/>
    <w:rsid w:val="00672D9B"/>
    <w:rsid w:val="0067324C"/>
    <w:rsid w:val="0067395C"/>
    <w:rsid w:val="00674BCB"/>
    <w:rsid w:val="00680989"/>
    <w:rsid w:val="006818C9"/>
    <w:rsid w:val="00681E76"/>
    <w:rsid w:val="006822FA"/>
    <w:rsid w:val="0068485B"/>
    <w:rsid w:val="00684BCD"/>
    <w:rsid w:val="00686327"/>
    <w:rsid w:val="00686F79"/>
    <w:rsid w:val="00692393"/>
    <w:rsid w:val="00693A52"/>
    <w:rsid w:val="00696253"/>
    <w:rsid w:val="006A0578"/>
    <w:rsid w:val="006A493E"/>
    <w:rsid w:val="006A4EF7"/>
    <w:rsid w:val="006A5CCF"/>
    <w:rsid w:val="006A5E8C"/>
    <w:rsid w:val="006A677D"/>
    <w:rsid w:val="006A67B3"/>
    <w:rsid w:val="006A71CA"/>
    <w:rsid w:val="006B1C54"/>
    <w:rsid w:val="006B59E7"/>
    <w:rsid w:val="006C0188"/>
    <w:rsid w:val="006C10D8"/>
    <w:rsid w:val="006C1477"/>
    <w:rsid w:val="006C401B"/>
    <w:rsid w:val="006C4CD4"/>
    <w:rsid w:val="006C5D80"/>
    <w:rsid w:val="006C5FDB"/>
    <w:rsid w:val="006C61EE"/>
    <w:rsid w:val="006D1792"/>
    <w:rsid w:val="006D3B3D"/>
    <w:rsid w:val="006D6470"/>
    <w:rsid w:val="006D6B3C"/>
    <w:rsid w:val="006D7D22"/>
    <w:rsid w:val="006E17CC"/>
    <w:rsid w:val="006E37AE"/>
    <w:rsid w:val="006E4959"/>
    <w:rsid w:val="006E6779"/>
    <w:rsid w:val="006F1164"/>
    <w:rsid w:val="006F31D1"/>
    <w:rsid w:val="006F5BA6"/>
    <w:rsid w:val="006F60BB"/>
    <w:rsid w:val="0070083B"/>
    <w:rsid w:val="007010A3"/>
    <w:rsid w:val="007053E4"/>
    <w:rsid w:val="007105BA"/>
    <w:rsid w:val="00711C0C"/>
    <w:rsid w:val="00713758"/>
    <w:rsid w:val="00713E05"/>
    <w:rsid w:val="00715471"/>
    <w:rsid w:val="00716BB1"/>
    <w:rsid w:val="0072181D"/>
    <w:rsid w:val="00722AA9"/>
    <w:rsid w:val="00723609"/>
    <w:rsid w:val="00723D34"/>
    <w:rsid w:val="00724BAC"/>
    <w:rsid w:val="007265F3"/>
    <w:rsid w:val="007267FB"/>
    <w:rsid w:val="00726C42"/>
    <w:rsid w:val="00733AF9"/>
    <w:rsid w:val="00735829"/>
    <w:rsid w:val="007370D5"/>
    <w:rsid w:val="00737963"/>
    <w:rsid w:val="00740F23"/>
    <w:rsid w:val="007430A6"/>
    <w:rsid w:val="00744E46"/>
    <w:rsid w:val="007459E6"/>
    <w:rsid w:val="007462CF"/>
    <w:rsid w:val="00747664"/>
    <w:rsid w:val="00747E68"/>
    <w:rsid w:val="00752A20"/>
    <w:rsid w:val="00752D96"/>
    <w:rsid w:val="00753D8C"/>
    <w:rsid w:val="00754D95"/>
    <w:rsid w:val="00757C44"/>
    <w:rsid w:val="00763FD1"/>
    <w:rsid w:val="00766B6F"/>
    <w:rsid w:val="00766E36"/>
    <w:rsid w:val="007712AD"/>
    <w:rsid w:val="00774B3A"/>
    <w:rsid w:val="007813CB"/>
    <w:rsid w:val="00782BB7"/>
    <w:rsid w:val="00785B83"/>
    <w:rsid w:val="00786270"/>
    <w:rsid w:val="00787F74"/>
    <w:rsid w:val="00790202"/>
    <w:rsid w:val="007910D1"/>
    <w:rsid w:val="00793BE7"/>
    <w:rsid w:val="007968F2"/>
    <w:rsid w:val="00797449"/>
    <w:rsid w:val="007A0755"/>
    <w:rsid w:val="007A1553"/>
    <w:rsid w:val="007B3996"/>
    <w:rsid w:val="007B3E14"/>
    <w:rsid w:val="007B562F"/>
    <w:rsid w:val="007B6877"/>
    <w:rsid w:val="007C437A"/>
    <w:rsid w:val="007C609B"/>
    <w:rsid w:val="007D1435"/>
    <w:rsid w:val="007D345C"/>
    <w:rsid w:val="007D3C93"/>
    <w:rsid w:val="007D5442"/>
    <w:rsid w:val="007D7F62"/>
    <w:rsid w:val="007E0EC8"/>
    <w:rsid w:val="007E2269"/>
    <w:rsid w:val="007E36AF"/>
    <w:rsid w:val="007E3A16"/>
    <w:rsid w:val="007E3D10"/>
    <w:rsid w:val="007E5491"/>
    <w:rsid w:val="007E5A5B"/>
    <w:rsid w:val="007F08A8"/>
    <w:rsid w:val="007F10A8"/>
    <w:rsid w:val="007F1B92"/>
    <w:rsid w:val="007F2C86"/>
    <w:rsid w:val="007F33A5"/>
    <w:rsid w:val="007F4BAF"/>
    <w:rsid w:val="0080454F"/>
    <w:rsid w:val="008056F1"/>
    <w:rsid w:val="00805BD9"/>
    <w:rsid w:val="00806161"/>
    <w:rsid w:val="00807730"/>
    <w:rsid w:val="00814E03"/>
    <w:rsid w:val="008155B7"/>
    <w:rsid w:val="00816672"/>
    <w:rsid w:val="0082046B"/>
    <w:rsid w:val="00820B75"/>
    <w:rsid w:val="00823E2F"/>
    <w:rsid w:val="00826149"/>
    <w:rsid w:val="00834E57"/>
    <w:rsid w:val="008352BA"/>
    <w:rsid w:val="008443FB"/>
    <w:rsid w:val="00844613"/>
    <w:rsid w:val="00847CF0"/>
    <w:rsid w:val="0085086D"/>
    <w:rsid w:val="00852165"/>
    <w:rsid w:val="00852810"/>
    <w:rsid w:val="008535D2"/>
    <w:rsid w:val="008552C0"/>
    <w:rsid w:val="008557B7"/>
    <w:rsid w:val="008558E7"/>
    <w:rsid w:val="0085768D"/>
    <w:rsid w:val="0086023B"/>
    <w:rsid w:val="00860434"/>
    <w:rsid w:val="00861A54"/>
    <w:rsid w:val="00864C80"/>
    <w:rsid w:val="00867BE7"/>
    <w:rsid w:val="008706BA"/>
    <w:rsid w:val="00871E07"/>
    <w:rsid w:val="00877F8E"/>
    <w:rsid w:val="00880D1F"/>
    <w:rsid w:val="008817FB"/>
    <w:rsid w:val="00882B5F"/>
    <w:rsid w:val="0088318A"/>
    <w:rsid w:val="00885855"/>
    <w:rsid w:val="008907BE"/>
    <w:rsid w:val="00893859"/>
    <w:rsid w:val="00893FB9"/>
    <w:rsid w:val="008A0DCA"/>
    <w:rsid w:val="008A1B00"/>
    <w:rsid w:val="008A2117"/>
    <w:rsid w:val="008A30FB"/>
    <w:rsid w:val="008A4529"/>
    <w:rsid w:val="008A7044"/>
    <w:rsid w:val="008A7407"/>
    <w:rsid w:val="008B20C0"/>
    <w:rsid w:val="008B44F6"/>
    <w:rsid w:val="008B4E46"/>
    <w:rsid w:val="008B5ADF"/>
    <w:rsid w:val="008C1293"/>
    <w:rsid w:val="008C1EDC"/>
    <w:rsid w:val="008C47BA"/>
    <w:rsid w:val="008C5B30"/>
    <w:rsid w:val="008C5B6C"/>
    <w:rsid w:val="008C5CBF"/>
    <w:rsid w:val="008D3E70"/>
    <w:rsid w:val="008D6BD5"/>
    <w:rsid w:val="008E00B4"/>
    <w:rsid w:val="008E1E91"/>
    <w:rsid w:val="008E3315"/>
    <w:rsid w:val="008E3B03"/>
    <w:rsid w:val="008E3B5E"/>
    <w:rsid w:val="008F2129"/>
    <w:rsid w:val="008F3780"/>
    <w:rsid w:val="008F73A4"/>
    <w:rsid w:val="00900259"/>
    <w:rsid w:val="00904094"/>
    <w:rsid w:val="009040B2"/>
    <w:rsid w:val="0090719E"/>
    <w:rsid w:val="00907805"/>
    <w:rsid w:val="00911758"/>
    <w:rsid w:val="00913A27"/>
    <w:rsid w:val="009142E0"/>
    <w:rsid w:val="00917FC0"/>
    <w:rsid w:val="00920801"/>
    <w:rsid w:val="00924D18"/>
    <w:rsid w:val="00926020"/>
    <w:rsid w:val="009272B1"/>
    <w:rsid w:val="009313EF"/>
    <w:rsid w:val="00932EED"/>
    <w:rsid w:val="00934344"/>
    <w:rsid w:val="00937A70"/>
    <w:rsid w:val="00940247"/>
    <w:rsid w:val="009421A7"/>
    <w:rsid w:val="00946BCD"/>
    <w:rsid w:val="00950618"/>
    <w:rsid w:val="00951EC1"/>
    <w:rsid w:val="00953C94"/>
    <w:rsid w:val="00954BF5"/>
    <w:rsid w:val="009579C4"/>
    <w:rsid w:val="009619B4"/>
    <w:rsid w:val="00962C1C"/>
    <w:rsid w:val="00970D57"/>
    <w:rsid w:val="009714D5"/>
    <w:rsid w:val="00975614"/>
    <w:rsid w:val="00975C1F"/>
    <w:rsid w:val="00977AAA"/>
    <w:rsid w:val="009816E3"/>
    <w:rsid w:val="00982AD2"/>
    <w:rsid w:val="00982C90"/>
    <w:rsid w:val="0098370A"/>
    <w:rsid w:val="009839A0"/>
    <w:rsid w:val="00983EE3"/>
    <w:rsid w:val="00985746"/>
    <w:rsid w:val="009879ED"/>
    <w:rsid w:val="0099265F"/>
    <w:rsid w:val="00994880"/>
    <w:rsid w:val="0099576E"/>
    <w:rsid w:val="00997B86"/>
    <w:rsid w:val="009A0B6F"/>
    <w:rsid w:val="009A18F8"/>
    <w:rsid w:val="009A2C3A"/>
    <w:rsid w:val="009A3804"/>
    <w:rsid w:val="009A52C8"/>
    <w:rsid w:val="009A57C4"/>
    <w:rsid w:val="009A6120"/>
    <w:rsid w:val="009B03B9"/>
    <w:rsid w:val="009B152D"/>
    <w:rsid w:val="009B2028"/>
    <w:rsid w:val="009B3290"/>
    <w:rsid w:val="009B433A"/>
    <w:rsid w:val="009B7643"/>
    <w:rsid w:val="009B7E10"/>
    <w:rsid w:val="009C095B"/>
    <w:rsid w:val="009C38CB"/>
    <w:rsid w:val="009C41A8"/>
    <w:rsid w:val="009C519B"/>
    <w:rsid w:val="009C5D0A"/>
    <w:rsid w:val="009C6976"/>
    <w:rsid w:val="009C6E03"/>
    <w:rsid w:val="009D0FC0"/>
    <w:rsid w:val="009D1CB7"/>
    <w:rsid w:val="009D2FDA"/>
    <w:rsid w:val="009E0103"/>
    <w:rsid w:val="009E184E"/>
    <w:rsid w:val="009E2C86"/>
    <w:rsid w:val="009E6020"/>
    <w:rsid w:val="009E665B"/>
    <w:rsid w:val="009E67EE"/>
    <w:rsid w:val="009F10AB"/>
    <w:rsid w:val="009F274E"/>
    <w:rsid w:val="009F4E6E"/>
    <w:rsid w:val="009F5672"/>
    <w:rsid w:val="009F70E6"/>
    <w:rsid w:val="009F70FB"/>
    <w:rsid w:val="00A0136F"/>
    <w:rsid w:val="00A02301"/>
    <w:rsid w:val="00A05016"/>
    <w:rsid w:val="00A11DDF"/>
    <w:rsid w:val="00A1256B"/>
    <w:rsid w:val="00A146C0"/>
    <w:rsid w:val="00A168AE"/>
    <w:rsid w:val="00A241A6"/>
    <w:rsid w:val="00A26BB4"/>
    <w:rsid w:val="00A26CF1"/>
    <w:rsid w:val="00A30841"/>
    <w:rsid w:val="00A310E7"/>
    <w:rsid w:val="00A353E7"/>
    <w:rsid w:val="00A355EB"/>
    <w:rsid w:val="00A36690"/>
    <w:rsid w:val="00A379F0"/>
    <w:rsid w:val="00A400A1"/>
    <w:rsid w:val="00A41E23"/>
    <w:rsid w:val="00A41EC8"/>
    <w:rsid w:val="00A42042"/>
    <w:rsid w:val="00A427EB"/>
    <w:rsid w:val="00A448F6"/>
    <w:rsid w:val="00A476F5"/>
    <w:rsid w:val="00A50928"/>
    <w:rsid w:val="00A50A8C"/>
    <w:rsid w:val="00A53083"/>
    <w:rsid w:val="00A564C2"/>
    <w:rsid w:val="00A609CF"/>
    <w:rsid w:val="00A63E20"/>
    <w:rsid w:val="00A64950"/>
    <w:rsid w:val="00A73111"/>
    <w:rsid w:val="00A73542"/>
    <w:rsid w:val="00A744A2"/>
    <w:rsid w:val="00A74930"/>
    <w:rsid w:val="00A75CBD"/>
    <w:rsid w:val="00A816C1"/>
    <w:rsid w:val="00A85763"/>
    <w:rsid w:val="00A87305"/>
    <w:rsid w:val="00A90C11"/>
    <w:rsid w:val="00A958EC"/>
    <w:rsid w:val="00AA0CB9"/>
    <w:rsid w:val="00AA2427"/>
    <w:rsid w:val="00AA26D1"/>
    <w:rsid w:val="00AA2C01"/>
    <w:rsid w:val="00AA3F08"/>
    <w:rsid w:val="00AA45B7"/>
    <w:rsid w:val="00AA4EA9"/>
    <w:rsid w:val="00AA6380"/>
    <w:rsid w:val="00AA6FBD"/>
    <w:rsid w:val="00AB32D3"/>
    <w:rsid w:val="00AB4D5F"/>
    <w:rsid w:val="00AB75F7"/>
    <w:rsid w:val="00AB7CEC"/>
    <w:rsid w:val="00AC0EEA"/>
    <w:rsid w:val="00AC1042"/>
    <w:rsid w:val="00AC3293"/>
    <w:rsid w:val="00AC61B4"/>
    <w:rsid w:val="00AD04F7"/>
    <w:rsid w:val="00AD1E8D"/>
    <w:rsid w:val="00AD2C6C"/>
    <w:rsid w:val="00AD2D7B"/>
    <w:rsid w:val="00AD3A0F"/>
    <w:rsid w:val="00AD4971"/>
    <w:rsid w:val="00AD65FA"/>
    <w:rsid w:val="00AD7D22"/>
    <w:rsid w:val="00AE09CE"/>
    <w:rsid w:val="00AE0E14"/>
    <w:rsid w:val="00AE348C"/>
    <w:rsid w:val="00AF1A41"/>
    <w:rsid w:val="00AF44C1"/>
    <w:rsid w:val="00B00E09"/>
    <w:rsid w:val="00B029B4"/>
    <w:rsid w:val="00B037B0"/>
    <w:rsid w:val="00B06823"/>
    <w:rsid w:val="00B069D5"/>
    <w:rsid w:val="00B10690"/>
    <w:rsid w:val="00B10EC2"/>
    <w:rsid w:val="00B12B50"/>
    <w:rsid w:val="00B1320F"/>
    <w:rsid w:val="00B1325E"/>
    <w:rsid w:val="00B143A6"/>
    <w:rsid w:val="00B1487C"/>
    <w:rsid w:val="00B17A58"/>
    <w:rsid w:val="00B200C8"/>
    <w:rsid w:val="00B20C9E"/>
    <w:rsid w:val="00B21D99"/>
    <w:rsid w:val="00B230E1"/>
    <w:rsid w:val="00B24064"/>
    <w:rsid w:val="00B264D4"/>
    <w:rsid w:val="00B2656E"/>
    <w:rsid w:val="00B30FCD"/>
    <w:rsid w:val="00B3120F"/>
    <w:rsid w:val="00B31C38"/>
    <w:rsid w:val="00B33943"/>
    <w:rsid w:val="00B34E43"/>
    <w:rsid w:val="00B351BE"/>
    <w:rsid w:val="00B359B7"/>
    <w:rsid w:val="00B4058D"/>
    <w:rsid w:val="00B405AC"/>
    <w:rsid w:val="00B411AA"/>
    <w:rsid w:val="00B432DE"/>
    <w:rsid w:val="00B465D4"/>
    <w:rsid w:val="00B47F49"/>
    <w:rsid w:val="00B5081F"/>
    <w:rsid w:val="00B52ACF"/>
    <w:rsid w:val="00B54400"/>
    <w:rsid w:val="00B56026"/>
    <w:rsid w:val="00B564EB"/>
    <w:rsid w:val="00B605DC"/>
    <w:rsid w:val="00B6226E"/>
    <w:rsid w:val="00B62462"/>
    <w:rsid w:val="00B624CA"/>
    <w:rsid w:val="00B65085"/>
    <w:rsid w:val="00B66E71"/>
    <w:rsid w:val="00B670B5"/>
    <w:rsid w:val="00B67D27"/>
    <w:rsid w:val="00B76012"/>
    <w:rsid w:val="00B76A9A"/>
    <w:rsid w:val="00B820D6"/>
    <w:rsid w:val="00B87499"/>
    <w:rsid w:val="00B91113"/>
    <w:rsid w:val="00B92D81"/>
    <w:rsid w:val="00B94FEA"/>
    <w:rsid w:val="00B962F0"/>
    <w:rsid w:val="00BA0BFD"/>
    <w:rsid w:val="00BA3778"/>
    <w:rsid w:val="00BA654F"/>
    <w:rsid w:val="00BB0CB1"/>
    <w:rsid w:val="00BB12D6"/>
    <w:rsid w:val="00BB24B1"/>
    <w:rsid w:val="00BB2DCA"/>
    <w:rsid w:val="00BB322A"/>
    <w:rsid w:val="00BB35DD"/>
    <w:rsid w:val="00BB45DB"/>
    <w:rsid w:val="00BC03E4"/>
    <w:rsid w:val="00BC26DB"/>
    <w:rsid w:val="00BC273D"/>
    <w:rsid w:val="00BC5ADA"/>
    <w:rsid w:val="00BC5DBA"/>
    <w:rsid w:val="00BD0F90"/>
    <w:rsid w:val="00BD33A0"/>
    <w:rsid w:val="00BD7CD4"/>
    <w:rsid w:val="00BE0EA7"/>
    <w:rsid w:val="00BE110D"/>
    <w:rsid w:val="00BE17D7"/>
    <w:rsid w:val="00BE2ED3"/>
    <w:rsid w:val="00BE4480"/>
    <w:rsid w:val="00BE6750"/>
    <w:rsid w:val="00BE6B73"/>
    <w:rsid w:val="00BE6BB5"/>
    <w:rsid w:val="00BE7378"/>
    <w:rsid w:val="00BE73D4"/>
    <w:rsid w:val="00BF2AF7"/>
    <w:rsid w:val="00BF437C"/>
    <w:rsid w:val="00BF5AF4"/>
    <w:rsid w:val="00C00FE8"/>
    <w:rsid w:val="00C03227"/>
    <w:rsid w:val="00C13470"/>
    <w:rsid w:val="00C14FD3"/>
    <w:rsid w:val="00C152C3"/>
    <w:rsid w:val="00C15820"/>
    <w:rsid w:val="00C17CE4"/>
    <w:rsid w:val="00C21964"/>
    <w:rsid w:val="00C22823"/>
    <w:rsid w:val="00C24242"/>
    <w:rsid w:val="00C243C9"/>
    <w:rsid w:val="00C251FC"/>
    <w:rsid w:val="00C25539"/>
    <w:rsid w:val="00C311FD"/>
    <w:rsid w:val="00C31261"/>
    <w:rsid w:val="00C34D88"/>
    <w:rsid w:val="00C36BE7"/>
    <w:rsid w:val="00C37F4D"/>
    <w:rsid w:val="00C41318"/>
    <w:rsid w:val="00C45D84"/>
    <w:rsid w:val="00C4623E"/>
    <w:rsid w:val="00C471AF"/>
    <w:rsid w:val="00C525C0"/>
    <w:rsid w:val="00C5288C"/>
    <w:rsid w:val="00C52FA4"/>
    <w:rsid w:val="00C531CB"/>
    <w:rsid w:val="00C538A7"/>
    <w:rsid w:val="00C5584E"/>
    <w:rsid w:val="00C5587E"/>
    <w:rsid w:val="00C56286"/>
    <w:rsid w:val="00C6141B"/>
    <w:rsid w:val="00C618E4"/>
    <w:rsid w:val="00C61D0B"/>
    <w:rsid w:val="00C639EA"/>
    <w:rsid w:val="00C65B0B"/>
    <w:rsid w:val="00C66FCD"/>
    <w:rsid w:val="00C73E99"/>
    <w:rsid w:val="00C76FDE"/>
    <w:rsid w:val="00C77DFC"/>
    <w:rsid w:val="00C80AEE"/>
    <w:rsid w:val="00C82596"/>
    <w:rsid w:val="00C82DA3"/>
    <w:rsid w:val="00C83C6E"/>
    <w:rsid w:val="00C83F68"/>
    <w:rsid w:val="00C85B91"/>
    <w:rsid w:val="00C85C75"/>
    <w:rsid w:val="00C8636D"/>
    <w:rsid w:val="00C869B2"/>
    <w:rsid w:val="00C903BF"/>
    <w:rsid w:val="00C92004"/>
    <w:rsid w:val="00C93F39"/>
    <w:rsid w:val="00C957D8"/>
    <w:rsid w:val="00C95C12"/>
    <w:rsid w:val="00CA515F"/>
    <w:rsid w:val="00CA7505"/>
    <w:rsid w:val="00CA7EAE"/>
    <w:rsid w:val="00CB0920"/>
    <w:rsid w:val="00CB4076"/>
    <w:rsid w:val="00CB440B"/>
    <w:rsid w:val="00CB597B"/>
    <w:rsid w:val="00CB73B1"/>
    <w:rsid w:val="00CC3BD2"/>
    <w:rsid w:val="00CC57CC"/>
    <w:rsid w:val="00CC5A8F"/>
    <w:rsid w:val="00CD235A"/>
    <w:rsid w:val="00CD2F15"/>
    <w:rsid w:val="00CD6D84"/>
    <w:rsid w:val="00CE34BA"/>
    <w:rsid w:val="00CE3E55"/>
    <w:rsid w:val="00CE66B8"/>
    <w:rsid w:val="00CE670E"/>
    <w:rsid w:val="00CF1CA5"/>
    <w:rsid w:val="00CF45DC"/>
    <w:rsid w:val="00D0098E"/>
    <w:rsid w:val="00D022CE"/>
    <w:rsid w:val="00D033C0"/>
    <w:rsid w:val="00D034D5"/>
    <w:rsid w:val="00D1351A"/>
    <w:rsid w:val="00D14975"/>
    <w:rsid w:val="00D14D6E"/>
    <w:rsid w:val="00D21EB5"/>
    <w:rsid w:val="00D22542"/>
    <w:rsid w:val="00D24D97"/>
    <w:rsid w:val="00D35747"/>
    <w:rsid w:val="00D36BF7"/>
    <w:rsid w:val="00D36F04"/>
    <w:rsid w:val="00D412C1"/>
    <w:rsid w:val="00D451BA"/>
    <w:rsid w:val="00D514C3"/>
    <w:rsid w:val="00D524EA"/>
    <w:rsid w:val="00D54C64"/>
    <w:rsid w:val="00D56C99"/>
    <w:rsid w:val="00D6321E"/>
    <w:rsid w:val="00D712EC"/>
    <w:rsid w:val="00D7482C"/>
    <w:rsid w:val="00D75394"/>
    <w:rsid w:val="00D80C12"/>
    <w:rsid w:val="00D81521"/>
    <w:rsid w:val="00D81DF8"/>
    <w:rsid w:val="00D8203E"/>
    <w:rsid w:val="00D838C1"/>
    <w:rsid w:val="00D84E70"/>
    <w:rsid w:val="00D87E53"/>
    <w:rsid w:val="00D94DFB"/>
    <w:rsid w:val="00D94E18"/>
    <w:rsid w:val="00D959DC"/>
    <w:rsid w:val="00D95E9A"/>
    <w:rsid w:val="00D96023"/>
    <w:rsid w:val="00D962BB"/>
    <w:rsid w:val="00DA5E83"/>
    <w:rsid w:val="00DB1EA8"/>
    <w:rsid w:val="00DB23D1"/>
    <w:rsid w:val="00DB3721"/>
    <w:rsid w:val="00DB6550"/>
    <w:rsid w:val="00DB6B36"/>
    <w:rsid w:val="00DC1405"/>
    <w:rsid w:val="00DC2CB6"/>
    <w:rsid w:val="00DC3AD3"/>
    <w:rsid w:val="00DC5131"/>
    <w:rsid w:val="00DC52D9"/>
    <w:rsid w:val="00DC538D"/>
    <w:rsid w:val="00DC679D"/>
    <w:rsid w:val="00DC7F54"/>
    <w:rsid w:val="00DD0417"/>
    <w:rsid w:val="00DD05DD"/>
    <w:rsid w:val="00DD0F30"/>
    <w:rsid w:val="00DD456D"/>
    <w:rsid w:val="00DD467A"/>
    <w:rsid w:val="00DD49E9"/>
    <w:rsid w:val="00DD5900"/>
    <w:rsid w:val="00DD697A"/>
    <w:rsid w:val="00DE0CA2"/>
    <w:rsid w:val="00DE2A45"/>
    <w:rsid w:val="00DE3974"/>
    <w:rsid w:val="00DE58F0"/>
    <w:rsid w:val="00DE6059"/>
    <w:rsid w:val="00DE7A53"/>
    <w:rsid w:val="00DE7FC9"/>
    <w:rsid w:val="00DF14ED"/>
    <w:rsid w:val="00DF43BD"/>
    <w:rsid w:val="00DF54BC"/>
    <w:rsid w:val="00DF72BA"/>
    <w:rsid w:val="00DF7BFB"/>
    <w:rsid w:val="00E00D29"/>
    <w:rsid w:val="00E04E7D"/>
    <w:rsid w:val="00E055C0"/>
    <w:rsid w:val="00E0628F"/>
    <w:rsid w:val="00E07069"/>
    <w:rsid w:val="00E109A2"/>
    <w:rsid w:val="00E1351E"/>
    <w:rsid w:val="00E135F0"/>
    <w:rsid w:val="00E16EF4"/>
    <w:rsid w:val="00E20A78"/>
    <w:rsid w:val="00E211D8"/>
    <w:rsid w:val="00E21232"/>
    <w:rsid w:val="00E242A4"/>
    <w:rsid w:val="00E24E52"/>
    <w:rsid w:val="00E2746A"/>
    <w:rsid w:val="00E32C7C"/>
    <w:rsid w:val="00E32E08"/>
    <w:rsid w:val="00E3565E"/>
    <w:rsid w:val="00E36F1B"/>
    <w:rsid w:val="00E4261A"/>
    <w:rsid w:val="00E43116"/>
    <w:rsid w:val="00E43D79"/>
    <w:rsid w:val="00E4528C"/>
    <w:rsid w:val="00E4567B"/>
    <w:rsid w:val="00E47D3C"/>
    <w:rsid w:val="00E50045"/>
    <w:rsid w:val="00E5007E"/>
    <w:rsid w:val="00E5236F"/>
    <w:rsid w:val="00E52C94"/>
    <w:rsid w:val="00E530CA"/>
    <w:rsid w:val="00E554E2"/>
    <w:rsid w:val="00E65C56"/>
    <w:rsid w:val="00E66088"/>
    <w:rsid w:val="00E67339"/>
    <w:rsid w:val="00E70273"/>
    <w:rsid w:val="00E706A1"/>
    <w:rsid w:val="00E746D4"/>
    <w:rsid w:val="00E755FF"/>
    <w:rsid w:val="00E82100"/>
    <w:rsid w:val="00E90986"/>
    <w:rsid w:val="00E909E2"/>
    <w:rsid w:val="00E9194C"/>
    <w:rsid w:val="00E9368C"/>
    <w:rsid w:val="00E93AB9"/>
    <w:rsid w:val="00E95151"/>
    <w:rsid w:val="00E96FC2"/>
    <w:rsid w:val="00E97079"/>
    <w:rsid w:val="00E979FD"/>
    <w:rsid w:val="00EA11E1"/>
    <w:rsid w:val="00EA55A6"/>
    <w:rsid w:val="00EA5A1F"/>
    <w:rsid w:val="00EA635F"/>
    <w:rsid w:val="00EB23FA"/>
    <w:rsid w:val="00EB29CC"/>
    <w:rsid w:val="00EB2CF5"/>
    <w:rsid w:val="00EB4C8F"/>
    <w:rsid w:val="00EB5758"/>
    <w:rsid w:val="00EB6688"/>
    <w:rsid w:val="00EC3308"/>
    <w:rsid w:val="00EC5615"/>
    <w:rsid w:val="00EC60E0"/>
    <w:rsid w:val="00ED005E"/>
    <w:rsid w:val="00ED0C90"/>
    <w:rsid w:val="00ED1BAB"/>
    <w:rsid w:val="00ED376C"/>
    <w:rsid w:val="00ED4346"/>
    <w:rsid w:val="00ED43BA"/>
    <w:rsid w:val="00ED483B"/>
    <w:rsid w:val="00ED53F0"/>
    <w:rsid w:val="00EE109C"/>
    <w:rsid w:val="00EE1116"/>
    <w:rsid w:val="00EE1F01"/>
    <w:rsid w:val="00EE3BC8"/>
    <w:rsid w:val="00EE3EBF"/>
    <w:rsid w:val="00EE4E2F"/>
    <w:rsid w:val="00EF0190"/>
    <w:rsid w:val="00EF062E"/>
    <w:rsid w:val="00EF0867"/>
    <w:rsid w:val="00EF3D31"/>
    <w:rsid w:val="00F005AA"/>
    <w:rsid w:val="00F01EEE"/>
    <w:rsid w:val="00F072AD"/>
    <w:rsid w:val="00F1036D"/>
    <w:rsid w:val="00F10C65"/>
    <w:rsid w:val="00F1478F"/>
    <w:rsid w:val="00F22F3D"/>
    <w:rsid w:val="00F24902"/>
    <w:rsid w:val="00F26F6C"/>
    <w:rsid w:val="00F27848"/>
    <w:rsid w:val="00F31042"/>
    <w:rsid w:val="00F31A69"/>
    <w:rsid w:val="00F32587"/>
    <w:rsid w:val="00F32F04"/>
    <w:rsid w:val="00F35C92"/>
    <w:rsid w:val="00F47AA6"/>
    <w:rsid w:val="00F549B2"/>
    <w:rsid w:val="00F56779"/>
    <w:rsid w:val="00F60482"/>
    <w:rsid w:val="00F6066B"/>
    <w:rsid w:val="00F61429"/>
    <w:rsid w:val="00F62C5C"/>
    <w:rsid w:val="00F630A4"/>
    <w:rsid w:val="00F63E37"/>
    <w:rsid w:val="00F66182"/>
    <w:rsid w:val="00F67787"/>
    <w:rsid w:val="00F71322"/>
    <w:rsid w:val="00F71EC5"/>
    <w:rsid w:val="00F735ED"/>
    <w:rsid w:val="00F74A7D"/>
    <w:rsid w:val="00F76882"/>
    <w:rsid w:val="00F7778A"/>
    <w:rsid w:val="00F81C84"/>
    <w:rsid w:val="00F842D0"/>
    <w:rsid w:val="00F85164"/>
    <w:rsid w:val="00F90BB8"/>
    <w:rsid w:val="00F92F8E"/>
    <w:rsid w:val="00F97FE3"/>
    <w:rsid w:val="00FA20F9"/>
    <w:rsid w:val="00FA6084"/>
    <w:rsid w:val="00FA61A1"/>
    <w:rsid w:val="00FA72CF"/>
    <w:rsid w:val="00FA7BC9"/>
    <w:rsid w:val="00FA7E10"/>
    <w:rsid w:val="00FB02DE"/>
    <w:rsid w:val="00FB0D48"/>
    <w:rsid w:val="00FB34D2"/>
    <w:rsid w:val="00FB3863"/>
    <w:rsid w:val="00FB4F3D"/>
    <w:rsid w:val="00FB70EB"/>
    <w:rsid w:val="00FC16CD"/>
    <w:rsid w:val="00FC2C2C"/>
    <w:rsid w:val="00FD0E5B"/>
    <w:rsid w:val="00FD1A73"/>
    <w:rsid w:val="00FD5DA1"/>
    <w:rsid w:val="00FE2204"/>
    <w:rsid w:val="00FE59C4"/>
    <w:rsid w:val="00FE5C2D"/>
    <w:rsid w:val="00FE6577"/>
    <w:rsid w:val="00FF1726"/>
    <w:rsid w:val="00FF1FFE"/>
    <w:rsid w:val="00FF25A8"/>
    <w:rsid w:val="00FF39C7"/>
    <w:rsid w:val="00FF701E"/>
    <w:rsid w:val="00FF77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70961B"/>
  <w15:chartTrackingRefBased/>
  <w15:docId w15:val="{F04277D0-7F7E-4D56-BF56-00601A34D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963"/>
    <w:pPr>
      <w:spacing w:line="260" w:lineRule="atLeast"/>
      <w:jc w:val="both"/>
    </w:pPr>
    <w:rPr>
      <w:rFonts w:ascii="Palatino Linotype" w:hAnsi="Palatino Linotype"/>
      <w:noProof/>
      <w:color w:val="000000"/>
    </w:rPr>
  </w:style>
  <w:style w:type="paragraph" w:styleId="Ttulo1">
    <w:name w:val="heading 1"/>
    <w:basedOn w:val="Normal"/>
    <w:next w:val="Textoindependiente"/>
    <w:link w:val="Ttulo1Car"/>
    <w:uiPriority w:val="9"/>
    <w:qFormat/>
    <w:rsid w:val="00AD7D22"/>
    <w:pPr>
      <w:keepNext/>
      <w:keepLines/>
      <w:spacing w:before="240" w:after="240" w:line="240" w:lineRule="auto"/>
      <w:jc w:val="left"/>
      <w:outlineLvl w:val="0"/>
    </w:pPr>
    <w:rPr>
      <w:rFonts w:asciiTheme="majorHAnsi" w:eastAsiaTheme="majorEastAsia" w:hAnsiTheme="majorHAnsi" w:cstheme="majorBidi"/>
      <w:b/>
      <w:bCs/>
      <w:noProof w:val="0"/>
      <w:color w:val="auto"/>
      <w:sz w:val="32"/>
      <w:szCs w:val="32"/>
      <w:lang w:eastAsia="en-US"/>
    </w:rPr>
  </w:style>
  <w:style w:type="paragraph" w:styleId="Ttulo4">
    <w:name w:val="heading 4"/>
    <w:basedOn w:val="Normal"/>
    <w:next w:val="Normal"/>
    <w:link w:val="Ttulo4Car"/>
    <w:uiPriority w:val="9"/>
    <w:semiHidden/>
    <w:unhideWhenUsed/>
    <w:qFormat/>
    <w:rsid w:val="00AD7D22"/>
    <w:pPr>
      <w:keepNext/>
      <w:keepLines/>
      <w:spacing w:before="40"/>
      <w:outlineLvl w:val="3"/>
    </w:pPr>
    <w:rPr>
      <w:rFonts w:asciiTheme="majorHAnsi" w:eastAsiaTheme="majorEastAsia" w:hAnsiTheme="majorHAnsi" w:cstheme="majorBidi"/>
      <w:i/>
      <w:iCs/>
      <w:color w:val="2F5496" w:themeColor="accent1" w:themeShade="BF"/>
    </w:rPr>
  </w:style>
  <w:style w:type="paragraph" w:styleId="Ttulo5">
    <w:name w:val="heading 5"/>
    <w:basedOn w:val="Ttulo4"/>
    <w:next w:val="Textoindependiente"/>
    <w:link w:val="Ttulo5Car"/>
    <w:uiPriority w:val="9"/>
    <w:unhideWhenUsed/>
    <w:qFormat/>
    <w:rsid w:val="00AD7D22"/>
    <w:pPr>
      <w:pageBreakBefore/>
      <w:spacing w:before="0" w:line="20" w:lineRule="exact"/>
      <w:jc w:val="left"/>
      <w:outlineLvl w:val="4"/>
    </w:pPr>
    <w:rPr>
      <w:b/>
      <w:bCs/>
      <w:i w:val="0"/>
      <w:iCs w:val="0"/>
      <w:noProof w:val="0"/>
      <w:color w:val="FFFFFF" w:themeColor="background1"/>
      <w:sz w:val="16"/>
      <w:szCs w:val="24"/>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DPI11articletype">
    <w:name w:val="MDPI_1.1_article_type"/>
    <w:next w:val="Normal"/>
    <w:qFormat/>
    <w:rsid w:val="00522304"/>
    <w:pPr>
      <w:adjustRightInd w:val="0"/>
      <w:snapToGrid w:val="0"/>
      <w:spacing w:before="240"/>
    </w:pPr>
    <w:rPr>
      <w:rFonts w:ascii="Palatino Linotype" w:eastAsia="Times New Roman" w:hAnsi="Palatino Linotype"/>
      <w:i/>
      <w:snapToGrid w:val="0"/>
      <w:color w:val="000000"/>
      <w:szCs w:val="22"/>
      <w:lang w:eastAsia="de-DE" w:bidi="en-US"/>
    </w:rPr>
  </w:style>
  <w:style w:type="paragraph" w:customStyle="1" w:styleId="MDPI12title">
    <w:name w:val="MDPI_1.2_title"/>
    <w:next w:val="Normal"/>
    <w:qFormat/>
    <w:rsid w:val="00522304"/>
    <w:pPr>
      <w:adjustRightInd w:val="0"/>
      <w:snapToGrid w:val="0"/>
      <w:spacing w:after="240" w:line="240" w:lineRule="atLeast"/>
    </w:pPr>
    <w:rPr>
      <w:rFonts w:ascii="Palatino Linotype" w:eastAsia="Times New Roman" w:hAnsi="Palatino Linotype"/>
      <w:b/>
      <w:snapToGrid w:val="0"/>
      <w:color w:val="000000"/>
      <w:sz w:val="36"/>
      <w:lang w:eastAsia="de-DE" w:bidi="en-US"/>
    </w:rPr>
  </w:style>
  <w:style w:type="paragraph" w:customStyle="1" w:styleId="MDPI13authornames">
    <w:name w:val="MDPI_1.3_authornames"/>
    <w:next w:val="Normal"/>
    <w:qFormat/>
    <w:rsid w:val="00522304"/>
    <w:pPr>
      <w:adjustRightInd w:val="0"/>
      <w:snapToGrid w:val="0"/>
      <w:spacing w:after="360" w:line="260" w:lineRule="atLeast"/>
    </w:pPr>
    <w:rPr>
      <w:rFonts w:ascii="Palatino Linotype" w:eastAsia="Times New Roman" w:hAnsi="Palatino Linotype"/>
      <w:b/>
      <w:color w:val="000000"/>
      <w:szCs w:val="22"/>
      <w:lang w:eastAsia="de-DE" w:bidi="en-US"/>
    </w:rPr>
  </w:style>
  <w:style w:type="paragraph" w:customStyle="1" w:styleId="MDPI14history">
    <w:name w:val="MDPI_1.4_history"/>
    <w:basedOn w:val="Normal"/>
    <w:next w:val="Normal"/>
    <w:qFormat/>
    <w:rsid w:val="00522304"/>
    <w:pPr>
      <w:adjustRightInd w:val="0"/>
      <w:snapToGrid w:val="0"/>
      <w:spacing w:line="240" w:lineRule="atLeast"/>
      <w:ind w:right="113"/>
      <w:jc w:val="left"/>
    </w:pPr>
    <w:rPr>
      <w:rFonts w:eastAsia="Times New Roman"/>
      <w:noProof w:val="0"/>
      <w:sz w:val="14"/>
      <w:lang w:eastAsia="de-DE" w:bidi="en-US"/>
    </w:rPr>
  </w:style>
  <w:style w:type="paragraph" w:customStyle="1" w:styleId="MDPI16affiliation">
    <w:name w:val="MDPI_1.6_affiliation"/>
    <w:qFormat/>
    <w:rsid w:val="00522304"/>
    <w:pPr>
      <w:adjustRightInd w:val="0"/>
      <w:snapToGrid w:val="0"/>
      <w:spacing w:line="200" w:lineRule="atLeast"/>
      <w:ind w:left="2806" w:hanging="198"/>
    </w:pPr>
    <w:rPr>
      <w:rFonts w:ascii="Palatino Linotype" w:eastAsia="Times New Roman" w:hAnsi="Palatino Linotype"/>
      <w:color w:val="000000"/>
      <w:sz w:val="16"/>
      <w:szCs w:val="18"/>
      <w:lang w:eastAsia="de-DE" w:bidi="en-US"/>
    </w:rPr>
  </w:style>
  <w:style w:type="paragraph" w:customStyle="1" w:styleId="MDPI17abstract">
    <w:name w:val="MDPI_1.7_abstract"/>
    <w:next w:val="Normal"/>
    <w:qFormat/>
    <w:rsid w:val="00522304"/>
    <w:pPr>
      <w:adjustRightInd w:val="0"/>
      <w:snapToGrid w:val="0"/>
      <w:spacing w:before="240" w:line="260" w:lineRule="atLeast"/>
      <w:ind w:left="2608"/>
      <w:jc w:val="both"/>
    </w:pPr>
    <w:rPr>
      <w:rFonts w:ascii="Palatino Linotype" w:eastAsia="Times New Roman" w:hAnsi="Palatino Linotype"/>
      <w:color w:val="000000"/>
      <w:sz w:val="18"/>
      <w:szCs w:val="22"/>
      <w:lang w:eastAsia="de-DE" w:bidi="en-US"/>
    </w:rPr>
  </w:style>
  <w:style w:type="paragraph" w:customStyle="1" w:styleId="MDPI18keywords">
    <w:name w:val="MDPI_1.8_keywords"/>
    <w:next w:val="Normal"/>
    <w:qFormat/>
    <w:rsid w:val="00522304"/>
    <w:pPr>
      <w:adjustRightInd w:val="0"/>
      <w:snapToGrid w:val="0"/>
      <w:spacing w:before="240" w:line="260" w:lineRule="atLeast"/>
      <w:ind w:left="2608"/>
      <w:jc w:val="both"/>
    </w:pPr>
    <w:rPr>
      <w:rFonts w:ascii="Palatino Linotype" w:eastAsia="Times New Roman" w:hAnsi="Palatino Linotype"/>
      <w:snapToGrid w:val="0"/>
      <w:color w:val="000000"/>
      <w:sz w:val="18"/>
      <w:szCs w:val="22"/>
      <w:lang w:eastAsia="de-DE" w:bidi="en-US"/>
    </w:rPr>
  </w:style>
  <w:style w:type="paragraph" w:customStyle="1" w:styleId="MDPI19line">
    <w:name w:val="MDPI_1.9_line"/>
    <w:qFormat/>
    <w:rsid w:val="00522304"/>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Cs w:val="24"/>
      <w:lang w:eastAsia="de-DE" w:bidi="en-US"/>
    </w:rPr>
  </w:style>
  <w:style w:type="table" w:customStyle="1" w:styleId="Mdeck5tablebodythreelines">
    <w:name w:val="M_deck_5_table_body_three_lines"/>
    <w:basedOn w:val="Tablanormal"/>
    <w:uiPriority w:val="99"/>
    <w:rsid w:val="0046726B"/>
    <w:pPr>
      <w:adjustRightInd w:val="0"/>
      <w:snapToGrid w:val="0"/>
      <w:spacing w:line="300" w:lineRule="exact"/>
      <w:jc w:val="center"/>
    </w:pPr>
    <w:rPr>
      <w:rFonts w:ascii="Times New Roman" w:hAnsi="Times New Roman"/>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aconcuadrcula">
    <w:name w:val="Table Grid"/>
    <w:basedOn w:val="Tablanormal"/>
    <w:uiPriority w:val="59"/>
    <w:rsid w:val="00522304"/>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rsid w:val="00522304"/>
    <w:pPr>
      <w:tabs>
        <w:tab w:val="center" w:pos="4153"/>
        <w:tab w:val="right" w:pos="8306"/>
      </w:tabs>
      <w:snapToGrid w:val="0"/>
      <w:spacing w:line="240" w:lineRule="atLeast"/>
    </w:pPr>
    <w:rPr>
      <w:szCs w:val="18"/>
    </w:rPr>
  </w:style>
  <w:style w:type="character" w:customStyle="1" w:styleId="PiedepginaCar">
    <w:name w:val="Pie de página Car"/>
    <w:link w:val="Piedepgina"/>
    <w:uiPriority w:val="99"/>
    <w:rsid w:val="00522304"/>
    <w:rPr>
      <w:rFonts w:ascii="Palatino Linotype" w:hAnsi="Palatino Linotype"/>
      <w:noProof/>
      <w:color w:val="000000"/>
      <w:szCs w:val="18"/>
    </w:rPr>
  </w:style>
  <w:style w:type="paragraph" w:styleId="Encabezado">
    <w:name w:val="header"/>
    <w:basedOn w:val="Normal"/>
    <w:link w:val="EncabezadoCar"/>
    <w:uiPriority w:val="99"/>
    <w:rsid w:val="00522304"/>
    <w:pPr>
      <w:pBdr>
        <w:bottom w:val="single" w:sz="6" w:space="1" w:color="auto"/>
      </w:pBdr>
      <w:tabs>
        <w:tab w:val="center" w:pos="4153"/>
        <w:tab w:val="right" w:pos="8306"/>
      </w:tabs>
      <w:snapToGrid w:val="0"/>
      <w:spacing w:line="240" w:lineRule="atLeast"/>
      <w:jc w:val="center"/>
    </w:pPr>
    <w:rPr>
      <w:szCs w:val="18"/>
    </w:rPr>
  </w:style>
  <w:style w:type="character" w:customStyle="1" w:styleId="EncabezadoCar">
    <w:name w:val="Encabezado Car"/>
    <w:link w:val="Encabezado"/>
    <w:uiPriority w:val="99"/>
    <w:rsid w:val="00522304"/>
    <w:rPr>
      <w:rFonts w:ascii="Palatino Linotype" w:hAnsi="Palatino Linotype"/>
      <w:noProof/>
      <w:color w:val="000000"/>
      <w:szCs w:val="18"/>
    </w:rPr>
  </w:style>
  <w:style w:type="paragraph" w:customStyle="1" w:styleId="MDPIheaderjournallogo">
    <w:name w:val="MDPI_header_journal_logo"/>
    <w:qFormat/>
    <w:rsid w:val="00522304"/>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MDPI32textnoindent">
    <w:name w:val="MDPI_3.2_text_no_indent"/>
    <w:basedOn w:val="MDPI31text"/>
    <w:qFormat/>
    <w:rsid w:val="00522304"/>
    <w:pPr>
      <w:ind w:firstLine="0"/>
    </w:pPr>
  </w:style>
  <w:style w:type="paragraph" w:customStyle="1" w:styleId="MDPI31text">
    <w:name w:val="MDPI_3.1_text"/>
    <w:qFormat/>
    <w:rsid w:val="00322BD2"/>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3textspaceafter">
    <w:name w:val="MDPI_3.3_text_space_after"/>
    <w:qFormat/>
    <w:rsid w:val="00522304"/>
    <w:pPr>
      <w:adjustRightInd w:val="0"/>
      <w:snapToGrid w:val="0"/>
      <w:spacing w:after="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4textspacebefore">
    <w:name w:val="MDPI_3.4_text_space_before"/>
    <w:qFormat/>
    <w:rsid w:val="00522304"/>
    <w:pPr>
      <w:adjustRightInd w:val="0"/>
      <w:snapToGrid w:val="0"/>
      <w:spacing w:before="24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5textbeforelist">
    <w:name w:val="MDPI_3.5_text_before_list"/>
    <w:qFormat/>
    <w:rsid w:val="00522304"/>
    <w:pPr>
      <w:adjustRightInd w:val="0"/>
      <w:snapToGrid w:val="0"/>
      <w:spacing w:line="228" w:lineRule="auto"/>
      <w:ind w:left="2608" w:firstLine="425"/>
      <w:jc w:val="both"/>
    </w:pPr>
    <w:rPr>
      <w:rFonts w:ascii="Palatino Linotype" w:eastAsia="Times New Roman" w:hAnsi="Palatino Linotype"/>
      <w:snapToGrid w:val="0"/>
      <w:color w:val="000000"/>
      <w:szCs w:val="22"/>
      <w:lang w:eastAsia="de-DE" w:bidi="en-US"/>
    </w:rPr>
  </w:style>
  <w:style w:type="paragraph" w:customStyle="1" w:styleId="MDPI36textafterlist">
    <w:name w:val="MDPI_3.6_text_after_list"/>
    <w:qFormat/>
    <w:rsid w:val="00522304"/>
    <w:pPr>
      <w:adjustRightInd w:val="0"/>
      <w:snapToGrid w:val="0"/>
      <w:spacing w:before="120"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37itemize">
    <w:name w:val="MDPI_3.7_itemize"/>
    <w:qFormat/>
    <w:rsid w:val="00510707"/>
    <w:pPr>
      <w:numPr>
        <w:numId w:val="22"/>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8bullet">
    <w:name w:val="MDPI_3.8_bullet"/>
    <w:qFormat/>
    <w:rsid w:val="00510707"/>
    <w:pPr>
      <w:numPr>
        <w:numId w:val="20"/>
      </w:numPr>
      <w:adjustRightInd w:val="0"/>
      <w:snapToGrid w:val="0"/>
      <w:spacing w:line="228" w:lineRule="auto"/>
      <w:jc w:val="both"/>
    </w:pPr>
    <w:rPr>
      <w:rFonts w:ascii="Palatino Linotype" w:eastAsia="Times New Roman" w:hAnsi="Palatino Linotype"/>
      <w:color w:val="000000"/>
      <w:szCs w:val="22"/>
      <w:lang w:eastAsia="de-DE" w:bidi="en-US"/>
    </w:rPr>
  </w:style>
  <w:style w:type="paragraph" w:customStyle="1" w:styleId="MDPI39equation">
    <w:name w:val="MDPI_3.9_equation"/>
    <w:qFormat/>
    <w:rsid w:val="00522304"/>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MDPI3aequationnumber">
    <w:name w:val="MDPI_3.a_equation_number"/>
    <w:qFormat/>
    <w:rsid w:val="00522304"/>
    <w:pPr>
      <w:spacing w:before="120" w:after="120"/>
      <w:jc w:val="right"/>
    </w:pPr>
    <w:rPr>
      <w:rFonts w:ascii="Palatino Linotype" w:eastAsia="Times New Roman" w:hAnsi="Palatino Linotype"/>
      <w:snapToGrid w:val="0"/>
      <w:color w:val="000000"/>
      <w:szCs w:val="22"/>
      <w:lang w:eastAsia="de-DE" w:bidi="en-US"/>
    </w:rPr>
  </w:style>
  <w:style w:type="paragraph" w:customStyle="1" w:styleId="MDPI41tablecaption">
    <w:name w:val="MDPI_4.1_table_caption"/>
    <w:qFormat/>
    <w:rsid w:val="00522304"/>
    <w:pPr>
      <w:adjustRightInd w:val="0"/>
      <w:snapToGrid w:val="0"/>
      <w:spacing w:before="240" w:after="120"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42tablebody">
    <w:name w:val="MDPI_4.2_table_body"/>
    <w:qFormat/>
    <w:rsid w:val="007D1435"/>
    <w:pPr>
      <w:adjustRightInd w:val="0"/>
      <w:snapToGrid w:val="0"/>
      <w:spacing w:line="260" w:lineRule="atLeast"/>
      <w:jc w:val="center"/>
    </w:pPr>
    <w:rPr>
      <w:rFonts w:ascii="Palatino Linotype" w:eastAsia="Times New Roman" w:hAnsi="Palatino Linotype"/>
      <w:snapToGrid w:val="0"/>
      <w:color w:val="000000"/>
      <w:lang w:eastAsia="de-DE" w:bidi="en-US"/>
    </w:rPr>
  </w:style>
  <w:style w:type="paragraph" w:customStyle="1" w:styleId="MDPI43tablefooter">
    <w:name w:val="MDPI_4.3_table_footer"/>
    <w:next w:val="MDPI31text"/>
    <w:qFormat/>
    <w:rsid w:val="00522304"/>
    <w:pPr>
      <w:adjustRightInd w:val="0"/>
      <w:snapToGrid w:val="0"/>
      <w:spacing w:line="228" w:lineRule="auto"/>
      <w:ind w:left="2608"/>
      <w:jc w:val="both"/>
    </w:pPr>
    <w:rPr>
      <w:rFonts w:ascii="Palatino Linotype" w:eastAsia="Times New Roman" w:hAnsi="Palatino Linotype" w:cs="Cordia New"/>
      <w:color w:val="000000"/>
      <w:sz w:val="18"/>
      <w:szCs w:val="22"/>
      <w:lang w:eastAsia="de-DE" w:bidi="en-US"/>
    </w:rPr>
  </w:style>
  <w:style w:type="paragraph" w:customStyle="1" w:styleId="MDPI51figurecaption">
    <w:name w:val="MDPI_5.1_figure_caption"/>
    <w:qFormat/>
    <w:rsid w:val="00522304"/>
    <w:pPr>
      <w:adjustRightInd w:val="0"/>
      <w:snapToGrid w:val="0"/>
      <w:spacing w:before="120" w:after="240" w:line="228" w:lineRule="auto"/>
      <w:ind w:left="2608"/>
      <w:jc w:val="both"/>
    </w:pPr>
    <w:rPr>
      <w:rFonts w:ascii="Palatino Linotype" w:eastAsia="Times New Roman" w:hAnsi="Palatino Linotype"/>
      <w:color w:val="000000"/>
      <w:sz w:val="18"/>
      <w:lang w:eastAsia="de-DE" w:bidi="en-US"/>
    </w:rPr>
  </w:style>
  <w:style w:type="paragraph" w:customStyle="1" w:styleId="MDPI52figure">
    <w:name w:val="MDPI_5.2_figure"/>
    <w:qFormat/>
    <w:rsid w:val="00522304"/>
    <w:pPr>
      <w:adjustRightInd w:val="0"/>
      <w:snapToGrid w:val="0"/>
      <w:spacing w:before="240" w:after="120"/>
      <w:jc w:val="center"/>
    </w:pPr>
    <w:rPr>
      <w:rFonts w:ascii="Palatino Linotype" w:eastAsia="Times New Roman" w:hAnsi="Palatino Linotype"/>
      <w:snapToGrid w:val="0"/>
      <w:color w:val="000000"/>
      <w:lang w:eastAsia="de-DE" w:bidi="en-US"/>
    </w:rPr>
  </w:style>
  <w:style w:type="paragraph" w:customStyle="1" w:styleId="MDPI81theorem">
    <w:name w:val="MDPI_8.1_theorem"/>
    <w:qFormat/>
    <w:rsid w:val="00522304"/>
    <w:pPr>
      <w:adjustRightInd w:val="0"/>
      <w:snapToGrid w:val="0"/>
      <w:spacing w:line="228" w:lineRule="auto"/>
      <w:ind w:left="2608"/>
      <w:jc w:val="both"/>
    </w:pPr>
    <w:rPr>
      <w:rFonts w:ascii="Palatino Linotype" w:eastAsia="Times New Roman" w:hAnsi="Palatino Linotype"/>
      <w:i/>
      <w:snapToGrid w:val="0"/>
      <w:color w:val="000000"/>
      <w:szCs w:val="22"/>
      <w:lang w:eastAsia="de-DE" w:bidi="en-US"/>
    </w:rPr>
  </w:style>
  <w:style w:type="paragraph" w:customStyle="1" w:styleId="MDPI82proof">
    <w:name w:val="MDPI_8.2_proof"/>
    <w:qFormat/>
    <w:rsid w:val="00522304"/>
    <w:pPr>
      <w:adjustRightInd w:val="0"/>
      <w:snapToGrid w:val="0"/>
      <w:spacing w:line="228" w:lineRule="auto"/>
      <w:ind w:left="2608"/>
      <w:jc w:val="both"/>
    </w:pPr>
    <w:rPr>
      <w:rFonts w:ascii="Palatino Linotype" w:eastAsia="Times New Roman" w:hAnsi="Palatino Linotype"/>
      <w:snapToGrid w:val="0"/>
      <w:color w:val="000000"/>
      <w:szCs w:val="22"/>
      <w:lang w:eastAsia="de-DE" w:bidi="en-US"/>
    </w:rPr>
  </w:style>
  <w:style w:type="paragraph" w:customStyle="1" w:styleId="MDPIfooterfirstpage">
    <w:name w:val="MDPI_footer_firstpage"/>
    <w:qFormat/>
    <w:rsid w:val="00522304"/>
    <w:pPr>
      <w:tabs>
        <w:tab w:val="right" w:pos="8845"/>
      </w:tabs>
      <w:spacing w:line="160" w:lineRule="exact"/>
    </w:pPr>
    <w:rPr>
      <w:rFonts w:ascii="Palatino Linotype" w:eastAsia="Times New Roman" w:hAnsi="Palatino Linotype"/>
      <w:color w:val="000000"/>
      <w:sz w:val="16"/>
      <w:lang w:eastAsia="de-DE"/>
    </w:rPr>
  </w:style>
  <w:style w:type="paragraph" w:customStyle="1" w:styleId="MDPI23heading3">
    <w:name w:val="MDPI_2.3_heading3"/>
    <w:qFormat/>
    <w:rsid w:val="00522304"/>
    <w:pPr>
      <w:adjustRightInd w:val="0"/>
      <w:snapToGrid w:val="0"/>
      <w:spacing w:before="60" w:after="60" w:line="228" w:lineRule="auto"/>
      <w:ind w:left="2608"/>
      <w:outlineLvl w:val="2"/>
    </w:pPr>
    <w:rPr>
      <w:rFonts w:ascii="Palatino Linotype" w:eastAsia="Times New Roman" w:hAnsi="Palatino Linotype"/>
      <w:snapToGrid w:val="0"/>
      <w:color w:val="000000"/>
      <w:szCs w:val="22"/>
      <w:lang w:eastAsia="de-DE" w:bidi="en-US"/>
    </w:rPr>
  </w:style>
  <w:style w:type="paragraph" w:customStyle="1" w:styleId="MDPI21heading1">
    <w:name w:val="MDPI_2.1_heading1"/>
    <w:qFormat/>
    <w:rsid w:val="00522304"/>
    <w:pPr>
      <w:adjustRightInd w:val="0"/>
      <w:snapToGrid w:val="0"/>
      <w:spacing w:before="240" w:after="60" w:line="228" w:lineRule="auto"/>
      <w:ind w:left="2608"/>
      <w:outlineLvl w:val="0"/>
    </w:pPr>
    <w:rPr>
      <w:rFonts w:ascii="Palatino Linotype" w:eastAsia="Times New Roman" w:hAnsi="Palatino Linotype"/>
      <w:b/>
      <w:snapToGrid w:val="0"/>
      <w:color w:val="000000"/>
      <w:szCs w:val="22"/>
      <w:lang w:eastAsia="de-DE" w:bidi="en-US"/>
    </w:rPr>
  </w:style>
  <w:style w:type="paragraph" w:customStyle="1" w:styleId="MDPI22heading2">
    <w:name w:val="MDPI_2.2_heading2"/>
    <w:qFormat/>
    <w:rsid w:val="00522304"/>
    <w:pPr>
      <w:adjustRightInd w:val="0"/>
      <w:snapToGrid w:val="0"/>
      <w:spacing w:before="60" w:after="60" w:line="228" w:lineRule="auto"/>
      <w:ind w:left="2608"/>
      <w:outlineLvl w:val="1"/>
    </w:pPr>
    <w:rPr>
      <w:rFonts w:ascii="Palatino Linotype" w:eastAsia="Times New Roman" w:hAnsi="Palatino Linotype"/>
      <w:i/>
      <w:noProof/>
      <w:snapToGrid w:val="0"/>
      <w:color w:val="000000"/>
      <w:szCs w:val="22"/>
      <w:lang w:eastAsia="de-DE" w:bidi="en-US"/>
    </w:rPr>
  </w:style>
  <w:style w:type="paragraph" w:customStyle="1" w:styleId="MDPI71References">
    <w:name w:val="MDPI_7.1_References"/>
    <w:qFormat/>
    <w:rsid w:val="00187A46"/>
    <w:pPr>
      <w:numPr>
        <w:numId w:val="23"/>
      </w:numPr>
      <w:adjustRightInd w:val="0"/>
      <w:snapToGrid w:val="0"/>
      <w:spacing w:line="228" w:lineRule="auto"/>
      <w:jc w:val="both"/>
    </w:pPr>
    <w:rPr>
      <w:rFonts w:ascii="Palatino Linotype" w:eastAsia="Times New Roman" w:hAnsi="Palatino Linotype"/>
      <w:color w:val="000000"/>
      <w:sz w:val="18"/>
      <w:lang w:eastAsia="de-DE" w:bidi="en-US"/>
    </w:rPr>
  </w:style>
  <w:style w:type="paragraph" w:styleId="Textodeglobo">
    <w:name w:val="Balloon Text"/>
    <w:basedOn w:val="Normal"/>
    <w:link w:val="TextodegloboCar"/>
    <w:uiPriority w:val="99"/>
    <w:rsid w:val="00522304"/>
    <w:rPr>
      <w:rFonts w:cs="Tahoma"/>
      <w:szCs w:val="18"/>
    </w:rPr>
  </w:style>
  <w:style w:type="character" w:customStyle="1" w:styleId="TextodegloboCar">
    <w:name w:val="Texto de globo Car"/>
    <w:link w:val="Textodeglobo"/>
    <w:uiPriority w:val="99"/>
    <w:rsid w:val="00522304"/>
    <w:rPr>
      <w:rFonts w:ascii="Palatino Linotype" w:hAnsi="Palatino Linotype" w:cs="Tahoma"/>
      <w:noProof/>
      <w:color w:val="000000"/>
      <w:szCs w:val="18"/>
    </w:rPr>
  </w:style>
  <w:style w:type="character" w:styleId="Nmerodelnea">
    <w:name w:val="line number"/>
    <w:uiPriority w:val="99"/>
    <w:rsid w:val="00284BEB"/>
    <w:rPr>
      <w:rFonts w:ascii="Palatino Linotype" w:hAnsi="Palatino Linotype"/>
      <w:sz w:val="16"/>
    </w:rPr>
  </w:style>
  <w:style w:type="table" w:customStyle="1" w:styleId="MDPI41threelinetable">
    <w:name w:val="MDPI_4.1_three_line_table"/>
    <w:basedOn w:val="Tablanormal"/>
    <w:uiPriority w:val="99"/>
    <w:rsid w:val="00522304"/>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Hipervnculo">
    <w:name w:val="Hyperlink"/>
    <w:uiPriority w:val="99"/>
    <w:rsid w:val="00522304"/>
    <w:rPr>
      <w:color w:val="0000FF"/>
      <w:u w:val="single"/>
    </w:rPr>
  </w:style>
  <w:style w:type="character" w:styleId="Mencinsinresolver">
    <w:name w:val="Unresolved Mention"/>
    <w:uiPriority w:val="99"/>
    <w:semiHidden/>
    <w:unhideWhenUsed/>
    <w:rsid w:val="00C243C9"/>
    <w:rPr>
      <w:color w:val="605E5C"/>
      <w:shd w:val="clear" w:color="auto" w:fill="E1DFDD"/>
    </w:rPr>
  </w:style>
  <w:style w:type="table" w:styleId="Tablanormal4">
    <w:name w:val="Plain Table 4"/>
    <w:basedOn w:val="Tablanormal"/>
    <w:uiPriority w:val="44"/>
    <w:rsid w:val="00AE34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522304"/>
    <w:pPr>
      <w:adjustRightInd w:val="0"/>
      <w:snapToGrid w:val="0"/>
      <w:spacing w:line="240" w:lineRule="atLeast"/>
      <w:ind w:right="113"/>
    </w:pPr>
    <w:rPr>
      <w:rFonts w:ascii="Palatino Linotype" w:hAnsi="Palatino Linotype" w:cs="Cordia New"/>
      <w:sz w:val="14"/>
      <w:szCs w:val="22"/>
    </w:rPr>
  </w:style>
  <w:style w:type="paragraph" w:customStyle="1" w:styleId="MDPI62BackMatter">
    <w:name w:val="MDPI_6.2_BackMatter"/>
    <w:qFormat/>
    <w:rsid w:val="00522304"/>
    <w:pPr>
      <w:adjustRightInd w:val="0"/>
      <w:snapToGrid w:val="0"/>
      <w:spacing w:after="120" w:line="228" w:lineRule="auto"/>
      <w:ind w:left="2608"/>
      <w:jc w:val="both"/>
    </w:pPr>
    <w:rPr>
      <w:rFonts w:ascii="Palatino Linotype" w:eastAsia="Times New Roman" w:hAnsi="Palatino Linotype"/>
      <w:snapToGrid w:val="0"/>
      <w:color w:val="000000"/>
      <w:sz w:val="18"/>
      <w:lang w:eastAsia="en-US" w:bidi="en-US"/>
    </w:rPr>
  </w:style>
  <w:style w:type="paragraph" w:customStyle="1" w:styleId="MDPI63Notes">
    <w:name w:val="MDPI_6.3_Notes"/>
    <w:qFormat/>
    <w:rsid w:val="00522304"/>
    <w:pPr>
      <w:adjustRightInd w:val="0"/>
      <w:snapToGrid w:val="0"/>
      <w:spacing w:before="240" w:line="228" w:lineRule="auto"/>
      <w:jc w:val="both"/>
    </w:pPr>
    <w:rPr>
      <w:rFonts w:ascii="Palatino Linotype" w:hAnsi="Palatino Linotype"/>
      <w:snapToGrid w:val="0"/>
      <w:color w:val="000000"/>
      <w:sz w:val="18"/>
      <w:lang w:eastAsia="en-US" w:bidi="en-US"/>
    </w:rPr>
  </w:style>
  <w:style w:type="paragraph" w:customStyle="1" w:styleId="MDPI15academiceditor">
    <w:name w:val="MDPI_1.5_academic_editor"/>
    <w:qFormat/>
    <w:rsid w:val="0006442A"/>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MDPI19classification">
    <w:name w:val="MDPI_1.9_classification"/>
    <w:qFormat/>
    <w:rsid w:val="00522304"/>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MDPI411onetablecaption">
    <w:name w:val="MDPI_4.1.1_one_table_caption"/>
    <w:qFormat/>
    <w:rsid w:val="00522304"/>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MDPI511onefigurecaption">
    <w:name w:val="MDPI_5.1.1_one_figure_caption"/>
    <w:qFormat/>
    <w:rsid w:val="00522304"/>
    <w:pPr>
      <w:adjustRightInd w:val="0"/>
      <w:snapToGrid w:val="0"/>
      <w:spacing w:before="240" w:after="120" w:line="260" w:lineRule="atLeast"/>
      <w:jc w:val="center"/>
    </w:pPr>
    <w:rPr>
      <w:rFonts w:ascii="Palatino Linotype" w:hAnsi="Palatino Linotype"/>
      <w:noProof/>
      <w:color w:val="000000"/>
      <w:sz w:val="18"/>
      <w:lang w:bidi="en-US"/>
    </w:rPr>
  </w:style>
  <w:style w:type="paragraph" w:customStyle="1" w:styleId="MDPI72Copyright">
    <w:name w:val="MDPI_7.2_Copyright"/>
    <w:qFormat/>
    <w:rsid w:val="0028726C"/>
    <w:pPr>
      <w:adjustRightInd w:val="0"/>
      <w:snapToGrid w:val="0"/>
      <w:spacing w:before="60" w:line="240" w:lineRule="atLeast"/>
      <w:ind w:right="113"/>
      <w:jc w:val="both"/>
    </w:pPr>
    <w:rPr>
      <w:rFonts w:ascii="Palatino Linotype" w:eastAsia="Times New Roman" w:hAnsi="Palatino Linotype"/>
      <w:noProof/>
      <w:snapToGrid w:val="0"/>
      <w:color w:val="000000"/>
      <w:sz w:val="14"/>
      <w:lang w:val="en-GB" w:eastAsia="en-GB"/>
    </w:rPr>
  </w:style>
  <w:style w:type="paragraph" w:customStyle="1" w:styleId="MDPI73CopyrightImage">
    <w:name w:val="MDPI_7.3_CopyrightImage"/>
    <w:rsid w:val="00522304"/>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MDPIequationFram">
    <w:name w:val="MDPI_equationFram"/>
    <w:qFormat/>
    <w:rsid w:val="00522304"/>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MDPIfooter">
    <w:name w:val="MDPI_footer"/>
    <w:qFormat/>
    <w:rsid w:val="00522304"/>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MDPIheader">
    <w:name w:val="MDPI_header"/>
    <w:qFormat/>
    <w:rsid w:val="00522304"/>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MDPIheadercitation">
    <w:name w:val="MDPI_header_citation"/>
    <w:rsid w:val="00522304"/>
    <w:pPr>
      <w:spacing w:after="240"/>
    </w:pPr>
    <w:rPr>
      <w:rFonts w:ascii="Palatino Linotype" w:eastAsia="Times New Roman" w:hAnsi="Palatino Linotype"/>
      <w:snapToGrid w:val="0"/>
      <w:color w:val="000000"/>
      <w:sz w:val="18"/>
      <w:lang w:eastAsia="de-DE" w:bidi="en-US"/>
    </w:rPr>
  </w:style>
  <w:style w:type="paragraph" w:customStyle="1" w:styleId="MDPIheadermdpilogo">
    <w:name w:val="MDPI_header_mdpi_logo"/>
    <w:qFormat/>
    <w:rsid w:val="00522304"/>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MDPITable">
    <w:name w:val="MDPI_Table"/>
    <w:basedOn w:val="Tablanormal"/>
    <w:uiPriority w:val="99"/>
    <w:rsid w:val="00522304"/>
    <w:rPr>
      <w:rFonts w:ascii="Palatino Linotype" w:hAnsi="Palatino Linotype"/>
      <w:color w:val="000000"/>
      <w:lang w:val="en-CA" w:eastAsia="en-US"/>
    </w:rPr>
    <w:tblPr>
      <w:tblCellMar>
        <w:left w:w="0" w:type="dxa"/>
        <w:right w:w="0" w:type="dxa"/>
      </w:tblCellMar>
    </w:tblPr>
  </w:style>
  <w:style w:type="paragraph" w:customStyle="1" w:styleId="MDPItext">
    <w:name w:val="MDPI_text"/>
    <w:qFormat/>
    <w:rsid w:val="00522304"/>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MDPItitle">
    <w:name w:val="MDPI_title"/>
    <w:qFormat/>
    <w:rsid w:val="00522304"/>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character" w:customStyle="1" w:styleId="apple-converted-space">
    <w:name w:val="apple-converted-space"/>
    <w:rsid w:val="00522304"/>
  </w:style>
  <w:style w:type="paragraph" w:styleId="Bibliografa">
    <w:name w:val="Bibliography"/>
    <w:basedOn w:val="Normal"/>
    <w:next w:val="Normal"/>
    <w:uiPriority w:val="37"/>
    <w:unhideWhenUsed/>
    <w:rsid w:val="00522304"/>
    <w:pPr>
      <w:tabs>
        <w:tab w:val="left" w:pos="384"/>
      </w:tabs>
      <w:spacing w:line="240" w:lineRule="atLeast"/>
      <w:ind w:left="384" w:hanging="384"/>
    </w:pPr>
  </w:style>
  <w:style w:type="paragraph" w:styleId="Textoindependiente">
    <w:name w:val="Body Text"/>
    <w:link w:val="TextoindependienteCar"/>
    <w:rsid w:val="00522304"/>
    <w:pPr>
      <w:spacing w:after="120" w:line="340" w:lineRule="atLeast"/>
      <w:jc w:val="both"/>
    </w:pPr>
    <w:rPr>
      <w:rFonts w:ascii="Palatino Linotype" w:hAnsi="Palatino Linotype"/>
      <w:color w:val="000000"/>
      <w:sz w:val="24"/>
      <w:lang w:eastAsia="de-DE"/>
    </w:rPr>
  </w:style>
  <w:style w:type="character" w:customStyle="1" w:styleId="TextoindependienteCar">
    <w:name w:val="Texto independiente Car"/>
    <w:link w:val="Textoindependiente"/>
    <w:rsid w:val="00522304"/>
    <w:rPr>
      <w:rFonts w:ascii="Palatino Linotype" w:hAnsi="Palatino Linotype"/>
      <w:color w:val="000000"/>
      <w:sz w:val="24"/>
      <w:lang w:eastAsia="de-DE"/>
    </w:rPr>
  </w:style>
  <w:style w:type="character" w:styleId="Refdecomentario">
    <w:name w:val="annotation reference"/>
    <w:rsid w:val="00522304"/>
    <w:rPr>
      <w:sz w:val="21"/>
      <w:szCs w:val="21"/>
    </w:rPr>
  </w:style>
  <w:style w:type="paragraph" w:styleId="Textocomentario">
    <w:name w:val="annotation text"/>
    <w:basedOn w:val="Normal"/>
    <w:link w:val="TextocomentarioCar"/>
    <w:rsid w:val="00522304"/>
  </w:style>
  <w:style w:type="character" w:customStyle="1" w:styleId="TextocomentarioCar">
    <w:name w:val="Texto comentario Car"/>
    <w:link w:val="Textocomentario"/>
    <w:rsid w:val="00522304"/>
    <w:rPr>
      <w:rFonts w:ascii="Palatino Linotype" w:hAnsi="Palatino Linotype"/>
      <w:noProof/>
      <w:color w:val="000000"/>
    </w:rPr>
  </w:style>
  <w:style w:type="paragraph" w:styleId="Asuntodelcomentario">
    <w:name w:val="annotation subject"/>
    <w:basedOn w:val="Textocomentario"/>
    <w:next w:val="Textocomentario"/>
    <w:link w:val="AsuntodelcomentarioCar"/>
    <w:rsid w:val="00522304"/>
    <w:rPr>
      <w:b/>
      <w:bCs/>
    </w:rPr>
  </w:style>
  <w:style w:type="character" w:customStyle="1" w:styleId="AsuntodelcomentarioCar">
    <w:name w:val="Asunto del comentario Car"/>
    <w:link w:val="Asuntodelcomentario"/>
    <w:rsid w:val="00522304"/>
    <w:rPr>
      <w:rFonts w:ascii="Palatino Linotype" w:hAnsi="Palatino Linotype"/>
      <w:b/>
      <w:bCs/>
      <w:noProof/>
      <w:color w:val="000000"/>
    </w:rPr>
  </w:style>
  <w:style w:type="character" w:styleId="Refdenotaalfinal">
    <w:name w:val="endnote reference"/>
    <w:rsid w:val="00522304"/>
    <w:rPr>
      <w:vertAlign w:val="superscript"/>
    </w:rPr>
  </w:style>
  <w:style w:type="paragraph" w:styleId="Textonotaalfinal">
    <w:name w:val="endnote text"/>
    <w:basedOn w:val="Normal"/>
    <w:link w:val="TextonotaalfinalCar"/>
    <w:semiHidden/>
    <w:unhideWhenUsed/>
    <w:rsid w:val="00522304"/>
    <w:pPr>
      <w:spacing w:line="240" w:lineRule="auto"/>
    </w:pPr>
  </w:style>
  <w:style w:type="character" w:customStyle="1" w:styleId="TextonotaalfinalCar">
    <w:name w:val="Texto nota al final Car"/>
    <w:link w:val="Textonotaalfinal"/>
    <w:semiHidden/>
    <w:rsid w:val="00522304"/>
    <w:rPr>
      <w:rFonts w:ascii="Palatino Linotype" w:hAnsi="Palatino Linotype"/>
      <w:noProof/>
      <w:color w:val="000000"/>
    </w:rPr>
  </w:style>
  <w:style w:type="character" w:styleId="Hipervnculovisitado">
    <w:name w:val="FollowedHyperlink"/>
    <w:rsid w:val="00522304"/>
    <w:rPr>
      <w:color w:val="954F72"/>
      <w:u w:val="single"/>
    </w:rPr>
  </w:style>
  <w:style w:type="paragraph" w:styleId="Textonotapie">
    <w:name w:val="footnote text"/>
    <w:basedOn w:val="Normal"/>
    <w:link w:val="TextonotapieCar"/>
    <w:semiHidden/>
    <w:unhideWhenUsed/>
    <w:rsid w:val="00522304"/>
    <w:pPr>
      <w:spacing w:line="240" w:lineRule="auto"/>
    </w:pPr>
  </w:style>
  <w:style w:type="character" w:customStyle="1" w:styleId="TextonotapieCar">
    <w:name w:val="Texto nota pie Car"/>
    <w:link w:val="Textonotapie"/>
    <w:semiHidden/>
    <w:rsid w:val="00522304"/>
    <w:rPr>
      <w:rFonts w:ascii="Palatino Linotype" w:hAnsi="Palatino Linotype"/>
      <w:noProof/>
      <w:color w:val="000000"/>
    </w:rPr>
  </w:style>
  <w:style w:type="paragraph" w:styleId="NormalWeb">
    <w:name w:val="Normal (Web)"/>
    <w:basedOn w:val="Normal"/>
    <w:uiPriority w:val="99"/>
    <w:rsid w:val="00522304"/>
    <w:rPr>
      <w:szCs w:val="24"/>
    </w:rPr>
  </w:style>
  <w:style w:type="paragraph" w:customStyle="1" w:styleId="MsoFootnoteText0">
    <w:name w:val="MsoFootnoteText"/>
    <w:basedOn w:val="NormalWeb"/>
    <w:qFormat/>
    <w:rsid w:val="00522304"/>
    <w:rPr>
      <w:rFonts w:ascii="Times New Roman" w:hAnsi="Times New Roman"/>
    </w:rPr>
  </w:style>
  <w:style w:type="character" w:styleId="Nmerodepgina">
    <w:name w:val="page number"/>
    <w:rsid w:val="00522304"/>
  </w:style>
  <w:style w:type="character" w:styleId="Textodelmarcadordeposicin">
    <w:name w:val="Placeholder Text"/>
    <w:uiPriority w:val="99"/>
    <w:semiHidden/>
    <w:rsid w:val="00522304"/>
    <w:rPr>
      <w:color w:val="808080"/>
    </w:rPr>
  </w:style>
  <w:style w:type="paragraph" w:customStyle="1" w:styleId="MDPI71FootNotes">
    <w:name w:val="MDPI_7.1_FootNotes"/>
    <w:qFormat/>
    <w:rsid w:val="00262314"/>
    <w:pPr>
      <w:numPr>
        <w:numId w:val="21"/>
      </w:numPr>
      <w:adjustRightInd w:val="0"/>
      <w:snapToGrid w:val="0"/>
      <w:spacing w:line="228" w:lineRule="auto"/>
    </w:pPr>
    <w:rPr>
      <w:rFonts w:ascii="Palatino Linotype" w:eastAsiaTheme="minorEastAsia" w:hAnsi="Palatino Linotype"/>
      <w:noProof/>
      <w:color w:val="000000"/>
      <w:sz w:val="18"/>
    </w:rPr>
  </w:style>
  <w:style w:type="table" w:styleId="Tablanormal2">
    <w:name w:val="Plain Table 2"/>
    <w:basedOn w:val="Tablanormal"/>
    <w:uiPriority w:val="42"/>
    <w:rsid w:val="00FD1A7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clara">
    <w:name w:val="Grid Table Light"/>
    <w:basedOn w:val="Tablanormal"/>
    <w:uiPriority w:val="40"/>
    <w:rsid w:val="0031462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rrafodelista">
    <w:name w:val="List Paragraph"/>
    <w:basedOn w:val="Normal"/>
    <w:uiPriority w:val="34"/>
    <w:qFormat/>
    <w:rsid w:val="008B44F6"/>
    <w:pPr>
      <w:spacing w:after="160" w:line="259" w:lineRule="auto"/>
      <w:ind w:left="720"/>
      <w:contextualSpacing/>
      <w:jc w:val="left"/>
    </w:pPr>
    <w:rPr>
      <w:rFonts w:asciiTheme="minorHAnsi" w:eastAsiaTheme="minorHAnsi" w:hAnsiTheme="minorHAnsi" w:cstheme="minorBidi"/>
      <w:noProof w:val="0"/>
      <w:color w:val="auto"/>
      <w:sz w:val="22"/>
      <w:szCs w:val="22"/>
      <w:lang w:val="en-AU" w:eastAsia="en-US"/>
    </w:rPr>
  </w:style>
  <w:style w:type="character" w:customStyle="1" w:styleId="Ttulo1Car">
    <w:name w:val="Título 1 Car"/>
    <w:basedOn w:val="Fuentedeprrafopredeter"/>
    <w:link w:val="Ttulo1"/>
    <w:uiPriority w:val="9"/>
    <w:rsid w:val="00AD7D22"/>
    <w:rPr>
      <w:rFonts w:asciiTheme="majorHAnsi" w:eastAsiaTheme="majorEastAsia" w:hAnsiTheme="majorHAnsi" w:cstheme="majorBidi"/>
      <w:b/>
      <w:bCs/>
      <w:sz w:val="32"/>
      <w:szCs w:val="32"/>
      <w:lang w:eastAsia="en-US"/>
    </w:rPr>
  </w:style>
  <w:style w:type="character" w:customStyle="1" w:styleId="Ttulo5Car">
    <w:name w:val="Título 5 Car"/>
    <w:basedOn w:val="Fuentedeprrafopredeter"/>
    <w:link w:val="Ttulo5"/>
    <w:uiPriority w:val="9"/>
    <w:rsid w:val="00AD7D22"/>
    <w:rPr>
      <w:rFonts w:asciiTheme="majorHAnsi" w:eastAsiaTheme="majorEastAsia" w:hAnsiTheme="majorHAnsi" w:cstheme="majorBidi"/>
      <w:b/>
      <w:bCs/>
      <w:color w:val="FFFFFF" w:themeColor="background1"/>
      <w:sz w:val="16"/>
      <w:szCs w:val="24"/>
      <w:lang w:eastAsia="en-US"/>
    </w:rPr>
  </w:style>
  <w:style w:type="paragraph" w:customStyle="1" w:styleId="FirstParagraph">
    <w:name w:val="First Paragraph"/>
    <w:basedOn w:val="Textoindependiente"/>
    <w:next w:val="Textoindependiente"/>
    <w:qFormat/>
    <w:rsid w:val="00AD7D22"/>
    <w:pPr>
      <w:spacing w:before="120" w:line="240" w:lineRule="auto"/>
      <w:jc w:val="left"/>
    </w:pPr>
    <w:rPr>
      <w:rFonts w:asciiTheme="minorHAnsi" w:eastAsiaTheme="minorHAnsi" w:hAnsiTheme="minorHAnsi" w:cstheme="minorBidi"/>
      <w:color w:val="auto"/>
      <w:szCs w:val="24"/>
      <w:lang w:eastAsia="en-US"/>
    </w:rPr>
  </w:style>
  <w:style w:type="character" w:customStyle="1" w:styleId="Ttulo4Car">
    <w:name w:val="Título 4 Car"/>
    <w:basedOn w:val="Fuentedeprrafopredeter"/>
    <w:link w:val="Ttulo4"/>
    <w:uiPriority w:val="9"/>
    <w:semiHidden/>
    <w:rsid w:val="00AD7D22"/>
    <w:rPr>
      <w:rFonts w:asciiTheme="majorHAnsi" w:eastAsiaTheme="majorEastAsia" w:hAnsiTheme="majorHAnsi" w:cstheme="majorBidi"/>
      <w:i/>
      <w:iCs/>
      <w:noProof/>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6327243">
      <w:bodyDiv w:val="1"/>
      <w:marLeft w:val="0"/>
      <w:marRight w:val="0"/>
      <w:marTop w:val="0"/>
      <w:marBottom w:val="0"/>
      <w:divBdr>
        <w:top w:val="none" w:sz="0" w:space="0" w:color="auto"/>
        <w:left w:val="none" w:sz="0" w:space="0" w:color="auto"/>
        <w:bottom w:val="none" w:sz="0" w:space="0" w:color="auto"/>
        <w:right w:val="none" w:sz="0" w:space="0" w:color="auto"/>
      </w:divBdr>
    </w:div>
  </w:divs>
  <w:encoding w:val="iso-8859-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rwin_leon@usmp.pe" TargetMode="External"/><Relationship Id="rId13" Type="http://schemas.openxmlformats.org/officeDocument/2006/relationships/hyperlink" Target="mailto:alphonso.morales@lau.edu.lb"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mailto:arodriguezmo@cientifica.edu.pe"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njitsah@iom.edu.np"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www.prisma-statement.org" TargetMode="External"/><Relationship Id="rId23" Type="http://schemas.openxmlformats.org/officeDocument/2006/relationships/image" Target="media/image5.png"/><Relationship Id="rId10" Type="http://schemas.openxmlformats.org/officeDocument/2006/relationships/hyperlink" Target="mailto:mvalladares@continental.edu.pe" TargetMode="Externa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jbarbozameca@gmail.com" TargetMode="External"/><Relationship Id="rId14" Type="http://schemas.openxmlformats.org/officeDocument/2006/relationships/hyperlink" Target="mailto:mvalladares@continental.edu.pe" TargetMode="External"/><Relationship Id="rId22"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rwin%20Anthony%20Le&#243;n\Downloads\ijerph-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8F7FD-D75B-4DBF-94CF-5D603C5B7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ijerph-template</Template>
  <TotalTime>158</TotalTime>
  <Pages>19</Pages>
  <Words>17632</Words>
  <Characters>96978</Characters>
  <Application>Microsoft Office Word</Application>
  <DocSecurity>0</DocSecurity>
  <Lines>808</Lines>
  <Paragraphs>228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Type of the Paper (Article</vt:lpstr>
      <vt:lpstr>Type of the Paper (Article</vt:lpstr>
    </vt:vector>
  </TitlesOfParts>
  <Company/>
  <LinksUpToDate>false</LinksUpToDate>
  <CharactersWithSpaces>114382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Darwin Anthony León</dc:creator>
  <cp:keywords/>
  <dc:description/>
  <cp:lastModifiedBy>DARWIN ANTHONY LEON FIGUEROA</cp:lastModifiedBy>
  <cp:revision>99</cp:revision>
  <cp:lastPrinted>2023-06-27T03:08:00Z</cp:lastPrinted>
  <dcterms:created xsi:type="dcterms:W3CDTF">2023-07-30T06:56:00Z</dcterms:created>
  <dcterms:modified xsi:type="dcterms:W3CDTF">2023-09-26T05:44:00Z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id="NJenIp73"/&gt;&lt;style id="http://www.zotero.org/styles/multidisciplinary-digital-publishing-institute"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ies>
</file>