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8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 w:eastAsia="zh-CN" w:bidi="ar"/>
        </w:rPr>
        <w:t>Supplementary materials</w:t>
      </w:r>
    </w:p>
    <w:p>
      <w:pPr>
        <w:spacing w:line="360" w:lineRule="auto"/>
        <w:jc w:val="both"/>
        <w:outlineLvl w:val="0"/>
        <w:rPr>
          <w:rFonts w:ascii="Times New Roman" w:hAnsi="Times New Roman" w:eastAsia="Yu Mincho"/>
          <w:b/>
          <w:sz w:val="24"/>
          <w:szCs w:val="24"/>
          <w:lang w:val="en-US" w:eastAsia="en-US"/>
        </w:rPr>
      </w:pPr>
      <w:r>
        <w:rPr>
          <w:rFonts w:ascii="Times New Roman" w:hAnsi="Times New Roman" w:eastAsia="Calibri"/>
          <w:b/>
        </w:rPr>
        <w:t>Title:</w:t>
      </w:r>
    </w:p>
    <w:p>
      <w:pPr>
        <w:spacing w:line="480" w:lineRule="auto"/>
        <w:jc w:val="center"/>
        <w:rPr>
          <w:rFonts w:ascii="Times New Roman" w:hAnsi="Times New Roman" w:eastAsia="Calibri"/>
          <w:b/>
          <w:bCs/>
        </w:rPr>
      </w:pPr>
      <w:r>
        <w:rPr>
          <w:rFonts w:ascii="Times New Roman" w:hAnsi="Times New Roman" w:eastAsia="Calibri"/>
          <w:b/>
          <w:bCs/>
        </w:rPr>
        <w:t>PM</w:t>
      </w:r>
      <w:r>
        <w:rPr>
          <w:rFonts w:ascii="Times New Roman" w:hAnsi="Times New Roman" w:eastAsia="Calibri"/>
          <w:b/>
          <w:bCs/>
          <w:vertAlign w:val="subscript"/>
        </w:rPr>
        <w:t>2.5</w:t>
      </w:r>
      <w:r>
        <w:rPr>
          <w:rFonts w:ascii="Times New Roman" w:hAnsi="Times New Roman" w:eastAsia="Calibri"/>
          <w:b/>
          <w:bCs/>
        </w:rPr>
        <w:t xml:space="preserve"> Source apportionment and health effects in urban districts of Hanoi: inter-comparison of source apportionment results</w:t>
      </w:r>
    </w:p>
    <w:p>
      <w:pPr>
        <w:spacing w:line="360" w:lineRule="auto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1. Dr. Thi Hieu Bui (First author, </w:t>
      </w:r>
      <w:r>
        <w:rPr>
          <w:rFonts w:ascii="Times New Roman" w:hAnsi="Times New Roman" w:eastAsia="Calibri"/>
          <w:i/>
        </w:rPr>
        <w:t>Corresponding author)</w:t>
      </w:r>
      <w:r>
        <w:rPr>
          <w:rFonts w:ascii="Times New Roman" w:hAnsi="Times New Roman" w:eastAsia="Calibri"/>
        </w:rPr>
        <w:t>)</w:t>
      </w:r>
    </w:p>
    <w:p>
      <w:pPr>
        <w:spacing w:line="312" w:lineRule="auto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Address: Faculty of Environmental Engineering, Hanoi University of Civil Engineering, </w:t>
      </w:r>
    </w:p>
    <w:p>
      <w:pPr>
        <w:spacing w:line="312" w:lineRule="auto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55 Giai Phong road ,Hai Ba Trung, Hanoi, Viet Nam.</w:t>
      </w:r>
    </w:p>
    <w:p>
      <w:pPr>
        <w:spacing w:line="360" w:lineRule="auto"/>
        <w:jc w:val="both"/>
        <w:rPr>
          <w:rStyle w:val="12"/>
          <w:rFonts w:eastAsia="Calibri"/>
        </w:rPr>
      </w:pPr>
      <w:r>
        <w:rPr>
          <w:rFonts w:ascii="Times New Roman" w:hAnsi="Times New Roman" w:eastAsia="Calibri"/>
        </w:rPr>
        <w:t xml:space="preserve">Email: </w:t>
      </w:r>
      <w:r>
        <w:fldChar w:fldCharType="begin"/>
      </w:r>
      <w:r>
        <w:instrText xml:space="preserve"> HYPERLINK "mailto:Hieubt@nuce.edu.vn" </w:instrText>
      </w:r>
      <w:r>
        <w:fldChar w:fldCharType="separate"/>
      </w:r>
      <w:r>
        <w:rPr>
          <w:rStyle w:val="12"/>
          <w:rFonts w:eastAsia="Calibri"/>
        </w:rPr>
        <w:t>Hieubt@huce.edu.vn</w:t>
      </w:r>
      <w:r>
        <w:rPr>
          <w:rStyle w:val="12"/>
          <w:rFonts w:eastAsia="Calibri"/>
        </w:rPr>
        <w:fldChar w:fldCharType="end"/>
      </w:r>
      <w:r>
        <w:rPr>
          <w:rStyle w:val="12"/>
          <w:rFonts w:eastAsia="Calibri"/>
        </w:rPr>
        <w:t>;</w:t>
      </w:r>
      <w:r>
        <w:rPr>
          <w:rStyle w:val="12"/>
          <w:rFonts w:eastAsia="Calibri"/>
          <w:color w:val="00B0F0"/>
        </w:rPr>
        <w:t xml:space="preserve"> </w:t>
      </w:r>
      <w:r>
        <w:rPr>
          <w:rStyle w:val="12"/>
          <w:rFonts w:eastAsia="Calibri"/>
        </w:rPr>
        <w:t>Buihieudhxd@gmail.com</w:t>
      </w:r>
    </w:p>
    <w:p>
      <w:pPr>
        <w:spacing w:line="360" w:lineRule="auto"/>
        <w:jc w:val="both"/>
        <w:rPr>
          <w:rFonts w:eastAsia="Calibri"/>
        </w:rPr>
      </w:pPr>
      <w:r>
        <w:rPr>
          <w:rFonts w:ascii="Times New Roman" w:hAnsi="Times New Roman" w:eastAsia="Calibri"/>
        </w:rPr>
        <w:t xml:space="preserve">2. Dr. Thi Phuong Mai Nguyen </w:t>
      </w:r>
      <w:r>
        <w:rPr>
          <w:rFonts w:ascii="Times New Roman" w:hAnsi="Times New Roman" w:eastAsia="Calibri"/>
          <w:i/>
        </w:rPr>
        <w:t>(Second author, Corresponding author)</w:t>
      </w:r>
    </w:p>
    <w:p>
      <w:pPr>
        <w:spacing w:line="360" w:lineRule="auto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Address: Faculty of Environmental Sciences, University of Science, Vietnam National University, Hanoi, 334 Nguyen Trai, Thanh Xuan, Hanoi, Viet Nam</w:t>
      </w:r>
    </w:p>
    <w:p>
      <w:pPr>
        <w:spacing w:line="360" w:lineRule="auto"/>
        <w:jc w:val="both"/>
        <w:rPr>
          <w:rStyle w:val="12"/>
          <w:rFonts w:eastAsia="Calibri"/>
        </w:rPr>
      </w:pPr>
      <w:r>
        <w:rPr>
          <w:rFonts w:ascii="Times New Roman" w:hAnsi="Times New Roman" w:eastAsia="Calibri"/>
        </w:rPr>
        <w:t xml:space="preserve">Email: </w:t>
      </w:r>
      <w:r>
        <w:fldChar w:fldCharType="begin"/>
      </w:r>
      <w:r>
        <w:instrText xml:space="preserve"> HYPERLINK "mailto:maintp@hus.edu.vn" </w:instrText>
      </w:r>
      <w:r>
        <w:fldChar w:fldCharType="separate"/>
      </w:r>
      <w:r>
        <w:rPr>
          <w:rStyle w:val="12"/>
          <w:rFonts w:eastAsia="SimSun"/>
        </w:rPr>
        <w:t>maintp@hus.edu.vn</w:t>
      </w:r>
      <w:r>
        <w:rPr>
          <w:rStyle w:val="12"/>
          <w:rFonts w:eastAsia="SimSun"/>
        </w:rPr>
        <w:fldChar w:fldCharType="end"/>
      </w:r>
      <w:r>
        <w:rPr>
          <w:rStyle w:val="12"/>
          <w:rFonts w:eastAsia="SimSun"/>
        </w:rPr>
        <w:t xml:space="preserve">; </w:t>
      </w:r>
      <w:r>
        <w:fldChar w:fldCharType="begin"/>
      </w:r>
      <w:r>
        <w:instrText xml:space="preserve"> HYPERLINK "mailto:npmai82@gmail.com" </w:instrText>
      </w:r>
      <w:r>
        <w:fldChar w:fldCharType="separate"/>
      </w:r>
      <w:r>
        <w:rPr>
          <w:rStyle w:val="12"/>
          <w:rFonts w:eastAsia="SimSun"/>
        </w:rPr>
        <w:t>npmai82@gmail.com</w:t>
      </w:r>
      <w:r>
        <w:rPr>
          <w:rStyle w:val="12"/>
          <w:rFonts w:eastAsia="SimSun"/>
        </w:rPr>
        <w:fldChar w:fldCharType="end"/>
      </w:r>
      <w:r>
        <w:rPr>
          <w:rStyle w:val="12"/>
          <w:rFonts w:eastAsia="SimSun"/>
        </w:rPr>
        <w:t xml:space="preserve"> </w:t>
      </w:r>
    </w:p>
    <w:p>
      <w:pPr>
        <w:spacing w:line="480" w:lineRule="auto"/>
        <w:rPr>
          <w:rFonts w:ascii="Times New Roman" w:hAnsi="Times New Roman"/>
          <w:b/>
          <w:sz w:val="20"/>
          <w:szCs w:val="20"/>
        </w:rPr>
      </w:pPr>
    </w:p>
    <w:p>
      <w:pPr>
        <w:spacing w:line="480" w:lineRule="auto"/>
        <w:rPr>
          <w:rFonts w:ascii="Times New Roman" w:hAnsi="Times New Roman"/>
          <w:b/>
          <w:sz w:val="20"/>
          <w:szCs w:val="20"/>
        </w:rPr>
      </w:pPr>
    </w:p>
    <w:p>
      <w:pPr>
        <w:spacing w:line="480" w:lineRule="auto"/>
        <w:rPr>
          <w:rFonts w:ascii="Times New Roman" w:hAnsi="Times New Roman"/>
          <w:b/>
          <w:sz w:val="20"/>
          <w:szCs w:val="20"/>
        </w:rPr>
      </w:pPr>
    </w:p>
    <w:p>
      <w:pPr>
        <w:spacing w:line="480" w:lineRule="auto"/>
        <w:rPr>
          <w:rFonts w:ascii="Times New Roman" w:hAnsi="Times New Roman"/>
          <w:b/>
          <w:sz w:val="20"/>
          <w:szCs w:val="20"/>
        </w:rPr>
      </w:pPr>
    </w:p>
    <w:p>
      <w:pPr>
        <w:spacing w:line="480" w:lineRule="auto"/>
        <w:rPr>
          <w:rFonts w:ascii="Times New Roman" w:hAnsi="Times New Roman"/>
          <w:b/>
          <w:sz w:val="20"/>
          <w:szCs w:val="20"/>
        </w:rPr>
      </w:pPr>
    </w:p>
    <w:p>
      <w:pPr>
        <w:spacing w:line="480" w:lineRule="auto"/>
        <w:rPr>
          <w:rFonts w:ascii="Times New Roman" w:hAnsi="Times New Roman"/>
          <w:b/>
          <w:sz w:val="20"/>
          <w:szCs w:val="20"/>
        </w:rPr>
      </w:pPr>
    </w:p>
    <w:p>
      <w:pPr>
        <w:spacing w:line="480" w:lineRule="auto"/>
        <w:rPr>
          <w:rFonts w:ascii="Times New Roman" w:hAnsi="Times New Roman"/>
          <w:b/>
          <w:sz w:val="20"/>
          <w:szCs w:val="20"/>
        </w:rPr>
      </w:pPr>
    </w:p>
    <w:p>
      <w:pPr>
        <w:spacing w:line="480" w:lineRule="auto"/>
        <w:rPr>
          <w:rFonts w:ascii="Times New Roman" w:hAnsi="Times New Roman"/>
          <w:b/>
          <w:sz w:val="20"/>
          <w:szCs w:val="20"/>
        </w:rPr>
      </w:pPr>
    </w:p>
    <w:p>
      <w:pPr>
        <w:spacing w:line="480" w:lineRule="auto"/>
        <w:rPr>
          <w:rFonts w:ascii="Times New Roman" w:hAnsi="Times New Roman"/>
          <w:b/>
          <w:sz w:val="20"/>
          <w:szCs w:val="20"/>
        </w:rPr>
      </w:pPr>
    </w:p>
    <w:p>
      <w:pPr>
        <w:spacing w:line="480" w:lineRule="auto"/>
        <w:rPr>
          <w:rFonts w:ascii="Times New Roman" w:hAnsi="Times New Roman"/>
          <w:b/>
          <w:sz w:val="20"/>
          <w:szCs w:val="20"/>
        </w:rPr>
      </w:pPr>
    </w:p>
    <w:p>
      <w:pPr>
        <w:spacing w:line="480" w:lineRule="auto"/>
        <w:rPr>
          <w:rFonts w:ascii="Times New Roman" w:hAnsi="Times New Roman"/>
          <w:b/>
          <w:sz w:val="20"/>
          <w:szCs w:val="20"/>
        </w:rPr>
        <w:sectPr>
          <w:pgSz w:w="11906" w:h="16838"/>
          <w:pgMar w:top="1440" w:right="1800" w:bottom="1440" w:left="1800" w:header="720" w:footer="720" w:gutter="0"/>
          <w:lnNumType w:countBy="1" w:restart="continuous"/>
          <w:cols w:space="720" w:num="1"/>
          <w:docGrid w:linePitch="360" w:charSpace="0"/>
        </w:sectPr>
      </w:pPr>
    </w:p>
    <w:p>
      <w:pPr>
        <w:spacing w:after="160" w:line="256" w:lineRule="auto"/>
        <w:jc w:val="both"/>
        <w:rPr>
          <w:rFonts w:ascii="Times New Roman" w:hAnsi="Times New Roman" w:eastAsia="SimSun"/>
          <w:b/>
          <w:bCs/>
          <w:sz w:val="24"/>
          <w:szCs w:val="24"/>
          <w:lang w:val="en-US"/>
        </w:rPr>
      </w:pPr>
      <w:r>
        <w:rPr>
          <w:rFonts w:ascii="Times New Roman" w:hAnsi="Times New Roman" w:eastAsia="Calibri"/>
          <w:b/>
          <w:bCs/>
          <w:sz w:val="24"/>
          <w:szCs w:val="24"/>
          <w:lang w:val="en-US" w:eastAsia="zh-CN" w:bidi="ar"/>
        </w:rPr>
        <w:t xml:space="preserve">List of tables </w:t>
      </w:r>
    </w:p>
    <w:p>
      <w:pPr>
        <w:spacing w:after="160" w:line="256" w:lineRule="auto"/>
        <w:jc w:val="both"/>
        <w:rPr>
          <w:rFonts w:ascii="Times New Roman" w:hAnsi="Times New Roman" w:eastAsia="Calibri"/>
          <w:sz w:val="24"/>
          <w:szCs w:val="24"/>
          <w:lang w:val="en-US" w:eastAsia="zh-CN" w:bidi="ar"/>
        </w:rPr>
      </w:pPr>
      <w:r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  <w:t>Table. S1.</w:t>
      </w:r>
      <w:r>
        <w:rPr>
          <w:rFonts w:ascii="Times New Roman" w:hAnsi="Times New Roman" w:eastAsia="Calibri"/>
          <w:color w:val="000000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Calibri"/>
          <w:sz w:val="24"/>
          <w:szCs w:val="24"/>
          <w:lang w:val="en-US" w:eastAsia="zh-CN" w:bidi="ar"/>
        </w:rPr>
        <w:t>Inhalation reference concentration (RfC</w:t>
      </w:r>
      <w:r>
        <w:rPr>
          <w:rFonts w:ascii="Times New Roman" w:hAnsi="Times New Roman" w:eastAsia="Calibri"/>
          <w:sz w:val="24"/>
          <w:szCs w:val="24"/>
          <w:vertAlign w:val="subscript"/>
          <w:lang w:val="en-US" w:eastAsia="zh-CN" w:bidi="ar"/>
        </w:rPr>
        <w:t>i</w:t>
      </w:r>
      <w:r>
        <w:rPr>
          <w:rFonts w:ascii="Times New Roman" w:hAnsi="Times New Roman" w:eastAsia="Calibri"/>
          <w:sz w:val="24"/>
          <w:szCs w:val="24"/>
          <w:lang w:val="en-US" w:eastAsia="zh-CN" w:bidi="ar"/>
        </w:rPr>
        <w:t>) and inhalation unit risk (IUR) of carcinogenic trace metals</w:t>
      </w:r>
    </w:p>
    <w:p>
      <w:pPr>
        <w:spacing w:after="160" w:line="256" w:lineRule="auto"/>
        <w:jc w:val="both"/>
        <w:rPr>
          <w:rFonts w:ascii="Times New Roman" w:hAnsi="Times New Roman" w:eastAsia="SimSun"/>
          <w:sz w:val="24"/>
          <w:szCs w:val="24"/>
          <w:lang w:val="en-US"/>
        </w:rPr>
      </w:pPr>
      <w:r>
        <w:rPr>
          <w:rFonts w:ascii="Times New Roman" w:hAnsi="Times New Roman" w:eastAsia="Calibri"/>
          <w:b/>
          <w:bCs/>
          <w:color w:val="000000"/>
          <w:sz w:val="24"/>
          <w:szCs w:val="24"/>
          <w:lang w:val="en-US" w:eastAsia="zh-CN" w:bidi="ar"/>
        </w:rPr>
        <w:t>Table.S2.</w:t>
      </w:r>
      <w:r>
        <w:rPr>
          <w:rFonts w:ascii="Times New Roman" w:hAnsi="Times New Roman" w:eastAsia="Calibri"/>
          <w:color w:val="000000"/>
          <w:sz w:val="24"/>
          <w:szCs w:val="24"/>
          <w:lang w:val="en-US" w:eastAsia="zh-CN" w:bidi="ar"/>
        </w:rPr>
        <w:t xml:space="preserve">  Average temperature, precipitation, and BLH during the sampling period in the dry and wet season in Hanoi.</w:t>
      </w:r>
    </w:p>
    <w:p>
      <w:pPr>
        <w:spacing w:after="160" w:line="256" w:lineRule="auto"/>
        <w:jc w:val="both"/>
        <w:rPr>
          <w:rFonts w:ascii="Times New Roman" w:hAnsi="Times New Roman" w:eastAsia="Calibri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</w:p>
    <w:p>
      <w:pPr>
        <w:spacing w:after="160" w:line="256" w:lineRule="auto"/>
        <w:jc w:val="both"/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</w:pPr>
      <w:bookmarkStart w:id="0" w:name="_GoBack"/>
      <w:bookmarkEnd w:id="0"/>
    </w:p>
    <w:p>
      <w:pPr>
        <w:spacing w:after="160" w:line="256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eastAsia="Calibri"/>
          <w:b/>
          <w:color w:val="000000"/>
          <w:sz w:val="24"/>
          <w:szCs w:val="24"/>
          <w:lang w:val="en-US" w:eastAsia="zh-CN" w:bidi="ar"/>
        </w:rPr>
        <w:t>Table. S1.</w:t>
      </w:r>
      <w:r>
        <w:rPr>
          <w:rFonts w:ascii="Times New Roman" w:hAnsi="Times New Roman" w:eastAsia="Calibri"/>
          <w:color w:val="000000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Calibri"/>
          <w:sz w:val="24"/>
          <w:szCs w:val="24"/>
          <w:lang w:val="en-US" w:eastAsia="zh-CN" w:bidi="ar"/>
        </w:rPr>
        <w:t>Inhalation reference concentration (RfC</w:t>
      </w:r>
      <w:r>
        <w:rPr>
          <w:rFonts w:ascii="Times New Roman" w:hAnsi="Times New Roman" w:eastAsia="Calibri"/>
          <w:sz w:val="24"/>
          <w:szCs w:val="24"/>
          <w:vertAlign w:val="subscript"/>
          <w:lang w:val="en-US" w:eastAsia="zh-CN" w:bidi="ar"/>
        </w:rPr>
        <w:t>i</w:t>
      </w:r>
      <w:r>
        <w:rPr>
          <w:rFonts w:ascii="Times New Roman" w:hAnsi="Times New Roman" w:eastAsia="Calibri"/>
          <w:sz w:val="24"/>
          <w:szCs w:val="24"/>
          <w:lang w:val="en-US" w:eastAsia="zh-CN" w:bidi="ar"/>
        </w:rPr>
        <w:t>) and inhalation unit risk (IUR) of carcinogenic trace metals</w:t>
      </w:r>
    </w:p>
    <w:tbl>
      <w:tblPr>
        <w:tblStyle w:val="14"/>
        <w:tblW w:w="9730" w:type="dxa"/>
        <w:tblInd w:w="0" w:type="dxa"/>
        <w:tblBorders>
          <w:top w:val="single" w:color="7F7F7F" w:sz="2" w:space="0"/>
          <w:left w:val="none" w:color="auto" w:sz="0" w:space="0"/>
          <w:bottom w:val="single" w:color="7F7F7F" w:sz="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989"/>
        <w:gridCol w:w="1271"/>
        <w:gridCol w:w="989"/>
        <w:gridCol w:w="989"/>
        <w:gridCol w:w="1718"/>
        <w:gridCol w:w="1251"/>
        <w:gridCol w:w="1029"/>
        <w:gridCol w:w="1494"/>
      </w:tblGrid>
      <w:tr>
        <w:tblPrEx>
          <w:tblBorders>
            <w:top w:val="single" w:color="7F7F7F" w:sz="2" w:space="0"/>
            <w:left w:val="none" w:color="auto" w:sz="0" w:space="0"/>
            <w:bottom w:val="single" w:color="7F7F7F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980" w:type="dxa"/>
            <w:tcBorders>
              <w:top w:val="inset" w:color="auto" w:sz="2" w:space="0"/>
              <w:left w:val="nil"/>
              <w:bottom w:val="inset" w:color="auto" w:sz="2" w:space="0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 w:eastAsia="SimSu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inset" w:color="auto" w:sz="2" w:space="0"/>
              <w:left w:val="nil"/>
              <w:bottom w:val="inset" w:color="auto" w:sz="2" w:space="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  <w:t>As (Inorganic)</w:t>
            </w:r>
          </w:p>
        </w:tc>
        <w:tc>
          <w:tcPr>
            <w:tcW w:w="980" w:type="dxa"/>
            <w:tcBorders>
              <w:top w:val="inset" w:color="auto" w:sz="2" w:space="0"/>
              <w:left w:val="nil"/>
              <w:bottom w:val="inset" w:color="auto" w:sz="2" w:space="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  <w:t>Cd  (Diet)</w:t>
            </w:r>
          </w:p>
        </w:tc>
        <w:tc>
          <w:tcPr>
            <w:tcW w:w="980" w:type="dxa"/>
            <w:tcBorders>
              <w:top w:val="inset" w:color="auto" w:sz="2" w:space="0"/>
              <w:left w:val="nil"/>
              <w:bottom w:val="inset" w:color="auto" w:sz="2" w:space="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Cr (VI) 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702" w:type="dxa"/>
            <w:tcBorders>
              <w:top w:val="inset" w:color="auto" w:sz="2" w:space="0"/>
              <w:left w:val="nil"/>
              <w:bottom w:val="inset" w:color="auto" w:sz="2" w:space="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  <w:t>Ni            (Refinery Dust)</w:t>
            </w:r>
          </w:p>
        </w:tc>
        <w:tc>
          <w:tcPr>
            <w:tcW w:w="1240" w:type="dxa"/>
            <w:tcBorders>
              <w:top w:val="inset" w:color="auto" w:sz="2" w:space="0"/>
              <w:left w:val="nil"/>
              <w:bottom w:val="inset" w:color="auto" w:sz="2" w:space="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  <w:t>Zn (Metallic)</w:t>
            </w:r>
          </w:p>
        </w:tc>
        <w:tc>
          <w:tcPr>
            <w:tcW w:w="1020" w:type="dxa"/>
            <w:tcBorders>
              <w:top w:val="inset" w:color="auto" w:sz="2" w:space="0"/>
              <w:left w:val="nil"/>
              <w:bottom w:val="inset" w:color="auto" w:sz="2" w:space="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Pb 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1480" w:type="dxa"/>
            <w:tcBorders>
              <w:top w:val="inset" w:color="auto" w:sz="2" w:space="0"/>
              <w:left w:val="nil"/>
              <w:bottom w:val="inset" w:color="auto" w:sz="2" w:space="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  <w:t>V (Compounds)</w:t>
            </w:r>
          </w:p>
        </w:tc>
      </w:tr>
      <w:tr>
        <w:tblPrEx>
          <w:tblBorders>
            <w:top w:val="single" w:color="7F7F7F" w:sz="2" w:space="0"/>
            <w:left w:val="none" w:color="auto" w:sz="0" w:space="0"/>
            <w:bottom w:val="single" w:color="7F7F7F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  <w:t>RfC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vertAlign w:val="subscript"/>
                <w:lang w:val="en-US" w:eastAsia="zh-CN" w:bidi="ar"/>
              </w:rPr>
              <w:t xml:space="preserve">i 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vertAlign w:val="superscript"/>
                <w:lang w:val="en-US" w:eastAsia="zh-CN" w:bidi="ar"/>
              </w:rPr>
              <w:t>a</w:t>
            </w:r>
          </w:p>
          <w:p>
            <w:pPr>
              <w:spacing w:after="160"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  <w:t>(mg/m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vertAlign w:val="superscript"/>
                <w:lang w:val="en-US" w:eastAsia="zh-CN" w:bidi="ar"/>
              </w:rPr>
              <w:t>3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val="en-US" w:eastAsia="zh-CN" w:bidi="ar"/>
              </w:rPr>
              <w:t>1,5E-05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val="en-US" w:eastAsia="zh-CN" w:bidi="ar"/>
              </w:rPr>
              <w:t>1,0E-05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val="en-US" w:eastAsia="zh-CN" w:bidi="ar"/>
              </w:rPr>
              <w:t>1,0E-04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val="en-US" w:eastAsia="zh-CN" w:bidi="ar"/>
              </w:rPr>
              <w:t>5,0E-05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val="en-US" w:eastAsia="zh-CN" w:bidi="ar"/>
              </w:rPr>
              <w:t>5,0E-05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val="en-US" w:eastAsia="zh-CN" w:bidi="ar"/>
              </w:rPr>
              <w:t>3,0E-01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val="en-US" w:eastAsia="zh-CN" w:bidi="ar"/>
              </w:rPr>
              <w:t>3,5E-03</w:t>
            </w:r>
          </w:p>
        </w:tc>
      </w:tr>
      <w:tr>
        <w:tblPrEx>
          <w:tblBorders>
            <w:top w:val="single" w:color="7F7F7F" w:sz="2" w:space="0"/>
            <w:left w:val="none" w:color="auto" w:sz="0" w:space="0"/>
            <w:bottom w:val="single" w:color="7F7F7F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980" w:type="dxa"/>
            <w:tcBorders>
              <w:top w:val="nil"/>
              <w:left w:val="nil"/>
              <w:bottom w:val="inset" w:color="auto" w:sz="2" w:space="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IUR 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vertAlign w:val="superscript"/>
                <w:lang w:val="en-US" w:eastAsia="zh-CN" w:bidi="ar"/>
              </w:rPr>
              <w:t>a</w:t>
            </w:r>
          </w:p>
          <w:p>
            <w:pPr>
              <w:spacing w:after="160"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  <w:t>(ug/m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vertAlign w:val="superscript"/>
                <w:lang w:val="en-US" w:eastAsia="zh-CN" w:bidi="ar"/>
              </w:rPr>
              <w:t>3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  <w:t>)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  <w:vertAlign w:val="superscript"/>
                <w:lang w:val="en-US" w:eastAsia="zh-CN" w:bidi="ar"/>
              </w:rPr>
              <w:t>-1</w:t>
            </w:r>
          </w:p>
        </w:tc>
        <w:tc>
          <w:tcPr>
            <w:tcW w:w="1260" w:type="dxa"/>
            <w:tcBorders>
              <w:top w:val="nil"/>
              <w:left w:val="nil"/>
              <w:bottom w:val="inset" w:color="auto" w:sz="2" w:space="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val="en-US" w:eastAsia="zh-CN" w:bidi="ar"/>
              </w:rPr>
              <w:t>4,30E-03</w:t>
            </w:r>
          </w:p>
        </w:tc>
        <w:tc>
          <w:tcPr>
            <w:tcW w:w="980" w:type="dxa"/>
            <w:tcBorders>
              <w:top w:val="nil"/>
              <w:left w:val="nil"/>
              <w:bottom w:val="inset" w:color="auto" w:sz="2" w:space="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val="en-US" w:eastAsia="zh-CN" w:bidi="ar"/>
              </w:rPr>
              <w:t>1,80E-03</w:t>
            </w:r>
          </w:p>
        </w:tc>
        <w:tc>
          <w:tcPr>
            <w:tcW w:w="980" w:type="dxa"/>
            <w:tcBorders>
              <w:top w:val="nil"/>
              <w:left w:val="nil"/>
              <w:bottom w:val="inset" w:color="auto" w:sz="2" w:space="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val="en-US" w:eastAsia="zh-CN" w:bidi="ar"/>
              </w:rPr>
              <w:t>1,20E-02</w:t>
            </w:r>
          </w:p>
        </w:tc>
        <w:tc>
          <w:tcPr>
            <w:tcW w:w="1702" w:type="dxa"/>
            <w:tcBorders>
              <w:top w:val="nil"/>
              <w:left w:val="nil"/>
              <w:bottom w:val="inset" w:color="auto" w:sz="2" w:space="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val="en-US" w:eastAsia="zh-CN" w:bidi="ar"/>
              </w:rPr>
              <w:t>2,40E-04</w:t>
            </w:r>
          </w:p>
        </w:tc>
        <w:tc>
          <w:tcPr>
            <w:tcW w:w="1240" w:type="dxa"/>
            <w:tcBorders>
              <w:top w:val="nil"/>
              <w:left w:val="nil"/>
              <w:bottom w:val="inset" w:color="auto" w:sz="2" w:space="0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val="en-US" w:eastAsia="zh-CN" w:bidi="ar"/>
              </w:rPr>
              <w:t>¯</w:t>
            </w:r>
          </w:p>
        </w:tc>
        <w:tc>
          <w:tcPr>
            <w:tcW w:w="1020" w:type="dxa"/>
            <w:tcBorders>
              <w:top w:val="nil"/>
              <w:left w:val="nil"/>
              <w:bottom w:val="inset" w:color="auto" w:sz="2" w:space="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val="en-US" w:eastAsia="zh-CN" w:bidi="ar"/>
              </w:rPr>
              <w:t>1,20E-05</w:t>
            </w:r>
          </w:p>
        </w:tc>
        <w:tc>
          <w:tcPr>
            <w:tcW w:w="1480" w:type="dxa"/>
            <w:tcBorders>
              <w:top w:val="nil"/>
              <w:left w:val="nil"/>
              <w:bottom w:val="inset" w:color="auto" w:sz="2" w:space="0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after="160" w:line="256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eastAsia="Calibri"/>
          <w:bCs/>
          <w:color w:val="000000"/>
          <w:sz w:val="24"/>
          <w:szCs w:val="24"/>
          <w:vertAlign w:val="superscript"/>
          <w:lang w:val="en-US" w:eastAsia="zh-CN" w:bidi="ar"/>
        </w:rPr>
        <w:t>a</w:t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t xml:space="preserve"> RfC</w:t>
      </w:r>
      <w:r>
        <w:rPr>
          <w:rFonts w:ascii="Times New Roman" w:hAnsi="Times New Roman" w:eastAsia="Calibri"/>
          <w:bCs/>
          <w:color w:val="000000"/>
          <w:sz w:val="24"/>
          <w:szCs w:val="24"/>
          <w:vertAlign w:val="subscript"/>
          <w:lang w:val="en-US" w:eastAsia="zh-CN" w:bidi="ar"/>
        </w:rPr>
        <w:t>i</w:t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t>, and IUR were downloaded from web of US EPA (</w:t>
      </w:r>
      <w:r>
        <w:rPr>
          <w:rFonts w:ascii="Times New Roman" w:hAnsi="Times New Roman" w:eastAsia="Calibri"/>
          <w:bCs/>
          <w:color w:val="0070C0"/>
          <w:sz w:val="24"/>
          <w:szCs w:val="24"/>
          <w:lang w:val="en-US" w:eastAsia="zh-CN" w:bidi="ar"/>
        </w:rPr>
        <w:t>http://www.epa.gov/region9/superfund/prg/index.html</w:t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t>)</w:t>
      </w:r>
    </w:p>
    <w:p>
      <w:pPr>
        <w:spacing w:after="160" w:line="256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eastAsia="Calibri"/>
          <w:bCs/>
          <w:color w:val="000000"/>
          <w:sz w:val="24"/>
          <w:szCs w:val="24"/>
          <w:vertAlign w:val="superscript"/>
          <w:lang w:val="en-US" w:eastAsia="zh-CN" w:bidi="ar"/>
        </w:rPr>
        <w:t>b</w:t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t xml:space="preserve"> According to User's Guide and Background Technical Document for US EPA Region 9'S Preliminary Remediation Goals (PRG) Table (</w:t>
      </w:r>
      <w:r>
        <w:fldChar w:fldCharType="begin"/>
      </w:r>
      <w:r>
        <w:instrText xml:space="preserve"> HYPERLINK "http://www.epa.gov/reg3hwmd/risk/human/rb-concentration_table/usersguide.htm" </w:instrText>
      </w:r>
      <w:r>
        <w:fldChar w:fldCharType="separate"/>
      </w:r>
      <w:r>
        <w:rPr>
          <w:rStyle w:val="10"/>
          <w:rFonts w:ascii="Times New Roman" w:hAnsi="Times New Roman"/>
          <w:bCs/>
          <w:color w:val="0070C0"/>
          <w:sz w:val="24"/>
          <w:szCs w:val="24"/>
          <w:lang w:val="en-US"/>
        </w:rPr>
        <w:t>http://www.epa.gov/reg3hwmd/risk/human/rb-concentration_table/usersguide.htm</w:t>
      </w:r>
      <w:r>
        <w:rPr>
          <w:rStyle w:val="10"/>
          <w:rFonts w:ascii="Times New Roman" w:hAnsi="Times New Roman"/>
          <w:bCs/>
          <w:color w:val="0070C0"/>
          <w:sz w:val="24"/>
          <w:szCs w:val="24"/>
          <w:lang w:val="en-US"/>
        </w:rPr>
        <w:fldChar w:fldCharType="end"/>
      </w:r>
      <w:r>
        <w:rPr>
          <w:rFonts w:ascii="Times New Roman" w:hAnsi="Times New Roman" w:eastAsia="Calibri"/>
          <w:bCs/>
          <w:color w:val="0070C0"/>
          <w:sz w:val="24"/>
          <w:szCs w:val="24"/>
          <w:lang w:val="en-US" w:eastAsia="zh-CN" w:bidi="ar"/>
        </w:rPr>
        <w:t>l</w:t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t>)</w:t>
      </w:r>
    </w:p>
    <w:p>
      <w:pPr>
        <w:spacing w:after="160" w:line="256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eastAsia="Calibri"/>
          <w:bCs/>
          <w:color w:val="000000"/>
          <w:sz w:val="24"/>
          <w:szCs w:val="24"/>
          <w:vertAlign w:val="superscript"/>
          <w:lang w:val="en-US" w:eastAsia="zh-CN" w:bidi="ar"/>
        </w:rPr>
        <w:t>c</w:t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t xml:space="preserve"> No RfD</w:t>
      </w:r>
      <w:r>
        <w:rPr>
          <w:rFonts w:ascii="Times New Roman" w:hAnsi="Times New Roman" w:eastAsia="Calibri"/>
          <w:bCs/>
          <w:color w:val="000000"/>
          <w:sz w:val="24"/>
          <w:szCs w:val="24"/>
          <w:vertAlign w:val="subscript"/>
          <w:lang w:val="en-US" w:eastAsia="zh-CN" w:bidi="ar"/>
        </w:rPr>
        <w:t>o</w:t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t xml:space="preserve"> and GIABS for Pb. RfD</w:t>
      </w:r>
      <w:r>
        <w:rPr>
          <w:rFonts w:ascii="Times New Roman" w:hAnsi="Times New Roman" w:eastAsia="Calibri"/>
          <w:bCs/>
          <w:color w:val="000000"/>
          <w:sz w:val="24"/>
          <w:szCs w:val="24"/>
          <w:vertAlign w:val="subscript"/>
          <w:lang w:val="en-US" w:eastAsia="zh-CN" w:bidi="ar"/>
        </w:rPr>
        <w:t>o</w:t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t xml:space="preserve"> was set according to Ostapczuk et al.</w:t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fldChar w:fldCharType="begin" w:fldLock="1"/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instrText xml:space="preserve">ADDIN CSL_CITATION {"citationItems":[{"id":"ITEM-1","itemData":{"DOI":"10.1016/0048-9697(87)90403-7","ISSN":"00489697","author":[{"dropping-particle":"","family":"Ostapczuk","given":"P.","non-dropping-particle":"","parse-names":false,"suffix":""},{"dropping-particle":"","family":"Valenta","given":"P.","non-dropping-particle":"","parse-names":false,"suffix":""},{"dropping-particle":"","family":"Rützel","given":"H.","non-dropping-particle":"","parse-names":false,"suffix":""},{"dropping-particle":"","family":"Nürnberg","given":"H.W.","non-dropping-particle":"","parse-names":false,"suffix":""}],"container-title":"Science of The Total Environment","id":"ITEM-1","issued":{"date-parts":[["1987","1"]]},"page":"1-16","title":"Application of differential pulse anodic stripping voltammetry to the determination of heavy metals in environmental samples","type":"article-journal","volume":"60"},"suppress-author":1,"uris":["http://www.mendeley.com/documents/?uuid=958bf179-080d-31e7-8e7b-a356c2d54ce5"]}],"mendeley":{"formattedCitation":"(1987)","plainTextFormattedCitation":"(1987)","previouslyFormattedCitation":"(1987)"},"properties":{"noteIndex":0},"schema":"https://github.com/citation-style-language/schema/raw/master/csl-citation.json"}</w:instrText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fldChar w:fldCharType="separate"/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t>(1987)</w:t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fldChar w:fldCharType="end"/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t xml:space="preserve"> and JECFA </w:t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fldChar w:fldCharType="begin" w:fldLock="1"/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instrText xml:space="preserve">ADDIN CSL_CITATION {"citationItems":[{"id":"ITEM-1","itemData":{"author":[{"dropping-particle":"","family":"World Health Organization","given":"","non-dropping-particle":"","parse-names":false,"suffix":""}],"id":"ITEM-1","issued":{"date-parts":[["1993"]]},"publisher-place":"Geneva","title":"Evaulation of certain food additives and contaminants: 41st report of the Joint FA/WHO expert committe on food additives","type":"report"},"suppress-author":1,"uris":["http://www.mendeley.com/documents/?uuid=06ea52e3-37b0-46bd-9f8d-4174609cdffd"]}],"mendeley":{"formattedCitation":"(1993)","plainTextFormattedCitation":"(1993)","previouslyFormattedCitation":"(1993)"},"properties":{"noteIndex":0},"schema":"https://github.com/citation-style-language/schema/raw/master/csl-citation.json"}</w:instrText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fldChar w:fldCharType="separate"/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t>(1993)</w:t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fldChar w:fldCharType="end"/>
      </w:r>
      <w:r>
        <w:rPr>
          <w:rFonts w:ascii="Times New Roman" w:hAnsi="Times New Roman" w:eastAsia="Calibri"/>
          <w:bCs/>
          <w:color w:val="000000"/>
          <w:sz w:val="24"/>
          <w:szCs w:val="24"/>
          <w:lang w:val="en-US" w:eastAsia="zh-CN" w:bidi="ar"/>
        </w:rPr>
        <w:t xml:space="preserve"> and 1 was set for GIABS in the present study</w:t>
      </w:r>
    </w:p>
    <w:p>
      <w:pPr>
        <w:spacing w:line="480" w:lineRule="auto"/>
        <w:rPr>
          <w:rFonts w:ascii="Times New Roman" w:hAnsi="Times New Roman"/>
          <w:b/>
          <w:sz w:val="20"/>
          <w:szCs w:val="20"/>
        </w:rPr>
      </w:pPr>
    </w:p>
    <w:p>
      <w:pPr>
        <w:spacing w:after="160" w:line="256" w:lineRule="auto"/>
        <w:jc w:val="both"/>
        <w:rPr>
          <w:rFonts w:ascii="Times New Roman" w:hAnsi="Times New Roman" w:eastAsia="SimSun"/>
          <w:sz w:val="24"/>
          <w:szCs w:val="24"/>
          <w:lang w:val="en-US"/>
        </w:rPr>
      </w:pPr>
      <w:r>
        <w:rPr>
          <w:rFonts w:ascii="Times New Roman" w:hAnsi="Times New Roman" w:eastAsia="Calibri"/>
          <w:b/>
          <w:bCs/>
          <w:color w:val="000000"/>
          <w:sz w:val="24"/>
          <w:szCs w:val="24"/>
          <w:lang w:val="en-US" w:eastAsia="zh-CN" w:bidi="ar"/>
        </w:rPr>
        <w:t>Table.S2.</w:t>
      </w:r>
      <w:r>
        <w:rPr>
          <w:rFonts w:ascii="Times New Roman" w:hAnsi="Times New Roman" w:eastAsia="Calibri"/>
          <w:color w:val="000000"/>
          <w:sz w:val="24"/>
          <w:szCs w:val="24"/>
          <w:lang w:val="en-US" w:eastAsia="zh-CN" w:bidi="ar"/>
        </w:rPr>
        <w:t xml:space="preserve">  Average temperature, precipitation, and BLH during the sampling period in the dry and wet season in Hanoi.</w:t>
      </w:r>
    </w:p>
    <w:tbl>
      <w:tblPr>
        <w:tblStyle w:val="14"/>
        <w:tblW w:w="0" w:type="auto"/>
        <w:jc w:val="center"/>
        <w:tblBorders>
          <w:top w:val="single" w:color="7F7F7F" w:sz="2" w:space="0"/>
          <w:left w:val="none" w:color="auto" w:sz="0" w:space="0"/>
          <w:bottom w:val="single" w:color="7F7F7F" w:sz="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1354"/>
        <w:gridCol w:w="2031"/>
        <w:gridCol w:w="2593"/>
        <w:gridCol w:w="1460"/>
      </w:tblGrid>
      <w:tr>
        <w:tblPrEx>
          <w:tblBorders>
            <w:top w:val="single" w:color="7F7F7F" w:sz="2" w:space="0"/>
            <w:left w:val="none" w:color="auto" w:sz="0" w:space="0"/>
            <w:bottom w:val="single" w:color="7F7F7F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7F7F7F" w:sz="2" w:space="0"/>
              <w:left w:val="nil"/>
              <w:bottom w:val="single" w:color="7F7F7F" w:sz="2" w:space="0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7F7F7F" w:sz="2" w:space="0"/>
              <w:left w:val="nil"/>
              <w:bottom w:val="single" w:color="7F7F7F" w:sz="2" w:space="0"/>
              <w:right w:val="nil"/>
            </w:tcBorders>
            <w:shd w:val="clear" w:color="auto" w:fill="auto"/>
            <w:noWrap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Temperature 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  <w:lang w:val="en-US" w:eastAsia="zh-CN" w:bidi="ar"/>
              </w:rPr>
              <w:t>o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C)</w:t>
            </w:r>
          </w:p>
        </w:tc>
        <w:tc>
          <w:tcPr>
            <w:tcW w:w="0" w:type="auto"/>
            <w:tcBorders>
              <w:top w:val="single" w:color="7F7F7F" w:sz="2" w:space="0"/>
              <w:left w:val="nil"/>
              <w:bottom w:val="single" w:color="7F7F7F" w:sz="2" w:space="0"/>
              <w:right w:val="nil"/>
            </w:tcBorders>
            <w:shd w:val="clear" w:color="auto" w:fill="auto"/>
            <w:noWrap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Precipitation (mm/day)</w:t>
            </w:r>
          </w:p>
        </w:tc>
        <w:tc>
          <w:tcPr>
            <w:tcW w:w="0" w:type="auto"/>
            <w:tcBorders>
              <w:top w:val="single" w:color="7F7F7F" w:sz="2" w:space="0"/>
              <w:left w:val="nil"/>
              <w:bottom w:val="single" w:color="7F7F7F" w:sz="2" w:space="0"/>
              <w:right w:val="nil"/>
            </w:tcBorders>
            <w:shd w:val="clear" w:color="auto" w:fill="auto"/>
            <w:noWrap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BLH (m)</w:t>
            </w:r>
          </w:p>
        </w:tc>
      </w:tr>
      <w:tr>
        <w:tblPrEx>
          <w:tblBorders>
            <w:top w:val="single" w:color="7F7F7F" w:sz="2" w:space="0"/>
            <w:left w:val="none" w:color="auto" w:sz="0" w:space="0"/>
            <w:bottom w:val="single" w:color="7F7F7F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Dry season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zh-CN" w:bidi="ar"/>
              </w:rPr>
              <w:t>22,74169884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zh-CN" w:bidi="ar"/>
              </w:rPr>
              <w:t>3,606560601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zh-CN" w:bidi="ar"/>
              </w:rPr>
              <w:t>397,1854219</w:t>
            </w:r>
          </w:p>
        </w:tc>
      </w:tr>
      <w:tr>
        <w:tblPrEx>
          <w:tblBorders>
            <w:top w:val="single" w:color="7F7F7F" w:sz="2" w:space="0"/>
            <w:left w:val="none" w:color="auto" w:sz="0" w:space="0"/>
            <w:bottom w:val="single" w:color="7F7F7F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7F7F7F" w:sz="2" w:space="0"/>
              <w:right w:val="nil"/>
            </w:tcBorders>
            <w:shd w:val="clear" w:color="auto" w:fill="auto"/>
            <w:noWrap/>
          </w:tcPr>
          <w:p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Wet season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7F7F7F" w:sz="2" w:space="0"/>
              <w:right w:val="nil"/>
            </w:tcBorders>
            <w:shd w:val="clear" w:color="auto" w:fill="auto"/>
            <w:noWrap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zh-CN" w:bidi="ar"/>
              </w:rPr>
              <w:t>29,91140795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7F7F7F" w:sz="2" w:space="0"/>
              <w:right w:val="nil"/>
            </w:tcBorders>
            <w:shd w:val="clear" w:color="auto" w:fill="auto"/>
            <w:noWrap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zh-CN" w:bidi="ar"/>
              </w:rPr>
              <w:t>31,85013464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7F7F7F" w:sz="2" w:space="0"/>
              <w:right w:val="nil"/>
            </w:tcBorders>
            <w:shd w:val="clear" w:color="auto" w:fill="auto"/>
            <w:noWrap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zh-CN" w:bidi="ar"/>
              </w:rPr>
              <w:t>439,0914821</w:t>
            </w:r>
          </w:p>
        </w:tc>
      </w:tr>
    </w:tbl>
    <w:p/>
    <w:sectPr>
      <w:pgSz w:w="11906" w:h="16838"/>
      <w:pgMar w:top="1440" w:right="1797" w:bottom="1440" w:left="1797" w:header="720" w:footer="720" w:gutter="0"/>
      <w:lnNumType w:countBy="1" w:restart="continuous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Yu Mincho">
    <w:altName w:val="Yu Gothic UI Semilight"/>
    <w:panose1 w:val="00000000000000000000"/>
    <w:charset w:val="80"/>
    <w:family w:val="roman"/>
    <w:pitch w:val="default"/>
    <w:sig w:usb0="00000000" w:usb1="00000000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720"/>
  <w:drawingGridVerticalSpacing w:val="156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xMjM1MjSwNLA0MTFV0lEKTi0uzszPAykwrAUA3IO86CwAAAA="/>
  </w:docVars>
  <w:rsids>
    <w:rsidRoot w:val="2206289E"/>
    <w:rsid w:val="000F51A6"/>
    <w:rsid w:val="001A0500"/>
    <w:rsid w:val="001C5458"/>
    <w:rsid w:val="002155F7"/>
    <w:rsid w:val="00280617"/>
    <w:rsid w:val="002F3AEE"/>
    <w:rsid w:val="00352EF1"/>
    <w:rsid w:val="00363E3C"/>
    <w:rsid w:val="003A3A2C"/>
    <w:rsid w:val="003B33C4"/>
    <w:rsid w:val="00410CF7"/>
    <w:rsid w:val="004A2ED3"/>
    <w:rsid w:val="005779FE"/>
    <w:rsid w:val="005E18A0"/>
    <w:rsid w:val="0061123B"/>
    <w:rsid w:val="006271CC"/>
    <w:rsid w:val="006D72F8"/>
    <w:rsid w:val="006F371E"/>
    <w:rsid w:val="008D0213"/>
    <w:rsid w:val="009C0C35"/>
    <w:rsid w:val="00A74B69"/>
    <w:rsid w:val="00B57B98"/>
    <w:rsid w:val="00BA7570"/>
    <w:rsid w:val="00BD170E"/>
    <w:rsid w:val="00BE3436"/>
    <w:rsid w:val="00C67C19"/>
    <w:rsid w:val="00CC2D6E"/>
    <w:rsid w:val="00D05340"/>
    <w:rsid w:val="00D828C1"/>
    <w:rsid w:val="00DE5E22"/>
    <w:rsid w:val="00DF24EE"/>
    <w:rsid w:val="00E07B2A"/>
    <w:rsid w:val="00F41085"/>
    <w:rsid w:val="00F443BB"/>
    <w:rsid w:val="00F47795"/>
    <w:rsid w:val="00FD44B0"/>
    <w:rsid w:val="00FF16E5"/>
    <w:rsid w:val="0A860763"/>
    <w:rsid w:val="0D345C86"/>
    <w:rsid w:val="11343A2F"/>
    <w:rsid w:val="15E16E98"/>
    <w:rsid w:val="18C9274F"/>
    <w:rsid w:val="2206289E"/>
    <w:rsid w:val="2AF6290D"/>
    <w:rsid w:val="2D4F6CFD"/>
    <w:rsid w:val="39B14F69"/>
    <w:rsid w:val="53D570F7"/>
    <w:rsid w:val="60235559"/>
    <w:rsid w:val="627E1C72"/>
    <w:rsid w:val="6ECD6130"/>
    <w:rsid w:val="755D140E"/>
    <w:rsid w:val="7E30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en-AU" w:eastAsia="ja-JP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qFormat/>
    <w:uiPriority w:val="0"/>
    <w:rPr>
      <w:sz w:val="16"/>
      <w:szCs w:val="16"/>
    </w:rPr>
  </w:style>
  <w:style w:type="paragraph" w:styleId="5">
    <w:name w:val="annotation text"/>
    <w:basedOn w:val="1"/>
    <w:link w:val="17"/>
    <w:qFormat/>
    <w:uiPriority w:val="0"/>
    <w:pPr>
      <w:spacing w:line="240" w:lineRule="auto"/>
    </w:pPr>
    <w:rPr>
      <w:sz w:val="20"/>
      <w:szCs w:val="20"/>
    </w:rPr>
  </w:style>
  <w:style w:type="paragraph" w:styleId="6">
    <w:name w:val="annotation subject"/>
    <w:basedOn w:val="5"/>
    <w:next w:val="5"/>
    <w:link w:val="18"/>
    <w:semiHidden/>
    <w:unhideWhenUsed/>
    <w:qFormat/>
    <w:uiPriority w:val="0"/>
    <w:rPr>
      <w:b/>
      <w:bCs/>
    </w:rPr>
  </w:style>
  <w:style w:type="character" w:styleId="7">
    <w:name w:val="FollowedHyperlink"/>
    <w:qFormat/>
    <w:uiPriority w:val="0"/>
    <w:rPr>
      <w:color w:val="800080"/>
      <w:u w:val="single"/>
    </w:rPr>
  </w:style>
  <w:style w:type="paragraph" w:styleId="8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9">
    <w:name w:val="footnote text"/>
    <w:basedOn w:val="1"/>
    <w:unhideWhenUsed/>
    <w:qFormat/>
    <w:uiPriority w:val="99"/>
    <w:pPr>
      <w:spacing w:after="0" w:line="240" w:lineRule="auto"/>
    </w:pPr>
    <w:rPr>
      <w:sz w:val="20"/>
      <w:szCs w:val="20"/>
    </w:rPr>
  </w:style>
  <w:style w:type="character" w:styleId="10">
    <w:name w:val="Hyperlink"/>
    <w:basedOn w:val="2"/>
    <w:unhideWhenUsed/>
    <w:qFormat/>
    <w:uiPriority w:val="99"/>
    <w:rPr>
      <w:color w:val="0563C1"/>
      <w:u w:val="single"/>
    </w:rPr>
  </w:style>
  <w:style w:type="character" w:styleId="11">
    <w:name w:val="line number"/>
    <w:basedOn w:val="2"/>
    <w:qFormat/>
    <w:uiPriority w:val="0"/>
  </w:style>
  <w:style w:type="character" w:customStyle="1" w:styleId="12">
    <w:name w:val="15"/>
    <w:basedOn w:val="2"/>
    <w:qFormat/>
    <w:uiPriority w:val="0"/>
    <w:rPr>
      <w:rFonts w:hint="default" w:ascii="Times New Roman" w:hAnsi="Times New Roman" w:cs="Times New Roman"/>
      <w:color w:val="0000FF"/>
      <w:u w:val="single"/>
    </w:rPr>
  </w:style>
  <w:style w:type="table" w:customStyle="1" w:styleId="13">
    <w:name w:val="Table Grid Light1"/>
    <w:basedOn w:val="3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14">
    <w:name w:val="Plain Table 21"/>
    <w:basedOn w:val="3"/>
    <w:qFormat/>
    <w:uiPriority w:val="0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15">
    <w:name w:val="Plain Table 11"/>
    <w:basedOn w:val="3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16">
    <w:name w:val="Plain Table 41"/>
    <w:basedOn w:val="3"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17">
    <w:name w:val="Comment Text Char"/>
    <w:basedOn w:val="2"/>
    <w:link w:val="5"/>
    <w:uiPriority w:val="0"/>
    <w:rPr>
      <w:rFonts w:ascii="Calibri" w:hAnsi="Calibri" w:eastAsia="Times New Roman"/>
      <w:lang w:val="en-AU" w:eastAsia="ja-JP"/>
    </w:rPr>
  </w:style>
  <w:style w:type="character" w:customStyle="1" w:styleId="18">
    <w:name w:val="Comment Subject Char"/>
    <w:basedOn w:val="17"/>
    <w:link w:val="6"/>
    <w:semiHidden/>
    <w:qFormat/>
    <w:uiPriority w:val="0"/>
    <w:rPr>
      <w:rFonts w:ascii="Calibri" w:hAnsi="Calibri" w:eastAsia="Times New Roman"/>
      <w:b/>
      <w:bCs/>
      <w:lang w:val="en-AU" w:eastAsia="ja-JP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635</Words>
  <Characters>3622</Characters>
  <Lines>30</Lines>
  <Paragraphs>8</Paragraphs>
  <TotalTime>4</TotalTime>
  <ScaleCrop>false</ScaleCrop>
  <LinksUpToDate>false</LinksUpToDate>
  <CharactersWithSpaces>4249</CharactersWithSpaces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2022-07-31T01:25:00Z</dcterms:created>
  <dc:creator>Administrator</dc:creator>
  <cp:lastModifiedBy>WPS_1686213235</cp:lastModifiedBy>
  <dcterms:modified xsi:type="dcterms:W3CDTF">2023-08-30T08:38:27Z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6EB2AF2478D34471B2660EE03B6009A8</vt:lpwstr>
  </property>
  <property fmtid="{D5CDD505-2E9C-101B-9397-08002B2CF9AE}" pid="4" name="GrammarlyDocumentId">
    <vt:lpwstr>1d7a6eb70b9242aadfe017d5b40260f78a868a2e733d3761acc6694c280c3821</vt:lpwstr>
  </property>
</Properties>
</file>