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260" w:type="dxa"/>
        <w:tblInd w:w="-55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891"/>
        <w:gridCol w:w="4249"/>
        <w:gridCol w:w="1050"/>
        <w:gridCol w:w="2070"/>
      </w:tblGrid>
      <w:tr w:rsidR="00C758A2" w:rsidRPr="00773B47" w14:paraId="66523DE5" w14:textId="77777777" w:rsidTr="00CA537B">
        <w:trPr>
          <w:trHeight w:val="330"/>
        </w:trPr>
        <w:tc>
          <w:tcPr>
            <w:tcW w:w="10260" w:type="dxa"/>
            <w:gridSpan w:val="4"/>
            <w:tcBorders>
              <w:top w:val="single" w:sz="6" w:space="0" w:color="auto"/>
              <w:left w:val="single" w:sz="6" w:space="0" w:color="auto"/>
              <w:bottom w:val="nil"/>
              <w:right w:val="single" w:sz="6" w:space="0" w:color="auto"/>
            </w:tcBorders>
            <w:shd w:val="clear" w:color="auto" w:fill="4472C4" w:themeFill="accent1"/>
            <w:vAlign w:val="center"/>
          </w:tcPr>
          <w:p w14:paraId="7338D50D" w14:textId="77777777" w:rsidR="00C758A2" w:rsidRPr="00773B47" w:rsidRDefault="00C758A2" w:rsidP="00CA537B">
            <w:pPr>
              <w:spacing w:after="0" w:line="240" w:lineRule="auto"/>
              <w:jc w:val="center"/>
              <w:textAlignment w:val="baseline"/>
              <w:rPr>
                <w:rFonts w:ascii="Calibri" w:eastAsia="Times New Roman" w:hAnsi="Calibri" w:cs="Calibri"/>
                <w:b/>
                <w:bCs/>
                <w:sz w:val="24"/>
                <w:szCs w:val="24"/>
              </w:rPr>
            </w:pPr>
            <w:r w:rsidRPr="239D3FCA">
              <w:rPr>
                <w:rFonts w:ascii="Calibri" w:eastAsia="Times New Roman" w:hAnsi="Calibri" w:cs="Calibri"/>
                <w:b/>
                <w:bCs/>
                <w:sz w:val="24"/>
                <w:szCs w:val="24"/>
              </w:rPr>
              <w:t>Supplemental Table 1. Quantitative Survey Responses from 992 Community Based Organizations</w:t>
            </w:r>
          </w:p>
        </w:tc>
      </w:tr>
      <w:tr w:rsidR="00C758A2" w:rsidRPr="00D22CC3" w14:paraId="267BB44B" w14:textId="77777777" w:rsidTr="00CA537B">
        <w:trPr>
          <w:trHeight w:val="330"/>
        </w:trPr>
        <w:tc>
          <w:tcPr>
            <w:tcW w:w="2891" w:type="dxa"/>
            <w:tcBorders>
              <w:top w:val="single" w:sz="6" w:space="0" w:color="auto"/>
              <w:left w:val="single" w:sz="6" w:space="0" w:color="auto"/>
              <w:bottom w:val="nil"/>
              <w:right w:val="single" w:sz="6" w:space="0" w:color="auto"/>
            </w:tcBorders>
            <w:shd w:val="clear" w:color="auto" w:fill="4472C4" w:themeFill="accent1"/>
            <w:vAlign w:val="center"/>
            <w:hideMark/>
          </w:tcPr>
          <w:p w14:paraId="7C1D62DD"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b/>
                <w:bCs/>
                <w:sz w:val="24"/>
                <w:szCs w:val="24"/>
              </w:rPr>
              <w:t>Question</w:t>
            </w:r>
            <w:r w:rsidRPr="00D22CC3">
              <w:rPr>
                <w:rFonts w:ascii="Calibri" w:eastAsia="Times New Roman" w:hAnsi="Calibri" w:cs="Calibri"/>
                <w:sz w:val="24"/>
                <w:szCs w:val="24"/>
              </w:rPr>
              <w:t> </w:t>
            </w:r>
          </w:p>
        </w:tc>
        <w:tc>
          <w:tcPr>
            <w:tcW w:w="4249" w:type="dxa"/>
            <w:tcBorders>
              <w:top w:val="single" w:sz="6" w:space="0" w:color="auto"/>
              <w:left w:val="nil"/>
              <w:bottom w:val="nil"/>
              <w:right w:val="single" w:sz="6" w:space="0" w:color="auto"/>
            </w:tcBorders>
            <w:shd w:val="clear" w:color="auto" w:fill="4472C4" w:themeFill="accent1"/>
            <w:vAlign w:val="center"/>
            <w:hideMark/>
          </w:tcPr>
          <w:p w14:paraId="0E66AEFA"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b/>
                <w:bCs/>
                <w:sz w:val="24"/>
                <w:szCs w:val="24"/>
              </w:rPr>
              <w:t>Response</w:t>
            </w:r>
            <w:r w:rsidRPr="00D22CC3">
              <w:rPr>
                <w:rFonts w:ascii="Calibri" w:eastAsia="Times New Roman" w:hAnsi="Calibri" w:cs="Calibri"/>
                <w:sz w:val="24"/>
                <w:szCs w:val="24"/>
              </w:rPr>
              <w:t> </w:t>
            </w:r>
          </w:p>
        </w:tc>
        <w:tc>
          <w:tcPr>
            <w:tcW w:w="1050" w:type="dxa"/>
            <w:tcBorders>
              <w:top w:val="single" w:sz="6" w:space="0" w:color="auto"/>
              <w:left w:val="nil"/>
              <w:bottom w:val="nil"/>
              <w:right w:val="single" w:sz="6" w:space="0" w:color="auto"/>
            </w:tcBorders>
            <w:shd w:val="clear" w:color="auto" w:fill="4472C4" w:themeFill="accent1"/>
            <w:vAlign w:val="center"/>
            <w:hideMark/>
          </w:tcPr>
          <w:p w14:paraId="14535582"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b/>
                <w:bCs/>
                <w:sz w:val="24"/>
                <w:szCs w:val="24"/>
              </w:rPr>
              <w:t>Percent Yes</w:t>
            </w:r>
          </w:p>
        </w:tc>
        <w:tc>
          <w:tcPr>
            <w:tcW w:w="2070" w:type="dxa"/>
            <w:tcBorders>
              <w:top w:val="single" w:sz="6" w:space="0" w:color="auto"/>
              <w:left w:val="nil"/>
              <w:bottom w:val="nil"/>
              <w:right w:val="single" w:sz="6" w:space="0" w:color="auto"/>
            </w:tcBorders>
            <w:shd w:val="clear" w:color="auto" w:fill="4472C4" w:themeFill="accent1"/>
            <w:vAlign w:val="center"/>
            <w:hideMark/>
          </w:tcPr>
          <w:p w14:paraId="5C0427E7"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b/>
                <w:bCs/>
                <w:sz w:val="24"/>
                <w:szCs w:val="24"/>
              </w:rPr>
              <w:t>Total Responses</w:t>
            </w:r>
          </w:p>
        </w:tc>
      </w:tr>
      <w:tr w:rsidR="00C758A2" w:rsidRPr="00D22CC3" w14:paraId="1BD0207B" w14:textId="77777777" w:rsidTr="00CA537B">
        <w:trPr>
          <w:trHeight w:val="390"/>
        </w:trPr>
        <w:tc>
          <w:tcPr>
            <w:tcW w:w="2891" w:type="dxa"/>
            <w:vMerge w:val="restart"/>
            <w:tcBorders>
              <w:top w:val="single" w:sz="6" w:space="0" w:color="auto"/>
              <w:left w:val="single" w:sz="6" w:space="0" w:color="auto"/>
              <w:right w:val="single" w:sz="6" w:space="0" w:color="auto"/>
            </w:tcBorders>
            <w:shd w:val="clear" w:color="auto" w:fill="D9E2F3" w:themeFill="accent1" w:themeFillTint="33"/>
            <w:vAlign w:val="center"/>
          </w:tcPr>
          <w:p w14:paraId="72C05FE2"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Which of the following describes your organization's barriers to capturing data about its programs and/or direct services? </w:t>
            </w:r>
          </w:p>
        </w:tc>
        <w:tc>
          <w:tcPr>
            <w:tcW w:w="4249" w:type="dxa"/>
            <w:tcBorders>
              <w:top w:val="single" w:sz="6" w:space="0" w:color="auto"/>
              <w:left w:val="nil"/>
              <w:bottom w:val="single" w:sz="6" w:space="0" w:color="auto"/>
              <w:right w:val="single" w:sz="6" w:space="0" w:color="auto"/>
            </w:tcBorders>
            <w:shd w:val="clear" w:color="auto" w:fill="D9E2F3" w:themeFill="accent1" w:themeFillTint="33"/>
          </w:tcPr>
          <w:p w14:paraId="592B5B9C"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Poor data quality </w:t>
            </w:r>
          </w:p>
        </w:tc>
        <w:tc>
          <w:tcPr>
            <w:tcW w:w="1050" w:type="dxa"/>
            <w:tcBorders>
              <w:top w:val="single" w:sz="6" w:space="0" w:color="auto"/>
              <w:left w:val="nil"/>
              <w:bottom w:val="single" w:sz="6" w:space="0" w:color="auto"/>
              <w:right w:val="single" w:sz="6" w:space="0" w:color="auto"/>
            </w:tcBorders>
            <w:shd w:val="clear" w:color="auto" w:fill="D9E2F3" w:themeFill="accent1" w:themeFillTint="33"/>
          </w:tcPr>
          <w:p w14:paraId="6F6648E9"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46.60% </w:t>
            </w:r>
          </w:p>
        </w:tc>
        <w:tc>
          <w:tcPr>
            <w:tcW w:w="2070" w:type="dxa"/>
            <w:vMerge w:val="restart"/>
            <w:tcBorders>
              <w:top w:val="single" w:sz="6" w:space="0" w:color="auto"/>
              <w:left w:val="single" w:sz="6" w:space="0" w:color="auto"/>
              <w:right w:val="single" w:sz="6" w:space="0" w:color="auto"/>
            </w:tcBorders>
            <w:shd w:val="clear" w:color="auto" w:fill="D9E2F3" w:themeFill="accent1" w:themeFillTint="33"/>
            <w:vAlign w:val="center"/>
          </w:tcPr>
          <w:p w14:paraId="4207F94C"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t>103</w:t>
            </w:r>
          </w:p>
          <w:p w14:paraId="46F3ACC1"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0D374148"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tc>
      </w:tr>
      <w:tr w:rsidR="00C758A2" w:rsidRPr="00D22CC3" w14:paraId="3BDDB76E" w14:textId="77777777" w:rsidTr="00CA537B">
        <w:trPr>
          <w:trHeight w:val="390"/>
        </w:trPr>
        <w:tc>
          <w:tcPr>
            <w:tcW w:w="2891" w:type="dxa"/>
            <w:vMerge/>
            <w:vAlign w:val="center"/>
            <w:hideMark/>
          </w:tcPr>
          <w:p w14:paraId="1A7AC070"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p>
        </w:tc>
        <w:tc>
          <w:tcPr>
            <w:tcW w:w="4249" w:type="dxa"/>
            <w:tcBorders>
              <w:top w:val="single" w:sz="6" w:space="0" w:color="auto"/>
              <w:left w:val="nil"/>
              <w:bottom w:val="single" w:sz="6" w:space="0" w:color="auto"/>
              <w:right w:val="single" w:sz="6" w:space="0" w:color="auto"/>
            </w:tcBorders>
            <w:shd w:val="clear" w:color="auto" w:fill="D9E2F3" w:themeFill="accent1" w:themeFillTint="33"/>
            <w:hideMark/>
          </w:tcPr>
          <w:p w14:paraId="7235538A"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The inability to operate between systems </w:t>
            </w:r>
          </w:p>
        </w:tc>
        <w:tc>
          <w:tcPr>
            <w:tcW w:w="1050" w:type="dxa"/>
            <w:tcBorders>
              <w:top w:val="single" w:sz="6" w:space="0" w:color="auto"/>
              <w:left w:val="nil"/>
              <w:bottom w:val="single" w:sz="6" w:space="0" w:color="auto"/>
              <w:right w:val="single" w:sz="6" w:space="0" w:color="auto"/>
            </w:tcBorders>
            <w:shd w:val="clear" w:color="auto" w:fill="D9E2F3" w:themeFill="accent1" w:themeFillTint="33"/>
            <w:hideMark/>
          </w:tcPr>
          <w:p w14:paraId="02D2C096"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45.63% </w:t>
            </w:r>
          </w:p>
        </w:tc>
        <w:tc>
          <w:tcPr>
            <w:tcW w:w="2070" w:type="dxa"/>
            <w:vMerge/>
            <w:vAlign w:val="center"/>
            <w:hideMark/>
          </w:tcPr>
          <w:p w14:paraId="6A32D9E3"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4726E25A" w14:textId="77777777" w:rsidTr="00CA537B">
        <w:trPr>
          <w:trHeight w:val="330"/>
        </w:trPr>
        <w:tc>
          <w:tcPr>
            <w:tcW w:w="0" w:type="auto"/>
            <w:vMerge/>
            <w:vAlign w:val="center"/>
          </w:tcPr>
          <w:p w14:paraId="43D2B8E6"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tcPr>
          <w:p w14:paraId="060C2367"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Other </w:t>
            </w:r>
          </w:p>
        </w:tc>
        <w:tc>
          <w:tcPr>
            <w:tcW w:w="1050" w:type="dxa"/>
            <w:tcBorders>
              <w:top w:val="nil"/>
              <w:left w:val="nil"/>
              <w:bottom w:val="single" w:sz="6" w:space="0" w:color="auto"/>
              <w:right w:val="single" w:sz="6" w:space="0" w:color="auto"/>
            </w:tcBorders>
            <w:shd w:val="clear" w:color="auto" w:fill="D9E2F3" w:themeFill="accent1" w:themeFillTint="33"/>
          </w:tcPr>
          <w:p w14:paraId="1AB6E3B6"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33.01% </w:t>
            </w:r>
          </w:p>
        </w:tc>
        <w:tc>
          <w:tcPr>
            <w:tcW w:w="2070" w:type="dxa"/>
            <w:vMerge/>
            <w:vAlign w:val="center"/>
          </w:tcPr>
          <w:p w14:paraId="754A86EB"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00B3351F" w14:textId="77777777" w:rsidTr="00CA537B">
        <w:trPr>
          <w:trHeight w:val="330"/>
        </w:trPr>
        <w:tc>
          <w:tcPr>
            <w:tcW w:w="0" w:type="auto"/>
            <w:vMerge/>
            <w:vAlign w:val="center"/>
            <w:hideMark/>
          </w:tcPr>
          <w:p w14:paraId="39C66FA3"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hideMark/>
          </w:tcPr>
          <w:p w14:paraId="0CB58AF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Inadequate software capabilities </w:t>
            </w:r>
          </w:p>
        </w:tc>
        <w:tc>
          <w:tcPr>
            <w:tcW w:w="1050" w:type="dxa"/>
            <w:tcBorders>
              <w:top w:val="nil"/>
              <w:left w:val="nil"/>
              <w:bottom w:val="single" w:sz="6" w:space="0" w:color="auto"/>
              <w:right w:val="single" w:sz="6" w:space="0" w:color="auto"/>
            </w:tcBorders>
            <w:shd w:val="clear" w:color="auto" w:fill="D9E2F3" w:themeFill="accent1" w:themeFillTint="33"/>
            <w:hideMark/>
          </w:tcPr>
          <w:p w14:paraId="2BA216C1"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16.51% </w:t>
            </w:r>
          </w:p>
        </w:tc>
        <w:tc>
          <w:tcPr>
            <w:tcW w:w="2070" w:type="dxa"/>
            <w:vMerge/>
            <w:vAlign w:val="center"/>
            <w:hideMark/>
          </w:tcPr>
          <w:p w14:paraId="044FB3D9"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0ACC26EC" w14:textId="77777777" w:rsidTr="00CA537B">
        <w:trPr>
          <w:trHeight w:val="330"/>
        </w:trPr>
        <w:tc>
          <w:tcPr>
            <w:tcW w:w="0" w:type="auto"/>
            <w:vMerge/>
            <w:vAlign w:val="center"/>
            <w:hideMark/>
          </w:tcPr>
          <w:p w14:paraId="76099CF5"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hideMark/>
          </w:tcPr>
          <w:p w14:paraId="69D753C5"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Limited data access </w:t>
            </w:r>
          </w:p>
        </w:tc>
        <w:tc>
          <w:tcPr>
            <w:tcW w:w="1050" w:type="dxa"/>
            <w:tcBorders>
              <w:top w:val="nil"/>
              <w:left w:val="nil"/>
              <w:bottom w:val="single" w:sz="6" w:space="0" w:color="auto"/>
              <w:right w:val="single" w:sz="6" w:space="0" w:color="auto"/>
            </w:tcBorders>
            <w:shd w:val="clear" w:color="auto" w:fill="D9E2F3" w:themeFill="accent1" w:themeFillTint="33"/>
            <w:hideMark/>
          </w:tcPr>
          <w:p w14:paraId="04B5A02F"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15.53% </w:t>
            </w:r>
          </w:p>
        </w:tc>
        <w:tc>
          <w:tcPr>
            <w:tcW w:w="2070" w:type="dxa"/>
            <w:vMerge/>
            <w:vAlign w:val="center"/>
            <w:hideMark/>
          </w:tcPr>
          <w:p w14:paraId="46CEE8F7"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1C98D649" w14:textId="77777777" w:rsidTr="00CA537B">
        <w:trPr>
          <w:trHeight w:val="525"/>
        </w:trPr>
        <w:tc>
          <w:tcPr>
            <w:tcW w:w="2891" w:type="dxa"/>
            <w:vMerge w:val="restart"/>
            <w:tcBorders>
              <w:top w:val="single" w:sz="6" w:space="0" w:color="000000" w:themeColor="text1"/>
              <w:left w:val="single" w:sz="6" w:space="0" w:color="auto"/>
              <w:right w:val="single" w:sz="6" w:space="0" w:color="auto"/>
            </w:tcBorders>
            <w:shd w:val="clear" w:color="auto" w:fill="FFFFFF" w:themeFill="background1"/>
            <w:vAlign w:val="center"/>
          </w:tcPr>
          <w:p w14:paraId="54FDE162"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Which of the following actions does your organization conduct on behalf of its programs and/or direct services?</w:t>
            </w:r>
          </w:p>
        </w:tc>
        <w:tc>
          <w:tcPr>
            <w:tcW w:w="4249" w:type="dxa"/>
            <w:tcBorders>
              <w:top w:val="nil"/>
              <w:left w:val="nil"/>
              <w:bottom w:val="single" w:sz="6" w:space="0" w:color="auto"/>
              <w:right w:val="single" w:sz="6" w:space="0" w:color="auto"/>
            </w:tcBorders>
            <w:shd w:val="clear" w:color="auto" w:fill="auto"/>
          </w:tcPr>
          <w:p w14:paraId="2ABC488A"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Tracking program metrics </w:t>
            </w:r>
          </w:p>
        </w:tc>
        <w:tc>
          <w:tcPr>
            <w:tcW w:w="1050" w:type="dxa"/>
            <w:tcBorders>
              <w:top w:val="nil"/>
              <w:left w:val="nil"/>
              <w:bottom w:val="single" w:sz="6" w:space="0" w:color="auto"/>
              <w:right w:val="single" w:sz="6" w:space="0" w:color="auto"/>
            </w:tcBorders>
            <w:shd w:val="clear" w:color="auto" w:fill="auto"/>
          </w:tcPr>
          <w:p w14:paraId="1437AB1B"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92.59% </w:t>
            </w:r>
          </w:p>
        </w:tc>
        <w:tc>
          <w:tcPr>
            <w:tcW w:w="2070" w:type="dxa"/>
            <w:vMerge w:val="restart"/>
            <w:tcBorders>
              <w:top w:val="single" w:sz="6" w:space="0" w:color="000000" w:themeColor="text1"/>
              <w:left w:val="single" w:sz="6" w:space="0" w:color="auto"/>
              <w:right w:val="single" w:sz="6" w:space="0" w:color="auto"/>
            </w:tcBorders>
            <w:shd w:val="clear" w:color="auto" w:fill="auto"/>
            <w:vAlign w:val="center"/>
          </w:tcPr>
          <w:p w14:paraId="36ABDD89"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Pr>
                <w:rFonts w:ascii="Calibri" w:eastAsia="Times New Roman" w:hAnsi="Calibri" w:cs="Calibri"/>
                <w:color w:val="000000"/>
                <w:sz w:val="20"/>
                <w:szCs w:val="20"/>
              </w:rPr>
              <w:t>108</w:t>
            </w:r>
          </w:p>
          <w:p w14:paraId="7A5EA97B"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tc>
      </w:tr>
      <w:tr w:rsidR="00C758A2" w14:paraId="4D28E667" w14:textId="77777777" w:rsidTr="00CA537B">
        <w:trPr>
          <w:trHeight w:val="525"/>
        </w:trPr>
        <w:tc>
          <w:tcPr>
            <w:tcW w:w="2891" w:type="dxa"/>
            <w:vMerge/>
            <w:vAlign w:val="center"/>
          </w:tcPr>
          <w:p w14:paraId="2E617913"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p>
        </w:tc>
        <w:tc>
          <w:tcPr>
            <w:tcW w:w="4249" w:type="dxa"/>
            <w:tcBorders>
              <w:top w:val="nil"/>
              <w:left w:val="nil"/>
              <w:bottom w:val="single" w:sz="6" w:space="0" w:color="auto"/>
              <w:right w:val="single" w:sz="6" w:space="0" w:color="auto"/>
            </w:tcBorders>
            <w:shd w:val="clear" w:color="auto" w:fill="auto"/>
          </w:tcPr>
          <w:p w14:paraId="6C6E9D79"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Auditing data regularly </w:t>
            </w:r>
          </w:p>
        </w:tc>
        <w:tc>
          <w:tcPr>
            <w:tcW w:w="1050" w:type="dxa"/>
            <w:tcBorders>
              <w:top w:val="nil"/>
              <w:left w:val="nil"/>
              <w:bottom w:val="single" w:sz="6" w:space="0" w:color="auto"/>
              <w:right w:val="single" w:sz="6" w:space="0" w:color="auto"/>
            </w:tcBorders>
            <w:shd w:val="clear" w:color="auto" w:fill="auto"/>
          </w:tcPr>
          <w:p w14:paraId="6A9C2769"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88.89% </w:t>
            </w:r>
          </w:p>
        </w:tc>
        <w:tc>
          <w:tcPr>
            <w:tcW w:w="2070" w:type="dxa"/>
            <w:vMerge/>
            <w:vAlign w:val="center"/>
          </w:tcPr>
          <w:p w14:paraId="03A0DC1D" w14:textId="77777777" w:rsidR="00C758A2" w:rsidRDefault="00C758A2" w:rsidP="00CA537B">
            <w:pPr>
              <w:spacing w:after="0" w:line="240" w:lineRule="auto"/>
              <w:jc w:val="center"/>
              <w:textAlignment w:val="baseline"/>
              <w:rPr>
                <w:rFonts w:ascii="Calibri" w:eastAsia="Times New Roman" w:hAnsi="Calibri" w:cs="Calibri"/>
                <w:color w:val="000000"/>
                <w:sz w:val="20"/>
                <w:szCs w:val="20"/>
              </w:rPr>
            </w:pPr>
          </w:p>
        </w:tc>
      </w:tr>
      <w:tr w:rsidR="00C758A2" w14:paraId="419658C5" w14:textId="77777777" w:rsidTr="00CA537B">
        <w:trPr>
          <w:trHeight w:val="525"/>
        </w:trPr>
        <w:tc>
          <w:tcPr>
            <w:tcW w:w="2891" w:type="dxa"/>
            <w:vMerge/>
            <w:vAlign w:val="center"/>
          </w:tcPr>
          <w:p w14:paraId="351BDB27"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p>
        </w:tc>
        <w:tc>
          <w:tcPr>
            <w:tcW w:w="4249" w:type="dxa"/>
            <w:tcBorders>
              <w:top w:val="nil"/>
              <w:left w:val="nil"/>
              <w:bottom w:val="single" w:sz="6" w:space="0" w:color="auto"/>
              <w:right w:val="single" w:sz="6" w:space="0" w:color="auto"/>
            </w:tcBorders>
            <w:shd w:val="clear" w:color="auto" w:fill="auto"/>
          </w:tcPr>
          <w:p w14:paraId="08B349ED"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Entering data on behalf of programs </w:t>
            </w:r>
          </w:p>
        </w:tc>
        <w:tc>
          <w:tcPr>
            <w:tcW w:w="1050" w:type="dxa"/>
            <w:tcBorders>
              <w:top w:val="nil"/>
              <w:left w:val="nil"/>
              <w:bottom w:val="single" w:sz="6" w:space="0" w:color="auto"/>
              <w:right w:val="single" w:sz="6" w:space="0" w:color="auto"/>
            </w:tcBorders>
            <w:shd w:val="clear" w:color="auto" w:fill="auto"/>
          </w:tcPr>
          <w:p w14:paraId="6127CC02"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48.15% </w:t>
            </w:r>
          </w:p>
        </w:tc>
        <w:tc>
          <w:tcPr>
            <w:tcW w:w="2070" w:type="dxa"/>
            <w:vMerge/>
            <w:vAlign w:val="center"/>
          </w:tcPr>
          <w:p w14:paraId="4ECA4A6F" w14:textId="77777777" w:rsidR="00C758A2" w:rsidRDefault="00C758A2" w:rsidP="00CA537B">
            <w:pPr>
              <w:spacing w:after="0" w:line="240" w:lineRule="auto"/>
              <w:jc w:val="center"/>
              <w:textAlignment w:val="baseline"/>
              <w:rPr>
                <w:rFonts w:ascii="Calibri" w:eastAsia="Times New Roman" w:hAnsi="Calibri" w:cs="Calibri"/>
                <w:color w:val="000000"/>
                <w:sz w:val="20"/>
                <w:szCs w:val="20"/>
              </w:rPr>
            </w:pPr>
          </w:p>
        </w:tc>
      </w:tr>
      <w:tr w:rsidR="00C758A2" w:rsidRPr="00D22CC3" w14:paraId="0588CB66" w14:textId="77777777" w:rsidTr="00CA537B">
        <w:trPr>
          <w:trHeight w:val="525"/>
        </w:trPr>
        <w:tc>
          <w:tcPr>
            <w:tcW w:w="2891" w:type="dxa"/>
            <w:vMerge w:val="restart"/>
            <w:tcBorders>
              <w:top w:val="single" w:sz="6" w:space="0" w:color="000000" w:themeColor="text1"/>
              <w:left w:val="single" w:sz="6" w:space="0" w:color="auto"/>
              <w:right w:val="single" w:sz="6" w:space="0" w:color="auto"/>
            </w:tcBorders>
            <w:shd w:val="clear" w:color="auto" w:fill="D9E1F2"/>
            <w:vAlign w:val="center"/>
          </w:tcPr>
          <w:p w14:paraId="3FD84C3E"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Which of the following statements are true about capturing client data at your organization? </w:t>
            </w:r>
          </w:p>
        </w:tc>
        <w:tc>
          <w:tcPr>
            <w:tcW w:w="4249" w:type="dxa"/>
            <w:tcBorders>
              <w:top w:val="nil"/>
              <w:left w:val="nil"/>
              <w:bottom w:val="single" w:sz="6" w:space="0" w:color="auto"/>
              <w:right w:val="single" w:sz="6" w:space="0" w:color="auto"/>
            </w:tcBorders>
            <w:shd w:val="clear" w:color="auto" w:fill="D9E2F3" w:themeFill="accent1" w:themeFillTint="33"/>
          </w:tcPr>
          <w:p w14:paraId="67F1B5B8"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We have a well-defined intake process </w:t>
            </w:r>
          </w:p>
        </w:tc>
        <w:tc>
          <w:tcPr>
            <w:tcW w:w="1050" w:type="dxa"/>
            <w:tcBorders>
              <w:top w:val="nil"/>
              <w:left w:val="nil"/>
              <w:bottom w:val="single" w:sz="6" w:space="0" w:color="auto"/>
              <w:right w:val="single" w:sz="6" w:space="0" w:color="auto"/>
            </w:tcBorders>
            <w:shd w:val="clear" w:color="auto" w:fill="D9E2F3" w:themeFill="accent1" w:themeFillTint="33"/>
          </w:tcPr>
          <w:p w14:paraId="3ED553D2"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74.19% </w:t>
            </w:r>
          </w:p>
        </w:tc>
        <w:tc>
          <w:tcPr>
            <w:tcW w:w="2070" w:type="dxa"/>
            <w:vMerge w:val="restart"/>
            <w:tcBorders>
              <w:top w:val="single" w:sz="6" w:space="0" w:color="000000" w:themeColor="text1"/>
              <w:left w:val="single" w:sz="6" w:space="0" w:color="auto"/>
              <w:right w:val="single" w:sz="6" w:space="0" w:color="auto"/>
            </w:tcBorders>
            <w:shd w:val="clear" w:color="auto" w:fill="D9E2F3" w:themeFill="accent1" w:themeFillTint="33"/>
            <w:vAlign w:val="center"/>
          </w:tcPr>
          <w:p w14:paraId="18FD826C"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62 </w:t>
            </w:r>
          </w:p>
          <w:p w14:paraId="5081289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06004F3B"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54EC3A63"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tc>
      </w:tr>
      <w:tr w:rsidR="00C758A2" w:rsidRPr="00D22CC3" w14:paraId="14B686A2" w14:textId="77777777" w:rsidTr="00CA537B">
        <w:trPr>
          <w:trHeight w:val="525"/>
        </w:trPr>
        <w:tc>
          <w:tcPr>
            <w:tcW w:w="2891" w:type="dxa"/>
            <w:vMerge/>
            <w:vAlign w:val="center"/>
          </w:tcPr>
          <w:p w14:paraId="6BEFBCF4"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p>
        </w:tc>
        <w:tc>
          <w:tcPr>
            <w:tcW w:w="4249" w:type="dxa"/>
            <w:tcBorders>
              <w:top w:val="nil"/>
              <w:left w:val="nil"/>
              <w:bottom w:val="single" w:sz="6" w:space="0" w:color="auto"/>
              <w:right w:val="single" w:sz="6" w:space="0" w:color="auto"/>
            </w:tcBorders>
            <w:shd w:val="clear" w:color="auto" w:fill="D9E2F3" w:themeFill="accent1" w:themeFillTint="33"/>
          </w:tcPr>
          <w:p w14:paraId="6730BF9E"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We have frequent data audits that allow for continuous quality improvement </w:t>
            </w:r>
          </w:p>
        </w:tc>
        <w:tc>
          <w:tcPr>
            <w:tcW w:w="1050" w:type="dxa"/>
            <w:tcBorders>
              <w:top w:val="nil"/>
              <w:left w:val="nil"/>
              <w:bottom w:val="single" w:sz="6" w:space="0" w:color="auto"/>
              <w:right w:val="single" w:sz="6" w:space="0" w:color="auto"/>
            </w:tcBorders>
            <w:shd w:val="clear" w:color="auto" w:fill="D9E2F3" w:themeFill="accent1" w:themeFillTint="33"/>
          </w:tcPr>
          <w:p w14:paraId="54340EA7"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66.13% </w:t>
            </w:r>
          </w:p>
        </w:tc>
        <w:tc>
          <w:tcPr>
            <w:tcW w:w="2070" w:type="dxa"/>
            <w:vMerge/>
            <w:vAlign w:val="center"/>
          </w:tcPr>
          <w:p w14:paraId="6C22F8FA"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31613747" w14:textId="77777777" w:rsidTr="00CA537B">
        <w:trPr>
          <w:trHeight w:val="525"/>
        </w:trPr>
        <w:tc>
          <w:tcPr>
            <w:tcW w:w="2891" w:type="dxa"/>
            <w:vMerge/>
            <w:vAlign w:val="center"/>
            <w:hideMark/>
          </w:tcPr>
          <w:p w14:paraId="3957B969"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p>
        </w:tc>
        <w:tc>
          <w:tcPr>
            <w:tcW w:w="4249" w:type="dxa"/>
            <w:tcBorders>
              <w:top w:val="nil"/>
              <w:left w:val="nil"/>
              <w:bottom w:val="single" w:sz="6" w:space="0" w:color="auto"/>
              <w:right w:val="single" w:sz="6" w:space="0" w:color="auto"/>
            </w:tcBorders>
            <w:shd w:val="clear" w:color="auto" w:fill="D9E2F3" w:themeFill="accent1" w:themeFillTint="33"/>
            <w:hideMark/>
          </w:tcPr>
          <w:p w14:paraId="7570D2B3"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We use electronic (e.g., smartphone) applications in the field to support the data collection process </w:t>
            </w:r>
          </w:p>
        </w:tc>
        <w:tc>
          <w:tcPr>
            <w:tcW w:w="1050" w:type="dxa"/>
            <w:tcBorders>
              <w:top w:val="nil"/>
              <w:left w:val="nil"/>
              <w:bottom w:val="single" w:sz="6" w:space="0" w:color="auto"/>
              <w:right w:val="single" w:sz="6" w:space="0" w:color="auto"/>
            </w:tcBorders>
            <w:shd w:val="clear" w:color="auto" w:fill="D9E2F3" w:themeFill="accent1" w:themeFillTint="33"/>
            <w:hideMark/>
          </w:tcPr>
          <w:p w14:paraId="045009E7"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43.55% </w:t>
            </w:r>
          </w:p>
        </w:tc>
        <w:tc>
          <w:tcPr>
            <w:tcW w:w="2070" w:type="dxa"/>
            <w:vMerge/>
            <w:vAlign w:val="center"/>
            <w:hideMark/>
          </w:tcPr>
          <w:p w14:paraId="0D98938D"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2FDD1606" w14:textId="77777777" w:rsidTr="00CA537B">
        <w:trPr>
          <w:trHeight w:val="375"/>
        </w:trPr>
        <w:tc>
          <w:tcPr>
            <w:tcW w:w="0" w:type="auto"/>
            <w:vMerge/>
            <w:vAlign w:val="center"/>
            <w:hideMark/>
          </w:tcPr>
          <w:p w14:paraId="79927B54"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tcPr>
          <w:p w14:paraId="03922BD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We have adequate funding for data capture and management </w:t>
            </w:r>
          </w:p>
        </w:tc>
        <w:tc>
          <w:tcPr>
            <w:tcW w:w="1050" w:type="dxa"/>
            <w:tcBorders>
              <w:top w:val="nil"/>
              <w:left w:val="nil"/>
              <w:bottom w:val="single" w:sz="6" w:space="0" w:color="auto"/>
              <w:right w:val="single" w:sz="6" w:space="0" w:color="auto"/>
            </w:tcBorders>
            <w:shd w:val="clear" w:color="auto" w:fill="D9E2F3" w:themeFill="accent1" w:themeFillTint="33"/>
          </w:tcPr>
          <w:p w14:paraId="19A9C249"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37.10% </w:t>
            </w:r>
          </w:p>
        </w:tc>
        <w:tc>
          <w:tcPr>
            <w:tcW w:w="0" w:type="auto"/>
            <w:vMerge/>
            <w:vAlign w:val="center"/>
            <w:hideMark/>
          </w:tcPr>
          <w:p w14:paraId="208F2DCF"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5DC186BD" w14:textId="77777777" w:rsidTr="00CA537B">
        <w:trPr>
          <w:trHeight w:val="510"/>
        </w:trPr>
        <w:tc>
          <w:tcPr>
            <w:tcW w:w="0" w:type="auto"/>
            <w:vMerge/>
            <w:vAlign w:val="center"/>
            <w:hideMark/>
          </w:tcPr>
          <w:p w14:paraId="4FA2A405"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tcPr>
          <w:p w14:paraId="2D7B245E"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We have easy-to-use data systems </w:t>
            </w:r>
          </w:p>
        </w:tc>
        <w:tc>
          <w:tcPr>
            <w:tcW w:w="1050" w:type="dxa"/>
            <w:tcBorders>
              <w:top w:val="nil"/>
              <w:left w:val="nil"/>
              <w:bottom w:val="single" w:sz="6" w:space="0" w:color="auto"/>
              <w:right w:val="single" w:sz="6" w:space="0" w:color="auto"/>
            </w:tcBorders>
            <w:shd w:val="clear" w:color="auto" w:fill="D9E2F3" w:themeFill="accent1" w:themeFillTint="33"/>
          </w:tcPr>
          <w:p w14:paraId="682EE7BD"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37.10% </w:t>
            </w:r>
          </w:p>
        </w:tc>
        <w:tc>
          <w:tcPr>
            <w:tcW w:w="0" w:type="auto"/>
            <w:vMerge/>
            <w:vAlign w:val="center"/>
            <w:hideMark/>
          </w:tcPr>
          <w:p w14:paraId="6A7D2356"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6170EC26" w14:textId="77777777" w:rsidTr="00CA537B">
        <w:trPr>
          <w:trHeight w:val="330"/>
        </w:trPr>
        <w:tc>
          <w:tcPr>
            <w:tcW w:w="0" w:type="auto"/>
            <w:vMerge/>
            <w:vAlign w:val="center"/>
            <w:hideMark/>
          </w:tcPr>
          <w:p w14:paraId="645ADB19"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D9E2F3" w:themeFill="accent1" w:themeFillTint="33"/>
            <w:hideMark/>
          </w:tcPr>
          <w:p w14:paraId="0C943124"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We have adequate staffing </w:t>
            </w:r>
          </w:p>
        </w:tc>
        <w:tc>
          <w:tcPr>
            <w:tcW w:w="1050" w:type="dxa"/>
            <w:tcBorders>
              <w:top w:val="nil"/>
              <w:left w:val="nil"/>
              <w:bottom w:val="single" w:sz="6" w:space="0" w:color="auto"/>
              <w:right w:val="single" w:sz="6" w:space="0" w:color="auto"/>
            </w:tcBorders>
            <w:shd w:val="clear" w:color="auto" w:fill="D9E2F3" w:themeFill="accent1" w:themeFillTint="33"/>
            <w:hideMark/>
          </w:tcPr>
          <w:p w14:paraId="2C2DEA80"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35.48% </w:t>
            </w:r>
          </w:p>
        </w:tc>
        <w:tc>
          <w:tcPr>
            <w:tcW w:w="0" w:type="auto"/>
            <w:vMerge/>
            <w:vAlign w:val="center"/>
            <w:hideMark/>
          </w:tcPr>
          <w:p w14:paraId="788A01B8"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0936405A" w14:textId="77777777" w:rsidTr="00CA537B">
        <w:trPr>
          <w:trHeight w:val="360"/>
        </w:trPr>
        <w:tc>
          <w:tcPr>
            <w:tcW w:w="0" w:type="auto"/>
            <w:vMerge/>
            <w:vAlign w:val="center"/>
            <w:hideMark/>
          </w:tcPr>
          <w:p w14:paraId="442054D5"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6" w:space="0" w:color="auto"/>
              <w:left w:val="single" w:sz="6" w:space="0" w:color="auto"/>
              <w:bottom w:val="single" w:sz="6" w:space="0" w:color="auto"/>
              <w:right w:val="single" w:sz="6" w:space="0" w:color="auto"/>
            </w:tcBorders>
            <w:shd w:val="clear" w:color="auto" w:fill="D9E2F3" w:themeFill="accent1" w:themeFillTint="33"/>
            <w:hideMark/>
          </w:tcPr>
          <w:p w14:paraId="27633FDB"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Other </w:t>
            </w:r>
          </w:p>
        </w:tc>
        <w:tc>
          <w:tcPr>
            <w:tcW w:w="1050" w:type="dxa"/>
            <w:tcBorders>
              <w:top w:val="single" w:sz="6" w:space="0" w:color="auto"/>
              <w:left w:val="nil"/>
              <w:bottom w:val="single" w:sz="6" w:space="0" w:color="auto"/>
              <w:right w:val="single" w:sz="6" w:space="0" w:color="auto"/>
            </w:tcBorders>
            <w:shd w:val="clear" w:color="auto" w:fill="D9E2F3" w:themeFill="accent1" w:themeFillTint="33"/>
            <w:hideMark/>
          </w:tcPr>
          <w:p w14:paraId="25956B2F"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4.84% </w:t>
            </w:r>
          </w:p>
        </w:tc>
        <w:tc>
          <w:tcPr>
            <w:tcW w:w="2070" w:type="dxa"/>
            <w:vMerge/>
            <w:vAlign w:val="center"/>
            <w:hideMark/>
          </w:tcPr>
          <w:p w14:paraId="703DAD82"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3461B176" w14:textId="77777777" w:rsidTr="00CA537B">
        <w:trPr>
          <w:trHeight w:val="330"/>
        </w:trPr>
        <w:tc>
          <w:tcPr>
            <w:tcW w:w="2891" w:type="dxa"/>
            <w:vMerge w:val="restart"/>
            <w:tcBorders>
              <w:top w:val="single" w:sz="6" w:space="0" w:color="auto"/>
              <w:left w:val="single" w:sz="6" w:space="0" w:color="auto"/>
              <w:right w:val="single" w:sz="6" w:space="0" w:color="auto"/>
            </w:tcBorders>
            <w:shd w:val="clear" w:color="auto" w:fill="FFFFFF" w:themeFill="background1"/>
            <w:vAlign w:val="center"/>
          </w:tcPr>
          <w:p w14:paraId="014F745F" w14:textId="77777777" w:rsidR="00C758A2" w:rsidRPr="00D22CC3" w:rsidRDefault="00C758A2" w:rsidP="00CA537B">
            <w:pPr>
              <w:spacing w:after="0" w:line="240" w:lineRule="auto"/>
              <w:jc w:val="center"/>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With which partner(s) does your organization currently share data? </w:t>
            </w:r>
          </w:p>
        </w:tc>
        <w:tc>
          <w:tcPr>
            <w:tcW w:w="4249" w:type="dxa"/>
            <w:tcBorders>
              <w:top w:val="single" w:sz="6" w:space="0" w:color="auto"/>
              <w:left w:val="nil"/>
              <w:bottom w:val="single" w:sz="6" w:space="0" w:color="auto"/>
              <w:right w:val="single" w:sz="6" w:space="0" w:color="auto"/>
            </w:tcBorders>
            <w:shd w:val="clear" w:color="auto" w:fill="FFFFFF" w:themeFill="background1"/>
          </w:tcPr>
          <w:p w14:paraId="6030126A"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Providers within the Continuum of Care </w:t>
            </w:r>
          </w:p>
        </w:tc>
        <w:tc>
          <w:tcPr>
            <w:tcW w:w="1050" w:type="dxa"/>
            <w:tcBorders>
              <w:top w:val="single" w:sz="6" w:space="0" w:color="auto"/>
              <w:left w:val="nil"/>
              <w:bottom w:val="single" w:sz="6" w:space="0" w:color="auto"/>
              <w:right w:val="single" w:sz="6" w:space="0" w:color="auto"/>
            </w:tcBorders>
            <w:shd w:val="clear" w:color="auto" w:fill="FFFFFF" w:themeFill="background1"/>
          </w:tcPr>
          <w:p w14:paraId="2F3F454D"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87.39% </w:t>
            </w:r>
          </w:p>
        </w:tc>
        <w:tc>
          <w:tcPr>
            <w:tcW w:w="2070" w:type="dxa"/>
            <w:vMerge w:val="restart"/>
            <w:tcBorders>
              <w:top w:val="single" w:sz="6" w:space="0" w:color="auto"/>
              <w:left w:val="single" w:sz="6" w:space="0" w:color="auto"/>
              <w:right w:val="single" w:sz="6" w:space="0" w:color="auto"/>
            </w:tcBorders>
            <w:shd w:val="clear" w:color="auto" w:fill="FFFFFF" w:themeFill="background1"/>
            <w:vAlign w:val="center"/>
          </w:tcPr>
          <w:p w14:paraId="29526348"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111 </w:t>
            </w:r>
          </w:p>
          <w:p w14:paraId="58B77F7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12A309C6"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13BAB438"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7CA08029"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tc>
      </w:tr>
      <w:tr w:rsidR="00C758A2" w:rsidRPr="00D22CC3" w14:paraId="4AE748B6" w14:textId="77777777" w:rsidTr="00CA537B">
        <w:trPr>
          <w:trHeight w:val="330"/>
        </w:trPr>
        <w:tc>
          <w:tcPr>
            <w:tcW w:w="2891" w:type="dxa"/>
            <w:vMerge/>
            <w:vAlign w:val="center"/>
            <w:hideMark/>
          </w:tcPr>
          <w:p w14:paraId="22E1CC6B"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p>
        </w:tc>
        <w:tc>
          <w:tcPr>
            <w:tcW w:w="4249" w:type="dxa"/>
            <w:tcBorders>
              <w:top w:val="single" w:sz="6" w:space="0" w:color="auto"/>
              <w:left w:val="nil"/>
              <w:bottom w:val="single" w:sz="6" w:space="0" w:color="auto"/>
              <w:right w:val="single" w:sz="6" w:space="0" w:color="auto"/>
            </w:tcBorders>
            <w:shd w:val="clear" w:color="auto" w:fill="auto"/>
            <w:hideMark/>
          </w:tcPr>
          <w:p w14:paraId="4B6BE276"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Continuum of Care lead agency </w:t>
            </w:r>
          </w:p>
        </w:tc>
        <w:tc>
          <w:tcPr>
            <w:tcW w:w="1050" w:type="dxa"/>
            <w:tcBorders>
              <w:top w:val="single" w:sz="6" w:space="0" w:color="auto"/>
              <w:left w:val="nil"/>
              <w:bottom w:val="single" w:sz="6" w:space="0" w:color="auto"/>
              <w:right w:val="single" w:sz="6" w:space="0" w:color="auto"/>
            </w:tcBorders>
            <w:shd w:val="clear" w:color="auto" w:fill="auto"/>
            <w:hideMark/>
          </w:tcPr>
          <w:p w14:paraId="04DBAE8C"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85.59% </w:t>
            </w:r>
          </w:p>
        </w:tc>
        <w:tc>
          <w:tcPr>
            <w:tcW w:w="2070" w:type="dxa"/>
            <w:vMerge/>
            <w:vAlign w:val="center"/>
            <w:hideMark/>
          </w:tcPr>
          <w:p w14:paraId="7AC3F6FD"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38F7F279" w14:textId="77777777" w:rsidTr="00CA537B">
        <w:trPr>
          <w:trHeight w:val="330"/>
        </w:trPr>
        <w:tc>
          <w:tcPr>
            <w:tcW w:w="0" w:type="auto"/>
            <w:vMerge/>
            <w:vAlign w:val="center"/>
          </w:tcPr>
          <w:p w14:paraId="25DD5140"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auto"/>
          </w:tcPr>
          <w:p w14:paraId="3682C3A4"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State government </w:t>
            </w:r>
          </w:p>
        </w:tc>
        <w:tc>
          <w:tcPr>
            <w:tcW w:w="1050" w:type="dxa"/>
            <w:tcBorders>
              <w:top w:val="nil"/>
              <w:left w:val="nil"/>
              <w:bottom w:val="single" w:sz="6" w:space="0" w:color="auto"/>
              <w:right w:val="single" w:sz="6" w:space="0" w:color="auto"/>
            </w:tcBorders>
            <w:shd w:val="clear" w:color="auto" w:fill="auto"/>
          </w:tcPr>
          <w:p w14:paraId="519837AE"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50.45% </w:t>
            </w:r>
          </w:p>
        </w:tc>
        <w:tc>
          <w:tcPr>
            <w:tcW w:w="2070" w:type="dxa"/>
            <w:vMerge/>
            <w:vAlign w:val="center"/>
          </w:tcPr>
          <w:p w14:paraId="579CE487"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08A1FA42" w14:textId="77777777" w:rsidTr="00CA537B">
        <w:trPr>
          <w:trHeight w:val="330"/>
        </w:trPr>
        <w:tc>
          <w:tcPr>
            <w:tcW w:w="0" w:type="auto"/>
            <w:vMerge/>
            <w:vAlign w:val="center"/>
          </w:tcPr>
          <w:p w14:paraId="1B1DE739"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auto"/>
          </w:tcPr>
          <w:p w14:paraId="653C3252"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Local health department </w:t>
            </w:r>
          </w:p>
        </w:tc>
        <w:tc>
          <w:tcPr>
            <w:tcW w:w="1050" w:type="dxa"/>
            <w:tcBorders>
              <w:top w:val="nil"/>
              <w:left w:val="nil"/>
              <w:bottom w:val="single" w:sz="6" w:space="0" w:color="auto"/>
              <w:right w:val="single" w:sz="6" w:space="0" w:color="auto"/>
            </w:tcBorders>
            <w:shd w:val="clear" w:color="auto" w:fill="auto"/>
          </w:tcPr>
          <w:p w14:paraId="516371F8"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20.72% </w:t>
            </w:r>
          </w:p>
        </w:tc>
        <w:tc>
          <w:tcPr>
            <w:tcW w:w="2070" w:type="dxa"/>
            <w:vMerge/>
            <w:vAlign w:val="center"/>
          </w:tcPr>
          <w:p w14:paraId="6F180C6F"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077E850F" w14:textId="77777777" w:rsidTr="00CA537B">
        <w:trPr>
          <w:trHeight w:val="330"/>
        </w:trPr>
        <w:tc>
          <w:tcPr>
            <w:tcW w:w="0" w:type="auto"/>
            <w:vMerge/>
            <w:vAlign w:val="center"/>
            <w:hideMark/>
          </w:tcPr>
          <w:p w14:paraId="490A7A3C"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auto"/>
          </w:tcPr>
          <w:p w14:paraId="32003BD8"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Other </w:t>
            </w:r>
          </w:p>
        </w:tc>
        <w:tc>
          <w:tcPr>
            <w:tcW w:w="1050" w:type="dxa"/>
            <w:tcBorders>
              <w:top w:val="nil"/>
              <w:left w:val="nil"/>
              <w:bottom w:val="single" w:sz="6" w:space="0" w:color="auto"/>
              <w:right w:val="single" w:sz="6" w:space="0" w:color="auto"/>
            </w:tcBorders>
            <w:shd w:val="clear" w:color="auto" w:fill="auto"/>
          </w:tcPr>
          <w:p w14:paraId="4E04A476"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23.42% </w:t>
            </w:r>
          </w:p>
        </w:tc>
        <w:tc>
          <w:tcPr>
            <w:tcW w:w="2070" w:type="dxa"/>
            <w:vMerge/>
            <w:vAlign w:val="center"/>
            <w:hideMark/>
          </w:tcPr>
          <w:p w14:paraId="2326184A"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5A1F9CCF" w14:textId="77777777" w:rsidTr="00CA537B">
        <w:trPr>
          <w:trHeight w:val="330"/>
        </w:trPr>
        <w:tc>
          <w:tcPr>
            <w:tcW w:w="0" w:type="auto"/>
            <w:vMerge/>
            <w:vAlign w:val="center"/>
            <w:hideMark/>
          </w:tcPr>
          <w:p w14:paraId="1BC35071"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auto"/>
          </w:tcPr>
          <w:p w14:paraId="2EF1B72C"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Medical providers </w:t>
            </w:r>
          </w:p>
        </w:tc>
        <w:tc>
          <w:tcPr>
            <w:tcW w:w="1050" w:type="dxa"/>
            <w:tcBorders>
              <w:top w:val="nil"/>
              <w:left w:val="nil"/>
              <w:bottom w:val="single" w:sz="6" w:space="0" w:color="auto"/>
              <w:right w:val="single" w:sz="6" w:space="0" w:color="auto"/>
            </w:tcBorders>
            <w:shd w:val="clear" w:color="auto" w:fill="auto"/>
          </w:tcPr>
          <w:p w14:paraId="0A0CEEB3"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18.92% </w:t>
            </w:r>
          </w:p>
        </w:tc>
        <w:tc>
          <w:tcPr>
            <w:tcW w:w="2070" w:type="dxa"/>
            <w:vMerge/>
            <w:vAlign w:val="center"/>
            <w:hideMark/>
          </w:tcPr>
          <w:p w14:paraId="2D2E0918"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331F7AAA" w14:textId="77777777" w:rsidTr="00CA537B">
        <w:trPr>
          <w:trHeight w:val="330"/>
        </w:trPr>
        <w:tc>
          <w:tcPr>
            <w:tcW w:w="0" w:type="auto"/>
            <w:vMerge/>
            <w:vAlign w:val="center"/>
            <w:hideMark/>
          </w:tcPr>
          <w:p w14:paraId="09CF88CB"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6" w:space="0" w:color="auto"/>
              <w:right w:val="single" w:sz="6" w:space="0" w:color="auto"/>
            </w:tcBorders>
            <w:shd w:val="clear" w:color="auto" w:fill="auto"/>
            <w:hideMark/>
          </w:tcPr>
          <w:p w14:paraId="79BF942E"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School system </w:t>
            </w:r>
          </w:p>
        </w:tc>
        <w:tc>
          <w:tcPr>
            <w:tcW w:w="1050" w:type="dxa"/>
            <w:tcBorders>
              <w:top w:val="nil"/>
              <w:left w:val="nil"/>
              <w:bottom w:val="single" w:sz="6" w:space="0" w:color="auto"/>
              <w:right w:val="single" w:sz="6" w:space="0" w:color="auto"/>
            </w:tcBorders>
            <w:shd w:val="clear" w:color="auto" w:fill="auto"/>
            <w:hideMark/>
          </w:tcPr>
          <w:p w14:paraId="45A4B101"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9.91% </w:t>
            </w:r>
          </w:p>
        </w:tc>
        <w:tc>
          <w:tcPr>
            <w:tcW w:w="2070" w:type="dxa"/>
            <w:vMerge/>
            <w:vAlign w:val="center"/>
            <w:hideMark/>
          </w:tcPr>
          <w:p w14:paraId="5A275CC9"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7543F273" w14:textId="77777777" w:rsidTr="00CA537B">
        <w:trPr>
          <w:trHeight w:val="345"/>
        </w:trPr>
        <w:tc>
          <w:tcPr>
            <w:tcW w:w="0" w:type="auto"/>
            <w:vMerge/>
            <w:vAlign w:val="center"/>
            <w:hideMark/>
          </w:tcPr>
          <w:p w14:paraId="59B197F5"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nil"/>
              <w:left w:val="single" w:sz="6" w:space="0" w:color="auto"/>
              <w:bottom w:val="single" w:sz="4" w:space="0" w:color="auto"/>
              <w:right w:val="single" w:sz="6" w:space="0" w:color="auto"/>
            </w:tcBorders>
            <w:shd w:val="clear" w:color="auto" w:fill="auto"/>
          </w:tcPr>
          <w:p w14:paraId="0D1F87CB"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My organization currently does not share data </w:t>
            </w:r>
          </w:p>
        </w:tc>
        <w:tc>
          <w:tcPr>
            <w:tcW w:w="1050" w:type="dxa"/>
            <w:tcBorders>
              <w:top w:val="nil"/>
              <w:left w:val="nil"/>
              <w:bottom w:val="single" w:sz="4" w:space="0" w:color="auto"/>
              <w:right w:val="single" w:sz="6" w:space="0" w:color="auto"/>
            </w:tcBorders>
            <w:shd w:val="clear" w:color="auto" w:fill="auto"/>
          </w:tcPr>
          <w:p w14:paraId="0DA93EE8"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1.80% </w:t>
            </w:r>
          </w:p>
        </w:tc>
        <w:tc>
          <w:tcPr>
            <w:tcW w:w="2070" w:type="dxa"/>
            <w:vMerge/>
            <w:vAlign w:val="center"/>
            <w:hideMark/>
          </w:tcPr>
          <w:p w14:paraId="30DEFAB0"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2351C954" w14:textId="77777777" w:rsidTr="00CA537B">
        <w:trPr>
          <w:trHeight w:val="375"/>
        </w:trPr>
        <w:tc>
          <w:tcPr>
            <w:tcW w:w="2891" w:type="dxa"/>
            <w:vMerge w:val="restart"/>
            <w:tcBorders>
              <w:top w:val="single" w:sz="4" w:space="0" w:color="auto"/>
              <w:left w:val="single" w:sz="6" w:space="0" w:color="auto"/>
              <w:bottom w:val="nil"/>
              <w:right w:val="single" w:sz="4" w:space="0" w:color="auto"/>
            </w:tcBorders>
            <w:shd w:val="clear" w:color="auto" w:fill="D9E1F2"/>
            <w:vAlign w:val="center"/>
            <w:hideMark/>
          </w:tcPr>
          <w:p w14:paraId="4AB90EAD"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How does your organization currently share data with the other organization(s)? </w:t>
            </w: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874E814"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Batch file sharing (e.g., CSV, database export, etc.)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7F809F3"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59.62% </w:t>
            </w:r>
          </w:p>
        </w:tc>
        <w:tc>
          <w:tcPr>
            <w:tcW w:w="2070" w:type="dxa"/>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01A2A272"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104 </w:t>
            </w:r>
          </w:p>
          <w:p w14:paraId="573EA9E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1A0A0A59"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p w14:paraId="0E3BB314"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tc>
      </w:tr>
      <w:tr w:rsidR="00C758A2" w:rsidRPr="00D22CC3" w14:paraId="64A6CE71" w14:textId="77777777" w:rsidTr="00CA537B">
        <w:trPr>
          <w:trHeight w:val="330"/>
        </w:trPr>
        <w:tc>
          <w:tcPr>
            <w:tcW w:w="0" w:type="auto"/>
            <w:vMerge/>
            <w:vAlign w:val="center"/>
            <w:hideMark/>
          </w:tcPr>
          <w:p w14:paraId="13A564CC"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B18B250"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Manual data entry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D7D767D"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34.62% </w:t>
            </w:r>
          </w:p>
        </w:tc>
        <w:tc>
          <w:tcPr>
            <w:tcW w:w="2070" w:type="dxa"/>
            <w:vMerge/>
            <w:vAlign w:val="center"/>
            <w:hideMark/>
          </w:tcPr>
          <w:p w14:paraId="21376191"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61002531" w14:textId="77777777" w:rsidTr="00CA537B">
        <w:trPr>
          <w:trHeight w:val="300"/>
        </w:trPr>
        <w:tc>
          <w:tcPr>
            <w:tcW w:w="0" w:type="auto"/>
            <w:vMerge/>
            <w:vAlign w:val="center"/>
          </w:tcPr>
          <w:p w14:paraId="6E4AABED"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1B28BFF"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Other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9B19ADD"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33.65% </w:t>
            </w:r>
          </w:p>
        </w:tc>
        <w:tc>
          <w:tcPr>
            <w:tcW w:w="2070" w:type="dxa"/>
            <w:vMerge/>
            <w:vAlign w:val="center"/>
          </w:tcPr>
          <w:p w14:paraId="2D8EF956"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09E2CA9E" w14:textId="77777777" w:rsidTr="00CA537B">
        <w:trPr>
          <w:trHeight w:val="300"/>
        </w:trPr>
        <w:tc>
          <w:tcPr>
            <w:tcW w:w="0" w:type="auto"/>
            <w:vMerge/>
            <w:vAlign w:val="center"/>
            <w:hideMark/>
          </w:tcPr>
          <w:p w14:paraId="5D9FB78B"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3513B2B"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Direct system-to-system data transfer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E57BB22"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24.04% </w:t>
            </w:r>
          </w:p>
        </w:tc>
        <w:tc>
          <w:tcPr>
            <w:tcW w:w="2070" w:type="dxa"/>
            <w:vMerge/>
            <w:vAlign w:val="center"/>
            <w:hideMark/>
          </w:tcPr>
          <w:p w14:paraId="36B2F160"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06A03A4E" w14:textId="77777777" w:rsidTr="00CA537B">
        <w:trPr>
          <w:trHeight w:val="1095"/>
        </w:trPr>
        <w:tc>
          <w:tcPr>
            <w:tcW w:w="2891"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5C83C199"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7A8A7AE2">
              <w:rPr>
                <w:rFonts w:ascii="Calibri" w:eastAsia="Times New Roman" w:hAnsi="Calibri" w:cs="Calibri"/>
                <w:color w:val="000000" w:themeColor="text1"/>
                <w:sz w:val="20"/>
                <w:szCs w:val="20"/>
              </w:rPr>
              <w:lastRenderedPageBreak/>
              <w:t>My organization has access to health data about its client population </w:t>
            </w:r>
          </w:p>
        </w:tc>
        <w:tc>
          <w:tcPr>
            <w:tcW w:w="4249"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45A6FF3F"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tc>
        <w:tc>
          <w:tcPr>
            <w:tcW w:w="105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329AE69C"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28.83% </w:t>
            </w:r>
          </w:p>
        </w:tc>
        <w:tc>
          <w:tcPr>
            <w:tcW w:w="2070" w:type="dxa"/>
            <w:tcBorders>
              <w:top w:val="single" w:sz="4" w:space="0" w:color="auto"/>
              <w:left w:val="single" w:sz="4" w:space="0" w:color="auto"/>
              <w:bottom w:val="single" w:sz="4" w:space="0" w:color="auto"/>
              <w:right w:val="single" w:sz="4" w:space="0" w:color="auto"/>
            </w:tcBorders>
            <w:shd w:val="clear" w:color="auto" w:fill="FFFFFF" w:themeFill="background1"/>
            <w:hideMark/>
          </w:tcPr>
          <w:p w14:paraId="7B8DB686"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111 </w:t>
            </w:r>
          </w:p>
        </w:tc>
      </w:tr>
      <w:tr w:rsidR="00C758A2" w:rsidRPr="00D22CC3" w14:paraId="7A74B86F" w14:textId="77777777" w:rsidTr="00CA537B">
        <w:trPr>
          <w:trHeight w:val="330"/>
        </w:trPr>
        <w:tc>
          <w:tcPr>
            <w:tcW w:w="2891" w:type="dxa"/>
            <w:vMerge w:val="restart"/>
            <w:tcBorders>
              <w:top w:val="single" w:sz="4" w:space="0" w:color="auto"/>
              <w:left w:val="single" w:sz="4" w:space="0" w:color="auto"/>
              <w:bottom w:val="single" w:sz="4" w:space="0" w:color="auto"/>
              <w:right w:val="single" w:sz="4" w:space="0" w:color="auto"/>
            </w:tcBorders>
            <w:shd w:val="clear" w:color="auto" w:fill="D9E2F3" w:themeFill="accent1" w:themeFillTint="33"/>
            <w:vAlign w:val="center"/>
            <w:hideMark/>
          </w:tcPr>
          <w:p w14:paraId="4BE96D1F"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Which of the following platforms or systems does your organization use? </w:t>
            </w: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50C0D3C"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HMIS specific systems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4A64A1DE"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96.36% </w:t>
            </w:r>
          </w:p>
        </w:tc>
        <w:tc>
          <w:tcPr>
            <w:tcW w:w="2070" w:type="dxa"/>
            <w:vMerge w:val="restart"/>
            <w:tcBorders>
              <w:top w:val="single" w:sz="4" w:space="0" w:color="auto"/>
              <w:left w:val="single" w:sz="4" w:space="0" w:color="auto"/>
              <w:right w:val="single" w:sz="6" w:space="0" w:color="auto"/>
            </w:tcBorders>
            <w:shd w:val="clear" w:color="auto" w:fill="D9E2F3" w:themeFill="accent1" w:themeFillTint="33"/>
            <w:vAlign w:val="center"/>
            <w:hideMark/>
          </w:tcPr>
          <w:p w14:paraId="11A2B125"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110 </w:t>
            </w:r>
          </w:p>
          <w:p w14:paraId="297296B5"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2C0C756C"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p w14:paraId="750177A3"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5457AC63"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427D3BB0"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 </w:t>
            </w:r>
          </w:p>
          <w:p w14:paraId="5967B417"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tc>
      </w:tr>
      <w:tr w:rsidR="00C758A2" w:rsidRPr="00D22CC3" w14:paraId="6AFDD4C3" w14:textId="77777777" w:rsidTr="00CA537B">
        <w:trPr>
          <w:trHeight w:val="330"/>
        </w:trPr>
        <w:tc>
          <w:tcPr>
            <w:tcW w:w="0" w:type="auto"/>
            <w:vMerge/>
            <w:vAlign w:val="center"/>
            <w:hideMark/>
          </w:tcPr>
          <w:p w14:paraId="6AD4719C"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73174E1A"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Internal systems (e.g., Excel, databases, etc.)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01C32F4"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75.46% </w:t>
            </w:r>
          </w:p>
        </w:tc>
        <w:tc>
          <w:tcPr>
            <w:tcW w:w="2070" w:type="dxa"/>
            <w:vMerge/>
            <w:vAlign w:val="center"/>
            <w:hideMark/>
          </w:tcPr>
          <w:p w14:paraId="34DBB00E"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56F00160" w14:textId="77777777" w:rsidTr="00CA537B">
        <w:trPr>
          <w:trHeight w:val="330"/>
        </w:trPr>
        <w:tc>
          <w:tcPr>
            <w:tcW w:w="0" w:type="auto"/>
            <w:vMerge/>
            <w:vAlign w:val="center"/>
          </w:tcPr>
          <w:p w14:paraId="26D82837"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4D8B84B2"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Federal reporting systems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7C6E7BC6"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51.82% </w:t>
            </w:r>
          </w:p>
        </w:tc>
        <w:tc>
          <w:tcPr>
            <w:tcW w:w="2070" w:type="dxa"/>
            <w:vMerge/>
            <w:vAlign w:val="center"/>
          </w:tcPr>
          <w:p w14:paraId="358F5656"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54BEC796" w14:textId="77777777" w:rsidTr="00CA537B">
        <w:trPr>
          <w:trHeight w:val="330"/>
        </w:trPr>
        <w:tc>
          <w:tcPr>
            <w:tcW w:w="0" w:type="auto"/>
            <w:vMerge/>
            <w:vAlign w:val="center"/>
            <w:hideMark/>
          </w:tcPr>
          <w:p w14:paraId="50719B70"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164F02E"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State data warehouses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085EDC0C"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29.09% </w:t>
            </w:r>
          </w:p>
        </w:tc>
        <w:tc>
          <w:tcPr>
            <w:tcW w:w="2070" w:type="dxa"/>
            <w:vMerge/>
            <w:vAlign w:val="center"/>
            <w:hideMark/>
          </w:tcPr>
          <w:p w14:paraId="3A2C68D7"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44B769F7" w14:textId="77777777" w:rsidTr="00CA537B">
        <w:trPr>
          <w:trHeight w:val="345"/>
        </w:trPr>
        <w:tc>
          <w:tcPr>
            <w:tcW w:w="0" w:type="auto"/>
            <w:vMerge/>
            <w:vAlign w:val="center"/>
            <w:hideMark/>
          </w:tcPr>
          <w:p w14:paraId="35FBAA46"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12BFFEAC"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Local or state public health platforms or systems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6A99CBA6"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12.73% </w:t>
            </w:r>
          </w:p>
        </w:tc>
        <w:tc>
          <w:tcPr>
            <w:tcW w:w="2070" w:type="dxa"/>
            <w:vMerge/>
            <w:vAlign w:val="center"/>
            <w:hideMark/>
          </w:tcPr>
          <w:p w14:paraId="29267DDE"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29573697" w14:textId="77777777" w:rsidTr="00CA537B">
        <w:trPr>
          <w:trHeight w:val="375"/>
        </w:trPr>
        <w:tc>
          <w:tcPr>
            <w:tcW w:w="0" w:type="auto"/>
            <w:vMerge/>
            <w:vAlign w:val="center"/>
          </w:tcPr>
          <w:p w14:paraId="4B690B09"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17D93E1A"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Other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tcPr>
          <w:p w14:paraId="04301928"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12.73% </w:t>
            </w:r>
          </w:p>
        </w:tc>
        <w:tc>
          <w:tcPr>
            <w:tcW w:w="2070" w:type="dxa"/>
            <w:vMerge/>
            <w:vAlign w:val="center"/>
          </w:tcPr>
          <w:p w14:paraId="4441BF5D"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p>
        </w:tc>
      </w:tr>
      <w:tr w:rsidR="00C758A2" w:rsidRPr="00D22CC3" w14:paraId="39B687B0" w14:textId="77777777" w:rsidTr="00CA537B">
        <w:trPr>
          <w:trHeight w:val="375"/>
        </w:trPr>
        <w:tc>
          <w:tcPr>
            <w:tcW w:w="0" w:type="auto"/>
            <w:vMerge/>
            <w:vAlign w:val="center"/>
            <w:hideMark/>
          </w:tcPr>
          <w:p w14:paraId="11D6169A"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5D2DB9F5"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Health provider platforms or systems </w:t>
            </w:r>
          </w:p>
        </w:tc>
        <w:tc>
          <w:tcPr>
            <w:tcW w:w="1050" w:type="dxa"/>
            <w:tcBorders>
              <w:top w:val="single" w:sz="4" w:space="0" w:color="auto"/>
              <w:left w:val="single" w:sz="4" w:space="0" w:color="auto"/>
              <w:bottom w:val="single" w:sz="4" w:space="0" w:color="auto"/>
              <w:right w:val="single" w:sz="4" w:space="0" w:color="auto"/>
            </w:tcBorders>
            <w:shd w:val="clear" w:color="auto" w:fill="D9E2F3" w:themeFill="accent1" w:themeFillTint="33"/>
            <w:hideMark/>
          </w:tcPr>
          <w:p w14:paraId="3E43C5B2"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8.18% </w:t>
            </w:r>
          </w:p>
        </w:tc>
        <w:tc>
          <w:tcPr>
            <w:tcW w:w="2070" w:type="dxa"/>
            <w:vMerge/>
            <w:vAlign w:val="center"/>
            <w:hideMark/>
          </w:tcPr>
          <w:p w14:paraId="49040166" w14:textId="77777777" w:rsidR="00C758A2" w:rsidRPr="00D22CC3" w:rsidRDefault="00C758A2" w:rsidP="00CA537B">
            <w:pPr>
              <w:spacing w:after="0" w:line="240" w:lineRule="auto"/>
              <w:textAlignment w:val="baseline"/>
              <w:rPr>
                <w:rFonts w:ascii="Segoe UI" w:eastAsia="Times New Roman" w:hAnsi="Segoe UI" w:cs="Segoe UI"/>
                <w:sz w:val="18"/>
                <w:szCs w:val="18"/>
              </w:rPr>
            </w:pPr>
          </w:p>
        </w:tc>
      </w:tr>
      <w:tr w:rsidR="00C758A2" w:rsidRPr="00D22CC3" w14:paraId="4D6DB647" w14:textId="77777777" w:rsidTr="00CA537B">
        <w:trPr>
          <w:trHeight w:val="330"/>
        </w:trPr>
        <w:tc>
          <w:tcPr>
            <w:tcW w:w="2891" w:type="dxa"/>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2A80386A"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7A8A7AE2">
              <w:rPr>
                <w:rFonts w:ascii="Calibri" w:eastAsia="Times New Roman" w:hAnsi="Calibri" w:cs="Calibri"/>
                <w:color w:val="000000" w:themeColor="text1"/>
                <w:sz w:val="20"/>
                <w:szCs w:val="20"/>
              </w:rPr>
              <w:t>Which of the following are the top 5 most important for your organization to know about its clients? </w:t>
            </w:r>
          </w:p>
        </w:tc>
        <w:tc>
          <w:tcPr>
            <w:tcW w:w="4249" w:type="dxa"/>
            <w:tcBorders>
              <w:top w:val="single" w:sz="4" w:space="0" w:color="auto"/>
              <w:left w:val="single" w:sz="4" w:space="0" w:color="auto"/>
              <w:bottom w:val="single" w:sz="4" w:space="0" w:color="auto"/>
              <w:right w:val="single" w:sz="4" w:space="0" w:color="auto"/>
            </w:tcBorders>
            <w:shd w:val="clear" w:color="auto" w:fill="auto"/>
            <w:hideMark/>
          </w:tcPr>
          <w:p w14:paraId="14010D4E"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7A8A7AE2">
              <w:rPr>
                <w:rFonts w:ascii="Calibri" w:eastAsia="Times New Roman" w:hAnsi="Calibri" w:cs="Calibri"/>
                <w:color w:val="000000" w:themeColor="text1"/>
                <w:sz w:val="20"/>
                <w:szCs w:val="20"/>
              </w:rPr>
              <w:t>Duration of client's homelessness </w:t>
            </w:r>
          </w:p>
        </w:tc>
        <w:tc>
          <w:tcPr>
            <w:tcW w:w="1050" w:type="dxa"/>
            <w:tcBorders>
              <w:top w:val="single" w:sz="4" w:space="0" w:color="auto"/>
              <w:left w:val="single" w:sz="4" w:space="0" w:color="auto"/>
              <w:bottom w:val="single" w:sz="4" w:space="0" w:color="auto"/>
              <w:right w:val="single" w:sz="4" w:space="0" w:color="auto"/>
            </w:tcBorders>
            <w:shd w:val="clear" w:color="auto" w:fill="auto"/>
            <w:hideMark/>
          </w:tcPr>
          <w:p w14:paraId="0768382A"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95.41% </w:t>
            </w:r>
          </w:p>
        </w:tc>
        <w:tc>
          <w:tcPr>
            <w:tcW w:w="2070" w:type="dxa"/>
            <w:vMerge w:val="restart"/>
            <w:tcBorders>
              <w:top w:val="single" w:sz="6" w:space="0" w:color="auto"/>
              <w:left w:val="single" w:sz="4" w:space="0" w:color="auto"/>
              <w:right w:val="single" w:sz="6" w:space="0" w:color="auto"/>
            </w:tcBorders>
            <w:shd w:val="clear" w:color="auto" w:fill="auto"/>
            <w:vAlign w:val="center"/>
            <w:hideMark/>
          </w:tcPr>
          <w:p w14:paraId="443F5A08"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7A8A7AE2">
              <w:rPr>
                <w:rFonts w:ascii="Calibri" w:eastAsia="Times New Roman" w:hAnsi="Calibri" w:cs="Calibri"/>
                <w:color w:val="000000" w:themeColor="text1"/>
                <w:sz w:val="20"/>
                <w:szCs w:val="20"/>
              </w:rPr>
              <w:t>109 </w:t>
            </w:r>
          </w:p>
        </w:tc>
      </w:tr>
      <w:tr w:rsidR="00C758A2" w:rsidRPr="00D22CC3" w14:paraId="53B84766" w14:textId="77777777" w:rsidTr="00CA537B">
        <w:trPr>
          <w:trHeight w:val="330"/>
        </w:trPr>
        <w:tc>
          <w:tcPr>
            <w:tcW w:w="0" w:type="auto"/>
            <w:vMerge/>
            <w:vAlign w:val="center"/>
            <w:hideMark/>
          </w:tcPr>
          <w:p w14:paraId="04F6A5AD"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hideMark/>
          </w:tcPr>
          <w:p w14:paraId="053E9633"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Disability status </w:t>
            </w:r>
          </w:p>
        </w:tc>
        <w:tc>
          <w:tcPr>
            <w:tcW w:w="1050" w:type="dxa"/>
            <w:tcBorders>
              <w:top w:val="single" w:sz="4" w:space="0" w:color="auto"/>
              <w:left w:val="single" w:sz="4" w:space="0" w:color="auto"/>
              <w:bottom w:val="single" w:sz="4" w:space="0" w:color="auto"/>
              <w:right w:val="single" w:sz="4" w:space="0" w:color="auto"/>
            </w:tcBorders>
            <w:shd w:val="clear" w:color="auto" w:fill="auto"/>
            <w:hideMark/>
          </w:tcPr>
          <w:p w14:paraId="4D14C66B"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80.73% </w:t>
            </w:r>
          </w:p>
        </w:tc>
        <w:tc>
          <w:tcPr>
            <w:tcW w:w="0" w:type="auto"/>
            <w:vMerge/>
            <w:vAlign w:val="center"/>
            <w:hideMark/>
          </w:tcPr>
          <w:p w14:paraId="310CD0F0"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47738A7B" w14:textId="77777777" w:rsidTr="00CA537B">
        <w:trPr>
          <w:trHeight w:val="330"/>
        </w:trPr>
        <w:tc>
          <w:tcPr>
            <w:tcW w:w="0" w:type="auto"/>
            <w:vMerge/>
            <w:vAlign w:val="center"/>
          </w:tcPr>
          <w:p w14:paraId="5F980771"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tcPr>
          <w:p w14:paraId="66626FC3"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Veteran status </w:t>
            </w:r>
          </w:p>
        </w:tc>
        <w:tc>
          <w:tcPr>
            <w:tcW w:w="1050" w:type="dxa"/>
            <w:tcBorders>
              <w:top w:val="single" w:sz="4" w:space="0" w:color="auto"/>
              <w:left w:val="single" w:sz="4" w:space="0" w:color="auto"/>
              <w:bottom w:val="single" w:sz="4" w:space="0" w:color="auto"/>
              <w:right w:val="single" w:sz="4" w:space="0" w:color="auto"/>
            </w:tcBorders>
            <w:shd w:val="clear" w:color="auto" w:fill="auto"/>
          </w:tcPr>
          <w:p w14:paraId="69667363"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68.81% </w:t>
            </w:r>
          </w:p>
        </w:tc>
        <w:tc>
          <w:tcPr>
            <w:tcW w:w="0" w:type="auto"/>
            <w:vMerge/>
            <w:vAlign w:val="center"/>
          </w:tcPr>
          <w:p w14:paraId="1A659E38"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75EEB37A" w14:textId="77777777" w:rsidTr="00CA537B">
        <w:trPr>
          <w:trHeight w:val="330"/>
        </w:trPr>
        <w:tc>
          <w:tcPr>
            <w:tcW w:w="0" w:type="auto"/>
            <w:vMerge/>
            <w:vAlign w:val="center"/>
          </w:tcPr>
          <w:p w14:paraId="36947D1B"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tcPr>
          <w:p w14:paraId="79904847"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Age or youth status </w:t>
            </w:r>
          </w:p>
        </w:tc>
        <w:tc>
          <w:tcPr>
            <w:tcW w:w="1050" w:type="dxa"/>
            <w:tcBorders>
              <w:top w:val="single" w:sz="4" w:space="0" w:color="auto"/>
              <w:left w:val="single" w:sz="4" w:space="0" w:color="auto"/>
              <w:bottom w:val="single" w:sz="4" w:space="0" w:color="auto"/>
              <w:right w:val="single" w:sz="4" w:space="0" w:color="auto"/>
            </w:tcBorders>
            <w:shd w:val="clear" w:color="auto" w:fill="auto"/>
          </w:tcPr>
          <w:p w14:paraId="2F31B2F8"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66.06% </w:t>
            </w:r>
          </w:p>
        </w:tc>
        <w:tc>
          <w:tcPr>
            <w:tcW w:w="0" w:type="auto"/>
            <w:vMerge/>
            <w:vAlign w:val="center"/>
          </w:tcPr>
          <w:p w14:paraId="20ABB295"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7D6CCE1A" w14:textId="77777777" w:rsidTr="00CA537B">
        <w:trPr>
          <w:trHeight w:val="330"/>
        </w:trPr>
        <w:tc>
          <w:tcPr>
            <w:tcW w:w="0" w:type="auto"/>
            <w:vMerge/>
            <w:vAlign w:val="center"/>
          </w:tcPr>
          <w:p w14:paraId="616835BF"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tcPr>
          <w:p w14:paraId="75E2C5E9"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Race/ethnicity or preferred language </w:t>
            </w:r>
          </w:p>
        </w:tc>
        <w:tc>
          <w:tcPr>
            <w:tcW w:w="1050" w:type="dxa"/>
            <w:tcBorders>
              <w:top w:val="single" w:sz="4" w:space="0" w:color="auto"/>
              <w:left w:val="single" w:sz="4" w:space="0" w:color="auto"/>
              <w:bottom w:val="single" w:sz="4" w:space="0" w:color="auto"/>
              <w:right w:val="single" w:sz="4" w:space="0" w:color="auto"/>
            </w:tcBorders>
            <w:shd w:val="clear" w:color="auto" w:fill="auto"/>
          </w:tcPr>
          <w:p w14:paraId="17CF8092"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60.55% </w:t>
            </w:r>
          </w:p>
        </w:tc>
        <w:tc>
          <w:tcPr>
            <w:tcW w:w="0" w:type="auto"/>
            <w:vMerge/>
            <w:vAlign w:val="center"/>
          </w:tcPr>
          <w:p w14:paraId="0E841D82"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74FEABF2" w14:textId="77777777" w:rsidTr="00CA537B">
        <w:trPr>
          <w:trHeight w:val="330"/>
        </w:trPr>
        <w:tc>
          <w:tcPr>
            <w:tcW w:w="0" w:type="auto"/>
            <w:vMerge/>
            <w:vAlign w:val="center"/>
          </w:tcPr>
          <w:p w14:paraId="522BBF65"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tcPr>
          <w:p w14:paraId="735A5A95" w14:textId="77777777" w:rsidR="00C758A2" w:rsidRPr="00D22CC3" w:rsidRDefault="00C758A2" w:rsidP="00CA537B">
            <w:pPr>
              <w:spacing w:after="0" w:line="240" w:lineRule="auto"/>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Chronic health conditions </w:t>
            </w:r>
          </w:p>
        </w:tc>
        <w:tc>
          <w:tcPr>
            <w:tcW w:w="1050" w:type="dxa"/>
            <w:tcBorders>
              <w:top w:val="single" w:sz="4" w:space="0" w:color="auto"/>
              <w:left w:val="single" w:sz="4" w:space="0" w:color="auto"/>
              <w:bottom w:val="single" w:sz="4" w:space="0" w:color="auto"/>
              <w:right w:val="single" w:sz="4" w:space="0" w:color="auto"/>
            </w:tcBorders>
            <w:shd w:val="clear" w:color="auto" w:fill="auto"/>
          </w:tcPr>
          <w:p w14:paraId="6C51FE9C" w14:textId="77777777" w:rsidR="00C758A2" w:rsidRPr="00D22CC3" w:rsidRDefault="00C758A2" w:rsidP="00CA537B">
            <w:pPr>
              <w:spacing w:after="0" w:line="240" w:lineRule="auto"/>
              <w:jc w:val="right"/>
              <w:textAlignment w:val="baseline"/>
              <w:rPr>
                <w:rFonts w:ascii="Calibri" w:eastAsia="Times New Roman" w:hAnsi="Calibri" w:cs="Calibri"/>
                <w:color w:val="000000"/>
                <w:sz w:val="20"/>
                <w:szCs w:val="20"/>
              </w:rPr>
            </w:pPr>
            <w:r w:rsidRPr="00D22CC3">
              <w:rPr>
                <w:rFonts w:ascii="Calibri" w:eastAsia="Times New Roman" w:hAnsi="Calibri" w:cs="Calibri"/>
                <w:color w:val="000000"/>
                <w:sz w:val="20"/>
                <w:szCs w:val="20"/>
              </w:rPr>
              <w:t>58.72% </w:t>
            </w:r>
          </w:p>
        </w:tc>
        <w:tc>
          <w:tcPr>
            <w:tcW w:w="0" w:type="auto"/>
            <w:vMerge/>
            <w:vAlign w:val="center"/>
          </w:tcPr>
          <w:p w14:paraId="20A1A9E0"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6FCF3D9C" w14:textId="77777777" w:rsidTr="00CA537B">
        <w:trPr>
          <w:trHeight w:val="330"/>
        </w:trPr>
        <w:tc>
          <w:tcPr>
            <w:tcW w:w="0" w:type="auto"/>
            <w:vMerge/>
            <w:vAlign w:val="center"/>
            <w:hideMark/>
          </w:tcPr>
          <w:p w14:paraId="69175E3E"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hideMark/>
          </w:tcPr>
          <w:p w14:paraId="40877020"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Substance use or abuse history </w:t>
            </w:r>
          </w:p>
        </w:tc>
        <w:tc>
          <w:tcPr>
            <w:tcW w:w="1050" w:type="dxa"/>
            <w:tcBorders>
              <w:top w:val="single" w:sz="4" w:space="0" w:color="auto"/>
              <w:left w:val="single" w:sz="4" w:space="0" w:color="auto"/>
              <w:bottom w:val="single" w:sz="4" w:space="0" w:color="auto"/>
              <w:right w:val="single" w:sz="4" w:space="0" w:color="auto"/>
            </w:tcBorders>
            <w:shd w:val="clear" w:color="auto" w:fill="auto"/>
            <w:hideMark/>
          </w:tcPr>
          <w:p w14:paraId="26E56247"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39.45% </w:t>
            </w:r>
          </w:p>
        </w:tc>
        <w:tc>
          <w:tcPr>
            <w:tcW w:w="0" w:type="auto"/>
            <w:vMerge/>
            <w:vAlign w:val="center"/>
            <w:hideMark/>
          </w:tcPr>
          <w:p w14:paraId="48F811CA"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2FAB2543" w14:textId="77777777" w:rsidTr="00CA537B">
        <w:trPr>
          <w:trHeight w:val="345"/>
        </w:trPr>
        <w:tc>
          <w:tcPr>
            <w:tcW w:w="0" w:type="auto"/>
            <w:vMerge/>
            <w:vAlign w:val="center"/>
            <w:hideMark/>
          </w:tcPr>
          <w:p w14:paraId="7C7B7198"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hideMark/>
          </w:tcPr>
          <w:p w14:paraId="26C1D206"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Sexual orientation and gender identity </w:t>
            </w:r>
          </w:p>
        </w:tc>
        <w:tc>
          <w:tcPr>
            <w:tcW w:w="1050" w:type="dxa"/>
            <w:tcBorders>
              <w:top w:val="single" w:sz="4" w:space="0" w:color="auto"/>
              <w:left w:val="single" w:sz="4" w:space="0" w:color="auto"/>
              <w:bottom w:val="single" w:sz="4" w:space="0" w:color="auto"/>
              <w:right w:val="single" w:sz="4" w:space="0" w:color="auto"/>
            </w:tcBorders>
            <w:shd w:val="clear" w:color="auto" w:fill="auto"/>
            <w:hideMark/>
          </w:tcPr>
          <w:p w14:paraId="74A3091E"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16.51% </w:t>
            </w:r>
          </w:p>
        </w:tc>
        <w:tc>
          <w:tcPr>
            <w:tcW w:w="0" w:type="auto"/>
            <w:tcBorders>
              <w:left w:val="single" w:sz="4" w:space="0" w:color="auto"/>
            </w:tcBorders>
            <w:vAlign w:val="center"/>
            <w:hideMark/>
          </w:tcPr>
          <w:p w14:paraId="2DA1B50B"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16F7F58E" w14:textId="77777777" w:rsidTr="00CA537B">
        <w:trPr>
          <w:trHeight w:val="150"/>
        </w:trPr>
        <w:tc>
          <w:tcPr>
            <w:tcW w:w="0" w:type="auto"/>
            <w:vMerge/>
            <w:vAlign w:val="center"/>
            <w:hideMark/>
          </w:tcPr>
          <w:p w14:paraId="53C15301" w14:textId="77777777" w:rsidR="00C758A2" w:rsidRPr="00D22CC3" w:rsidRDefault="00C758A2" w:rsidP="00CA537B">
            <w:pPr>
              <w:spacing w:after="0" w:line="240" w:lineRule="auto"/>
              <w:rPr>
                <w:rFonts w:ascii="Segoe UI" w:eastAsia="Times New Roman" w:hAnsi="Segoe UI" w:cs="Segoe UI"/>
                <w:sz w:val="18"/>
                <w:szCs w:val="18"/>
              </w:rPr>
            </w:pPr>
          </w:p>
        </w:tc>
        <w:tc>
          <w:tcPr>
            <w:tcW w:w="4249" w:type="dxa"/>
            <w:tcBorders>
              <w:top w:val="single" w:sz="4" w:space="0" w:color="auto"/>
              <w:left w:val="single" w:sz="4" w:space="0" w:color="auto"/>
              <w:bottom w:val="single" w:sz="4" w:space="0" w:color="auto"/>
              <w:right w:val="single" w:sz="4" w:space="0" w:color="auto"/>
            </w:tcBorders>
            <w:shd w:val="clear" w:color="auto" w:fill="auto"/>
            <w:hideMark/>
          </w:tcPr>
          <w:p w14:paraId="3A9A3B22"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Other </w:t>
            </w:r>
          </w:p>
        </w:tc>
        <w:tc>
          <w:tcPr>
            <w:tcW w:w="1050" w:type="dxa"/>
            <w:tcBorders>
              <w:top w:val="single" w:sz="4" w:space="0" w:color="auto"/>
              <w:left w:val="single" w:sz="4" w:space="0" w:color="auto"/>
              <w:bottom w:val="single" w:sz="4" w:space="0" w:color="auto"/>
              <w:right w:val="single" w:sz="4" w:space="0" w:color="auto"/>
            </w:tcBorders>
            <w:shd w:val="clear" w:color="auto" w:fill="auto"/>
            <w:hideMark/>
          </w:tcPr>
          <w:p w14:paraId="49DB6529"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13.76% </w:t>
            </w:r>
          </w:p>
        </w:tc>
        <w:tc>
          <w:tcPr>
            <w:tcW w:w="0" w:type="auto"/>
            <w:tcBorders>
              <w:left w:val="single" w:sz="4" w:space="0" w:color="auto"/>
            </w:tcBorders>
            <w:vAlign w:val="center"/>
            <w:hideMark/>
          </w:tcPr>
          <w:p w14:paraId="00C4BF9F" w14:textId="77777777" w:rsidR="00C758A2" w:rsidRPr="00D22CC3" w:rsidRDefault="00C758A2" w:rsidP="00CA537B">
            <w:pPr>
              <w:spacing w:after="0" w:line="240" w:lineRule="auto"/>
              <w:rPr>
                <w:rFonts w:ascii="Segoe UI" w:eastAsia="Times New Roman" w:hAnsi="Segoe UI" w:cs="Segoe UI"/>
                <w:sz w:val="18"/>
                <w:szCs w:val="18"/>
              </w:rPr>
            </w:pPr>
          </w:p>
        </w:tc>
      </w:tr>
      <w:tr w:rsidR="00C758A2" w:rsidRPr="00D22CC3" w14:paraId="1ACAF488" w14:textId="77777777" w:rsidTr="00CA537B">
        <w:trPr>
          <w:trHeight w:val="1686"/>
        </w:trPr>
        <w:tc>
          <w:tcPr>
            <w:tcW w:w="2891" w:type="dxa"/>
            <w:tcBorders>
              <w:top w:val="single" w:sz="4" w:space="0" w:color="auto"/>
              <w:left w:val="single" w:sz="6" w:space="0" w:color="auto"/>
              <w:bottom w:val="single" w:sz="6" w:space="0" w:color="auto"/>
              <w:right w:val="nil"/>
            </w:tcBorders>
            <w:shd w:val="clear" w:color="auto" w:fill="D9E1F2"/>
            <w:hideMark/>
          </w:tcPr>
          <w:p w14:paraId="4194044E"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7A8A7AE2">
              <w:rPr>
                <w:rFonts w:ascii="Calibri" w:eastAsia="Times New Roman" w:hAnsi="Calibri" w:cs="Calibri"/>
                <w:color w:val="000000" w:themeColor="text1"/>
                <w:sz w:val="20"/>
                <w:szCs w:val="20"/>
              </w:rPr>
              <w:t xml:space="preserve">Please use this space to share or expand upon anything that you feel would be helpful for us to know </w:t>
            </w:r>
            <w:proofErr w:type="gramStart"/>
            <w:r w:rsidRPr="7A8A7AE2">
              <w:rPr>
                <w:rFonts w:ascii="Calibri" w:eastAsia="Times New Roman" w:hAnsi="Calibri" w:cs="Calibri"/>
                <w:color w:val="000000" w:themeColor="text1"/>
                <w:sz w:val="20"/>
                <w:szCs w:val="20"/>
              </w:rPr>
              <w:t>in order to</w:t>
            </w:r>
            <w:proofErr w:type="gramEnd"/>
            <w:r w:rsidRPr="7A8A7AE2">
              <w:rPr>
                <w:rFonts w:ascii="Calibri" w:eastAsia="Times New Roman" w:hAnsi="Calibri" w:cs="Calibri"/>
                <w:color w:val="000000" w:themeColor="text1"/>
                <w:sz w:val="20"/>
                <w:szCs w:val="20"/>
              </w:rPr>
              <w:t xml:space="preserve"> understand your organization's situation or context and your data management practices or challenges </w:t>
            </w:r>
          </w:p>
        </w:tc>
        <w:tc>
          <w:tcPr>
            <w:tcW w:w="4249" w:type="dxa"/>
            <w:tcBorders>
              <w:top w:val="single" w:sz="4" w:space="0" w:color="auto"/>
              <w:left w:val="single" w:sz="6" w:space="0" w:color="auto"/>
              <w:bottom w:val="single" w:sz="6" w:space="0" w:color="auto"/>
              <w:right w:val="single" w:sz="6" w:space="0" w:color="auto"/>
            </w:tcBorders>
            <w:shd w:val="clear" w:color="auto" w:fill="D9E2F3" w:themeFill="accent1" w:themeFillTint="33"/>
            <w:hideMark/>
          </w:tcPr>
          <w:p w14:paraId="667600C2"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tc>
        <w:tc>
          <w:tcPr>
            <w:tcW w:w="1050" w:type="dxa"/>
            <w:tcBorders>
              <w:top w:val="single" w:sz="4" w:space="0" w:color="auto"/>
              <w:left w:val="nil"/>
              <w:bottom w:val="single" w:sz="6" w:space="0" w:color="auto"/>
              <w:right w:val="single" w:sz="6" w:space="0" w:color="auto"/>
            </w:tcBorders>
            <w:shd w:val="clear" w:color="auto" w:fill="D9E2F3" w:themeFill="accent1" w:themeFillTint="33"/>
            <w:hideMark/>
          </w:tcPr>
          <w:p w14:paraId="58080185"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26.61%</w:t>
            </w:r>
          </w:p>
        </w:tc>
        <w:tc>
          <w:tcPr>
            <w:tcW w:w="2070" w:type="dxa"/>
            <w:tcBorders>
              <w:top w:val="single" w:sz="6" w:space="0" w:color="auto"/>
              <w:left w:val="nil"/>
              <w:bottom w:val="single" w:sz="6" w:space="0" w:color="auto"/>
              <w:right w:val="single" w:sz="6" w:space="0" w:color="auto"/>
            </w:tcBorders>
            <w:shd w:val="clear" w:color="auto" w:fill="D9E2F3" w:themeFill="accent1" w:themeFillTint="33"/>
            <w:hideMark/>
          </w:tcPr>
          <w:p w14:paraId="462F2C80"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109</w:t>
            </w:r>
          </w:p>
        </w:tc>
      </w:tr>
      <w:tr w:rsidR="00C758A2" w:rsidRPr="00D22CC3" w14:paraId="66DE648E" w14:textId="77777777" w:rsidTr="00CA537B">
        <w:trPr>
          <w:trHeight w:val="1335"/>
        </w:trPr>
        <w:tc>
          <w:tcPr>
            <w:tcW w:w="2891" w:type="dxa"/>
            <w:tcBorders>
              <w:top w:val="nil"/>
              <w:left w:val="single" w:sz="6" w:space="0" w:color="auto"/>
              <w:bottom w:val="single" w:sz="6" w:space="0" w:color="auto"/>
              <w:right w:val="nil"/>
            </w:tcBorders>
            <w:shd w:val="clear" w:color="auto" w:fill="auto"/>
            <w:hideMark/>
          </w:tcPr>
          <w:p w14:paraId="7713CA90"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What change(s) would be most helpful to improve data practices for organizations like yours that serve people experiencing homelessness? </w:t>
            </w:r>
          </w:p>
        </w:tc>
        <w:tc>
          <w:tcPr>
            <w:tcW w:w="4249" w:type="dxa"/>
            <w:tcBorders>
              <w:top w:val="nil"/>
              <w:left w:val="single" w:sz="6" w:space="0" w:color="auto"/>
              <w:bottom w:val="single" w:sz="6" w:space="0" w:color="auto"/>
              <w:right w:val="single" w:sz="6" w:space="0" w:color="auto"/>
            </w:tcBorders>
            <w:shd w:val="clear" w:color="auto" w:fill="auto"/>
            <w:hideMark/>
          </w:tcPr>
          <w:p w14:paraId="4D4EE941"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p w14:paraId="67572EAA" w14:textId="77777777" w:rsidR="00C758A2" w:rsidRPr="00D22CC3" w:rsidRDefault="00C758A2" w:rsidP="00CA537B">
            <w:pPr>
              <w:spacing w:after="0" w:line="240" w:lineRule="auto"/>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 </w:t>
            </w:r>
          </w:p>
        </w:tc>
        <w:tc>
          <w:tcPr>
            <w:tcW w:w="1050" w:type="dxa"/>
            <w:tcBorders>
              <w:top w:val="nil"/>
              <w:left w:val="nil"/>
              <w:bottom w:val="single" w:sz="6" w:space="0" w:color="auto"/>
              <w:right w:val="single" w:sz="6" w:space="0" w:color="auto"/>
            </w:tcBorders>
            <w:shd w:val="clear" w:color="auto" w:fill="auto"/>
            <w:hideMark/>
          </w:tcPr>
          <w:p w14:paraId="16A6179C" w14:textId="77777777" w:rsidR="00C758A2" w:rsidRPr="00D22CC3" w:rsidRDefault="00C758A2" w:rsidP="00CA537B">
            <w:pPr>
              <w:spacing w:after="0" w:line="240" w:lineRule="auto"/>
              <w:jc w:val="right"/>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55.05% </w:t>
            </w:r>
          </w:p>
        </w:tc>
        <w:tc>
          <w:tcPr>
            <w:tcW w:w="2070" w:type="dxa"/>
            <w:tcBorders>
              <w:top w:val="nil"/>
              <w:left w:val="nil"/>
              <w:bottom w:val="single" w:sz="6" w:space="0" w:color="auto"/>
              <w:right w:val="single" w:sz="6" w:space="0" w:color="auto"/>
            </w:tcBorders>
            <w:shd w:val="clear" w:color="auto" w:fill="auto"/>
            <w:hideMark/>
          </w:tcPr>
          <w:p w14:paraId="7CE48C11" w14:textId="77777777" w:rsidR="00C758A2" w:rsidRPr="00D22CC3" w:rsidRDefault="00C758A2" w:rsidP="00CA537B">
            <w:pPr>
              <w:spacing w:after="0" w:line="240" w:lineRule="auto"/>
              <w:jc w:val="center"/>
              <w:textAlignment w:val="baseline"/>
              <w:rPr>
                <w:rFonts w:ascii="Segoe UI" w:eastAsia="Times New Roman" w:hAnsi="Segoe UI" w:cs="Segoe UI"/>
                <w:sz w:val="18"/>
                <w:szCs w:val="18"/>
              </w:rPr>
            </w:pPr>
            <w:r w:rsidRPr="00D22CC3">
              <w:rPr>
                <w:rFonts w:ascii="Calibri" w:eastAsia="Times New Roman" w:hAnsi="Calibri" w:cs="Calibri"/>
                <w:color w:val="000000"/>
                <w:sz w:val="20"/>
                <w:szCs w:val="20"/>
              </w:rPr>
              <w:t>109 </w:t>
            </w:r>
          </w:p>
        </w:tc>
      </w:tr>
    </w:tbl>
    <w:p w14:paraId="7CC48981" w14:textId="77777777" w:rsidR="00C758A2" w:rsidRDefault="00C758A2" w:rsidP="00C758A2">
      <w:pPr>
        <w:rPr>
          <w:sz w:val="16"/>
          <w:szCs w:val="16"/>
        </w:rPr>
        <w:sectPr w:rsidR="00C758A2" w:rsidSect="00D22CC3">
          <w:pgSz w:w="12240" w:h="15840" w:code="1"/>
          <w:pgMar w:top="1440" w:right="1440" w:bottom="1440" w:left="1440" w:header="720" w:footer="720" w:gutter="0"/>
          <w:cols w:space="720"/>
          <w:docGrid w:linePitch="360"/>
        </w:sectPr>
      </w:pPr>
    </w:p>
    <w:p w14:paraId="1ADC059D" w14:textId="77777777" w:rsidR="00C758A2" w:rsidRPr="00CD7530" w:rsidRDefault="00C758A2" w:rsidP="00C758A2">
      <w:pPr>
        <w:rPr>
          <w:sz w:val="16"/>
          <w:szCs w:val="16"/>
        </w:rPr>
      </w:pPr>
    </w:p>
    <w:tbl>
      <w:tblPr>
        <w:tblW w:w="10520" w:type="dxa"/>
        <w:tblLook w:val="04A0" w:firstRow="1" w:lastRow="0" w:firstColumn="1" w:lastColumn="0" w:noHBand="0" w:noVBand="1"/>
      </w:tblPr>
      <w:tblGrid>
        <w:gridCol w:w="4820"/>
        <w:gridCol w:w="4340"/>
        <w:gridCol w:w="1360"/>
      </w:tblGrid>
      <w:tr w:rsidR="00C758A2" w:rsidRPr="0043382D" w14:paraId="7105525B" w14:textId="77777777" w:rsidTr="00CA537B">
        <w:trPr>
          <w:trHeight w:val="290"/>
        </w:trPr>
        <w:tc>
          <w:tcPr>
            <w:tcW w:w="10520" w:type="dxa"/>
            <w:gridSpan w:val="3"/>
            <w:tcBorders>
              <w:top w:val="single" w:sz="4" w:space="0" w:color="auto"/>
              <w:left w:val="single" w:sz="4" w:space="0" w:color="auto"/>
              <w:bottom w:val="single" w:sz="4" w:space="0" w:color="auto"/>
              <w:right w:val="single" w:sz="4" w:space="0" w:color="auto"/>
            </w:tcBorders>
            <w:shd w:val="clear" w:color="auto" w:fill="4472C4" w:themeFill="accent1"/>
            <w:vAlign w:val="center"/>
            <w:hideMark/>
          </w:tcPr>
          <w:p w14:paraId="05D0134F" w14:textId="77777777" w:rsidR="00C758A2" w:rsidRPr="0043382D" w:rsidRDefault="00C758A2" w:rsidP="00CA537B">
            <w:pPr>
              <w:spacing w:after="0" w:line="240" w:lineRule="auto"/>
              <w:jc w:val="center"/>
              <w:rPr>
                <w:rFonts w:ascii="Calibri" w:eastAsia="Times New Roman" w:hAnsi="Calibri" w:cs="Calibri"/>
                <w:b/>
                <w:bCs/>
                <w:u w:val="single"/>
              </w:rPr>
            </w:pPr>
            <w:r>
              <w:rPr>
                <w:rFonts w:ascii="Calibri" w:eastAsia="Times New Roman" w:hAnsi="Calibri" w:cs="Calibri"/>
                <w:b/>
                <w:bCs/>
                <w:u w:val="single"/>
              </w:rPr>
              <w:t>S</w:t>
            </w:r>
            <w:r w:rsidRPr="0043382D">
              <w:rPr>
                <w:rFonts w:ascii="Calibri" w:eastAsia="Times New Roman" w:hAnsi="Calibri" w:cs="Calibri"/>
                <w:b/>
                <w:bCs/>
                <w:u w:val="single"/>
              </w:rPr>
              <w:t xml:space="preserve">upplemental Table </w:t>
            </w:r>
            <w:r>
              <w:rPr>
                <w:rFonts w:ascii="Calibri" w:eastAsia="Times New Roman" w:hAnsi="Calibri" w:cs="Calibri"/>
                <w:b/>
                <w:bCs/>
                <w:u w:val="single"/>
              </w:rPr>
              <w:t>2</w:t>
            </w:r>
            <w:r w:rsidRPr="0043382D">
              <w:rPr>
                <w:rFonts w:ascii="Calibri" w:eastAsia="Times New Roman" w:hAnsi="Calibri" w:cs="Calibri"/>
                <w:b/>
                <w:bCs/>
                <w:u w:val="single"/>
              </w:rPr>
              <w:t xml:space="preserve">: Key Partners for collaboration in activities to improve CBO data quality and </w:t>
            </w:r>
            <w:proofErr w:type="gramStart"/>
            <w:r w:rsidRPr="0043382D">
              <w:rPr>
                <w:rFonts w:ascii="Calibri" w:eastAsia="Times New Roman" w:hAnsi="Calibri" w:cs="Calibri"/>
                <w:b/>
                <w:bCs/>
                <w:u w:val="single"/>
              </w:rPr>
              <w:t>sharing</w:t>
            </w:r>
            <w:proofErr w:type="gramEnd"/>
            <w:r w:rsidRPr="0043382D">
              <w:rPr>
                <w:rFonts w:ascii="Calibri" w:eastAsia="Times New Roman" w:hAnsi="Calibri" w:cs="Calibri"/>
                <w:b/>
                <w:bCs/>
                <w:u w:val="single"/>
              </w:rPr>
              <w:t xml:space="preserve">  </w:t>
            </w:r>
          </w:p>
          <w:p w14:paraId="1A8164D0" w14:textId="77777777" w:rsidR="00C758A2" w:rsidRPr="0043382D" w:rsidRDefault="00C758A2" w:rsidP="00CA537B">
            <w:pPr>
              <w:spacing w:after="0" w:line="240" w:lineRule="auto"/>
              <w:jc w:val="center"/>
              <w:rPr>
                <w:rFonts w:ascii="Calibri" w:eastAsia="Times New Roman" w:hAnsi="Calibri" w:cs="Calibri"/>
                <w:b/>
                <w:bCs/>
                <w:u w:val="single"/>
              </w:rPr>
            </w:pPr>
          </w:p>
        </w:tc>
      </w:tr>
      <w:tr w:rsidR="00C758A2" w:rsidRPr="00E303BE" w14:paraId="25FE87FA" w14:textId="77777777" w:rsidTr="00CA537B">
        <w:trPr>
          <w:trHeight w:val="580"/>
        </w:trPr>
        <w:tc>
          <w:tcPr>
            <w:tcW w:w="4820" w:type="dxa"/>
            <w:tcBorders>
              <w:top w:val="nil"/>
              <w:left w:val="single" w:sz="4" w:space="0" w:color="auto"/>
              <w:bottom w:val="single" w:sz="4" w:space="0" w:color="auto"/>
              <w:right w:val="single" w:sz="4" w:space="0" w:color="auto"/>
            </w:tcBorders>
            <w:shd w:val="clear" w:color="auto" w:fill="B4C6E7" w:themeFill="accent1" w:themeFillTint="66"/>
            <w:vAlign w:val="center"/>
            <w:hideMark/>
          </w:tcPr>
          <w:p w14:paraId="7435623E" w14:textId="77777777" w:rsidR="00C758A2" w:rsidRPr="00E303BE" w:rsidRDefault="00C758A2" w:rsidP="00CA537B">
            <w:pPr>
              <w:spacing w:after="0" w:line="240" w:lineRule="auto"/>
              <w:rPr>
                <w:rFonts w:ascii="Calibri" w:eastAsia="Times New Roman" w:hAnsi="Calibri" w:cs="Calibri"/>
                <w:b/>
                <w:bCs/>
                <w:color w:val="000000"/>
              </w:rPr>
            </w:pPr>
            <w:r w:rsidRPr="00E303BE">
              <w:rPr>
                <w:rFonts w:ascii="Calibri" w:eastAsia="Times New Roman" w:hAnsi="Calibri" w:cs="Calibri"/>
                <w:b/>
                <w:bCs/>
                <w:color w:val="000000"/>
              </w:rPr>
              <w:t xml:space="preserve">Organization </w:t>
            </w:r>
          </w:p>
        </w:tc>
        <w:tc>
          <w:tcPr>
            <w:tcW w:w="4340" w:type="dxa"/>
            <w:tcBorders>
              <w:top w:val="nil"/>
              <w:left w:val="nil"/>
              <w:bottom w:val="single" w:sz="4" w:space="0" w:color="auto"/>
              <w:right w:val="single" w:sz="4" w:space="0" w:color="auto"/>
            </w:tcBorders>
            <w:shd w:val="clear" w:color="auto" w:fill="B4C6E7" w:themeFill="accent1" w:themeFillTint="66"/>
            <w:vAlign w:val="center"/>
            <w:hideMark/>
          </w:tcPr>
          <w:p w14:paraId="3F06E806" w14:textId="77777777" w:rsidR="00C758A2" w:rsidRPr="00E303BE" w:rsidRDefault="00C758A2" w:rsidP="00CA537B">
            <w:pPr>
              <w:spacing w:after="0" w:line="240" w:lineRule="auto"/>
              <w:rPr>
                <w:rFonts w:ascii="Calibri" w:eastAsia="Times New Roman" w:hAnsi="Calibri" w:cs="Calibri"/>
                <w:b/>
                <w:bCs/>
                <w:color w:val="000000"/>
              </w:rPr>
            </w:pPr>
            <w:r w:rsidRPr="00E303BE">
              <w:rPr>
                <w:rFonts w:ascii="Calibri" w:eastAsia="Times New Roman" w:hAnsi="Calibri" w:cs="Calibri"/>
                <w:b/>
                <w:bCs/>
                <w:color w:val="000000"/>
              </w:rPr>
              <w:t xml:space="preserve">Relationship to CBOs </w:t>
            </w:r>
          </w:p>
        </w:tc>
        <w:tc>
          <w:tcPr>
            <w:tcW w:w="1360" w:type="dxa"/>
            <w:tcBorders>
              <w:top w:val="nil"/>
              <w:left w:val="nil"/>
              <w:bottom w:val="single" w:sz="4" w:space="0" w:color="auto"/>
              <w:right w:val="single" w:sz="4" w:space="0" w:color="auto"/>
            </w:tcBorders>
            <w:shd w:val="clear" w:color="auto" w:fill="B4C6E7" w:themeFill="accent1" w:themeFillTint="66"/>
            <w:vAlign w:val="center"/>
            <w:hideMark/>
          </w:tcPr>
          <w:p w14:paraId="06FFFFA1" w14:textId="77777777" w:rsidR="00C758A2" w:rsidRPr="00E303BE" w:rsidRDefault="00C758A2" w:rsidP="00CA537B">
            <w:pPr>
              <w:spacing w:after="0" w:line="240" w:lineRule="auto"/>
              <w:rPr>
                <w:rFonts w:ascii="Calibri" w:eastAsia="Times New Roman" w:hAnsi="Calibri" w:cs="Calibri"/>
                <w:b/>
                <w:bCs/>
                <w:color w:val="000000"/>
              </w:rPr>
            </w:pPr>
            <w:r w:rsidRPr="00E303BE">
              <w:rPr>
                <w:rFonts w:ascii="Calibri" w:eastAsia="Times New Roman" w:hAnsi="Calibri" w:cs="Calibri"/>
                <w:b/>
                <w:bCs/>
                <w:color w:val="000000"/>
              </w:rPr>
              <w:t>Local, State, or National</w:t>
            </w:r>
          </w:p>
        </w:tc>
      </w:tr>
      <w:tr w:rsidR="00C758A2" w:rsidRPr="00E303BE" w14:paraId="69EFC81C" w14:textId="77777777" w:rsidTr="00CA537B">
        <w:trPr>
          <w:trHeight w:val="58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30B3360C"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Community Based Organizations (CBO)</w:t>
            </w:r>
          </w:p>
        </w:tc>
        <w:tc>
          <w:tcPr>
            <w:tcW w:w="4340" w:type="dxa"/>
            <w:tcBorders>
              <w:top w:val="nil"/>
              <w:left w:val="nil"/>
              <w:bottom w:val="single" w:sz="4" w:space="0" w:color="auto"/>
              <w:right w:val="single" w:sz="4" w:space="0" w:color="auto"/>
            </w:tcBorders>
            <w:shd w:val="clear" w:color="auto" w:fill="auto"/>
            <w:vAlign w:val="center"/>
            <w:hideMark/>
          </w:tcPr>
          <w:p w14:paraId="662D34FC" w14:textId="77777777" w:rsidR="00C758A2" w:rsidRPr="00E303BE" w:rsidRDefault="00C758A2" w:rsidP="00CA537B">
            <w:pPr>
              <w:spacing w:after="0" w:line="240" w:lineRule="auto"/>
              <w:rPr>
                <w:rFonts w:ascii="Calibri" w:eastAsia="Times New Roman" w:hAnsi="Calibri" w:cs="Calibri"/>
                <w:color w:val="000000"/>
              </w:rPr>
            </w:pPr>
            <w:r>
              <w:rPr>
                <w:rFonts w:ascii="Calibri" w:eastAsia="Times New Roman" w:hAnsi="Calibri" w:cs="Calibri"/>
                <w:color w:val="000000"/>
              </w:rPr>
              <w:t>Inclusive of</w:t>
            </w:r>
            <w:r w:rsidRPr="00E303BE">
              <w:rPr>
                <w:rFonts w:ascii="Calibri" w:eastAsia="Times New Roman" w:hAnsi="Calibri" w:cs="Calibri"/>
                <w:color w:val="000000"/>
              </w:rPr>
              <w:t xml:space="preserve"> public HUD funded and private non-HUD funded organizations.</w:t>
            </w:r>
          </w:p>
        </w:tc>
        <w:tc>
          <w:tcPr>
            <w:tcW w:w="1360" w:type="dxa"/>
            <w:tcBorders>
              <w:top w:val="nil"/>
              <w:left w:val="nil"/>
              <w:bottom w:val="single" w:sz="4" w:space="0" w:color="auto"/>
              <w:right w:val="single" w:sz="4" w:space="0" w:color="auto"/>
            </w:tcBorders>
            <w:shd w:val="clear" w:color="auto" w:fill="auto"/>
            <w:vAlign w:val="center"/>
            <w:hideMark/>
          </w:tcPr>
          <w:p w14:paraId="6F56A473"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6D4B6246" w14:textId="77777777" w:rsidTr="00CA537B">
        <w:trPr>
          <w:trHeight w:val="29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2EDCCF96"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People Experiencing Homelessness</w:t>
            </w:r>
          </w:p>
        </w:tc>
        <w:tc>
          <w:tcPr>
            <w:tcW w:w="4340" w:type="dxa"/>
            <w:tcBorders>
              <w:top w:val="nil"/>
              <w:left w:val="nil"/>
              <w:bottom w:val="single" w:sz="4" w:space="0" w:color="auto"/>
              <w:right w:val="single" w:sz="4" w:space="0" w:color="auto"/>
            </w:tcBorders>
            <w:shd w:val="clear" w:color="auto" w:fill="auto"/>
            <w:vAlign w:val="center"/>
            <w:hideMark/>
          </w:tcPr>
          <w:p w14:paraId="6814792B" w14:textId="77777777" w:rsidR="00C758A2" w:rsidRPr="00E303BE" w:rsidRDefault="00C758A2" w:rsidP="00CA537B">
            <w:pPr>
              <w:spacing w:after="0" w:line="240" w:lineRule="auto"/>
              <w:rPr>
                <w:rFonts w:ascii="Calibri" w:eastAsia="Times New Roman" w:hAnsi="Calibri" w:cs="Calibri"/>
                <w:color w:val="000000"/>
              </w:rPr>
            </w:pPr>
            <w:r>
              <w:rPr>
                <w:rFonts w:ascii="Calibri" w:eastAsia="Times New Roman" w:hAnsi="Calibri" w:cs="Calibri"/>
                <w:color w:val="000000"/>
              </w:rPr>
              <w:t>C</w:t>
            </w:r>
            <w:r w:rsidRPr="00E303BE">
              <w:rPr>
                <w:rFonts w:ascii="Calibri" w:eastAsia="Times New Roman" w:hAnsi="Calibri" w:cs="Calibri"/>
                <w:color w:val="000000"/>
              </w:rPr>
              <w:t xml:space="preserve">lients </w:t>
            </w:r>
            <w:r>
              <w:rPr>
                <w:rFonts w:ascii="Calibri" w:eastAsia="Times New Roman" w:hAnsi="Calibri" w:cs="Calibri"/>
                <w:color w:val="000000"/>
              </w:rPr>
              <w:t>served by</w:t>
            </w:r>
            <w:r w:rsidRPr="00E303BE">
              <w:rPr>
                <w:rFonts w:ascii="Calibri" w:eastAsia="Times New Roman" w:hAnsi="Calibri" w:cs="Calibri"/>
                <w:color w:val="000000"/>
              </w:rPr>
              <w:t xml:space="preserve"> CBOs.</w:t>
            </w:r>
          </w:p>
        </w:tc>
        <w:tc>
          <w:tcPr>
            <w:tcW w:w="1360" w:type="dxa"/>
            <w:tcBorders>
              <w:top w:val="nil"/>
              <w:left w:val="nil"/>
              <w:bottom w:val="single" w:sz="4" w:space="0" w:color="auto"/>
              <w:right w:val="single" w:sz="4" w:space="0" w:color="auto"/>
            </w:tcBorders>
            <w:shd w:val="clear" w:color="auto" w:fill="auto"/>
            <w:vAlign w:val="center"/>
            <w:hideMark/>
          </w:tcPr>
          <w:p w14:paraId="747951F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1EE6E9E7"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000611F1"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Continuum of Care (CoC)</w:t>
            </w:r>
          </w:p>
        </w:tc>
        <w:tc>
          <w:tcPr>
            <w:tcW w:w="4340" w:type="dxa"/>
            <w:tcBorders>
              <w:top w:val="nil"/>
              <w:left w:val="nil"/>
              <w:bottom w:val="single" w:sz="4" w:space="0" w:color="auto"/>
              <w:right w:val="single" w:sz="4" w:space="0" w:color="auto"/>
            </w:tcBorders>
            <w:shd w:val="clear" w:color="auto" w:fill="auto"/>
            <w:vAlign w:val="center"/>
            <w:hideMark/>
          </w:tcPr>
          <w:p w14:paraId="03EAFD6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A local collection of CBOs that coordinate services throughout the CoC area (county, region, state). The CoC lead is typically the data lead and responsible for reporting to funders.</w:t>
            </w:r>
          </w:p>
        </w:tc>
        <w:tc>
          <w:tcPr>
            <w:tcW w:w="1360" w:type="dxa"/>
            <w:tcBorders>
              <w:top w:val="nil"/>
              <w:left w:val="nil"/>
              <w:bottom w:val="single" w:sz="4" w:space="0" w:color="auto"/>
              <w:right w:val="single" w:sz="4" w:space="0" w:color="auto"/>
            </w:tcBorders>
            <w:shd w:val="clear" w:color="auto" w:fill="auto"/>
            <w:vAlign w:val="center"/>
            <w:hideMark/>
          </w:tcPr>
          <w:p w14:paraId="69092540"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0856C4A5"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1BA80887"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Health</w:t>
            </w:r>
            <w:r>
              <w:rPr>
                <w:rFonts w:ascii="Calibri" w:eastAsia="Times New Roman" w:hAnsi="Calibri" w:cs="Calibri"/>
                <w:color w:val="000000"/>
              </w:rPr>
              <w:t>care</w:t>
            </w:r>
            <w:r w:rsidRPr="00E303BE">
              <w:rPr>
                <w:rFonts w:ascii="Calibri" w:eastAsia="Times New Roman" w:hAnsi="Calibri" w:cs="Calibri"/>
                <w:color w:val="000000"/>
              </w:rPr>
              <w:t xml:space="preserve"> Providers</w:t>
            </w:r>
          </w:p>
        </w:tc>
        <w:tc>
          <w:tcPr>
            <w:tcW w:w="4340" w:type="dxa"/>
            <w:tcBorders>
              <w:top w:val="nil"/>
              <w:left w:val="nil"/>
              <w:bottom w:val="single" w:sz="4" w:space="0" w:color="auto"/>
              <w:right w:val="single" w:sz="4" w:space="0" w:color="auto"/>
            </w:tcBorders>
            <w:shd w:val="clear" w:color="auto" w:fill="auto"/>
            <w:vAlign w:val="center"/>
            <w:hideMark/>
          </w:tcPr>
          <w:p w14:paraId="185BF312"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Providers assist people experiencing homelessness with any medical needs such as substance use, dentistry, vaccinations. These services are either provided directly or are coordinated through the CBO.</w:t>
            </w:r>
          </w:p>
        </w:tc>
        <w:tc>
          <w:tcPr>
            <w:tcW w:w="1360" w:type="dxa"/>
            <w:tcBorders>
              <w:top w:val="nil"/>
              <w:left w:val="nil"/>
              <w:bottom w:val="single" w:sz="4" w:space="0" w:color="auto"/>
              <w:right w:val="single" w:sz="4" w:space="0" w:color="auto"/>
            </w:tcBorders>
            <w:shd w:val="clear" w:color="auto" w:fill="auto"/>
            <w:vAlign w:val="center"/>
            <w:hideMark/>
          </w:tcPr>
          <w:p w14:paraId="1A88ACB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48120615" w14:textId="77777777" w:rsidTr="00CA537B">
        <w:trPr>
          <w:trHeight w:val="174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03C2B175"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Mental Health Providers</w:t>
            </w:r>
          </w:p>
        </w:tc>
        <w:tc>
          <w:tcPr>
            <w:tcW w:w="4340" w:type="dxa"/>
            <w:tcBorders>
              <w:top w:val="nil"/>
              <w:left w:val="nil"/>
              <w:bottom w:val="single" w:sz="4" w:space="0" w:color="auto"/>
              <w:right w:val="single" w:sz="4" w:space="0" w:color="auto"/>
            </w:tcBorders>
            <w:shd w:val="clear" w:color="auto" w:fill="auto"/>
            <w:vAlign w:val="center"/>
            <w:hideMark/>
          </w:tcPr>
          <w:p w14:paraId="5F1E7BD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Therapy and behavior health services are provided to people experiencing homelessness, especially to those that have a mental disorder or past trauma. These services are either provided directly or are coordinated through the CBO.</w:t>
            </w:r>
          </w:p>
        </w:tc>
        <w:tc>
          <w:tcPr>
            <w:tcW w:w="1360" w:type="dxa"/>
            <w:tcBorders>
              <w:top w:val="nil"/>
              <w:left w:val="nil"/>
              <w:bottom w:val="single" w:sz="4" w:space="0" w:color="auto"/>
              <w:right w:val="single" w:sz="4" w:space="0" w:color="auto"/>
            </w:tcBorders>
            <w:shd w:val="clear" w:color="auto" w:fill="auto"/>
            <w:vAlign w:val="center"/>
            <w:hideMark/>
          </w:tcPr>
          <w:p w14:paraId="2F82CD7D"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5051FDBA" w14:textId="77777777" w:rsidTr="00CA537B">
        <w:trPr>
          <w:trHeight w:val="116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76802D04"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Health Information Exchange (HIE)</w:t>
            </w:r>
          </w:p>
        </w:tc>
        <w:tc>
          <w:tcPr>
            <w:tcW w:w="4340" w:type="dxa"/>
            <w:tcBorders>
              <w:top w:val="nil"/>
              <w:left w:val="nil"/>
              <w:bottom w:val="single" w:sz="4" w:space="0" w:color="auto"/>
              <w:right w:val="single" w:sz="4" w:space="0" w:color="auto"/>
            </w:tcBorders>
            <w:shd w:val="clear" w:color="auto" w:fill="auto"/>
            <w:vAlign w:val="center"/>
            <w:hideMark/>
          </w:tcPr>
          <w:p w14:paraId="2E4BE70B"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Some regions share information across hospitals using HIEs that CBOs can access as a data source for new people experiencing homelessness entering their care.</w:t>
            </w:r>
          </w:p>
        </w:tc>
        <w:tc>
          <w:tcPr>
            <w:tcW w:w="1360" w:type="dxa"/>
            <w:tcBorders>
              <w:top w:val="nil"/>
              <w:left w:val="nil"/>
              <w:bottom w:val="single" w:sz="4" w:space="0" w:color="auto"/>
              <w:right w:val="single" w:sz="4" w:space="0" w:color="auto"/>
            </w:tcBorders>
            <w:shd w:val="clear" w:color="auto" w:fill="auto"/>
            <w:vAlign w:val="center"/>
            <w:hideMark/>
          </w:tcPr>
          <w:p w14:paraId="30EB5CC0"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521DE2B6" w14:textId="77777777" w:rsidTr="00CA537B">
        <w:trPr>
          <w:trHeight w:val="174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747FA973"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School Districts</w:t>
            </w:r>
          </w:p>
        </w:tc>
        <w:tc>
          <w:tcPr>
            <w:tcW w:w="4340" w:type="dxa"/>
            <w:tcBorders>
              <w:top w:val="nil"/>
              <w:left w:val="nil"/>
              <w:bottom w:val="single" w:sz="4" w:space="0" w:color="auto"/>
              <w:right w:val="single" w:sz="4" w:space="0" w:color="auto"/>
            </w:tcBorders>
            <w:shd w:val="clear" w:color="auto" w:fill="auto"/>
            <w:vAlign w:val="center"/>
            <w:hideMark/>
          </w:tcPr>
          <w:p w14:paraId="60949BA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Families experiencing homelessness are still required to send kids to school as part of their care. School districts may also identify possible people experiencing homelessness through interactions with the kids for CBOs to follow up with.</w:t>
            </w:r>
          </w:p>
        </w:tc>
        <w:tc>
          <w:tcPr>
            <w:tcW w:w="1360" w:type="dxa"/>
            <w:tcBorders>
              <w:top w:val="nil"/>
              <w:left w:val="nil"/>
              <w:bottom w:val="single" w:sz="4" w:space="0" w:color="auto"/>
              <w:right w:val="single" w:sz="4" w:space="0" w:color="auto"/>
            </w:tcBorders>
            <w:shd w:val="clear" w:color="auto" w:fill="auto"/>
            <w:vAlign w:val="center"/>
            <w:hideMark/>
          </w:tcPr>
          <w:p w14:paraId="4024780A"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60C865CA" w14:textId="77777777" w:rsidTr="00CA537B">
        <w:trPr>
          <w:trHeight w:val="232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5F8F3A1B"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 Justice Department</w:t>
            </w:r>
          </w:p>
        </w:tc>
        <w:tc>
          <w:tcPr>
            <w:tcW w:w="4340" w:type="dxa"/>
            <w:tcBorders>
              <w:top w:val="nil"/>
              <w:left w:val="nil"/>
              <w:bottom w:val="single" w:sz="4" w:space="0" w:color="auto"/>
              <w:right w:val="single" w:sz="4" w:space="0" w:color="auto"/>
            </w:tcBorders>
            <w:shd w:val="clear" w:color="auto" w:fill="auto"/>
            <w:vAlign w:val="center"/>
            <w:hideMark/>
          </w:tcPr>
          <w:p w14:paraId="14B4FD6C"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Some CBOs provide legal services or are supporting people experiencing homelessness with criminal records that requires information sharing. CBOs also provide services to people experiencing homelessness transitioning from prison or found from law enforcement that requires coordination.</w:t>
            </w:r>
          </w:p>
        </w:tc>
        <w:tc>
          <w:tcPr>
            <w:tcW w:w="1360" w:type="dxa"/>
            <w:tcBorders>
              <w:top w:val="nil"/>
              <w:left w:val="nil"/>
              <w:bottom w:val="single" w:sz="4" w:space="0" w:color="auto"/>
              <w:right w:val="single" w:sz="4" w:space="0" w:color="auto"/>
            </w:tcBorders>
            <w:shd w:val="clear" w:color="auto" w:fill="auto"/>
            <w:vAlign w:val="center"/>
            <w:hideMark/>
          </w:tcPr>
          <w:p w14:paraId="7E6AC304"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37CA9AC2" w14:textId="77777777" w:rsidTr="00CA537B">
        <w:trPr>
          <w:trHeight w:val="203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02F5E19C"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lastRenderedPageBreak/>
              <w:t>Homeless Management Information System (HMIS) vendors</w:t>
            </w:r>
          </w:p>
        </w:tc>
        <w:tc>
          <w:tcPr>
            <w:tcW w:w="4340" w:type="dxa"/>
            <w:tcBorders>
              <w:top w:val="nil"/>
              <w:left w:val="nil"/>
              <w:bottom w:val="single" w:sz="4" w:space="0" w:color="auto"/>
              <w:right w:val="single" w:sz="4" w:space="0" w:color="auto"/>
            </w:tcBorders>
            <w:shd w:val="clear" w:color="auto" w:fill="auto"/>
            <w:vAlign w:val="center"/>
            <w:hideMark/>
          </w:tcPr>
          <w:p w14:paraId="2DDCCE60"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 xml:space="preserve">HMIS systems are the main data repository for CBOs and is used for reporting to funders. </w:t>
            </w:r>
            <w:proofErr w:type="gramStart"/>
            <w:r w:rsidRPr="00E303BE">
              <w:rPr>
                <w:rFonts w:ascii="Calibri" w:eastAsia="Times New Roman" w:hAnsi="Calibri" w:cs="Calibri"/>
                <w:color w:val="000000"/>
              </w:rPr>
              <w:t>In order to</w:t>
            </w:r>
            <w:proofErr w:type="gramEnd"/>
            <w:r w:rsidRPr="00E303BE">
              <w:rPr>
                <w:rFonts w:ascii="Calibri" w:eastAsia="Times New Roman" w:hAnsi="Calibri" w:cs="Calibri"/>
                <w:color w:val="000000"/>
              </w:rPr>
              <w:t xml:space="preserve"> be classified as an HMIS system, HUD has a set of requirements that vendors must meet in their system. The requirements change yearly, which limits how many HMIS vendors CBOs can choose from.</w:t>
            </w:r>
          </w:p>
        </w:tc>
        <w:tc>
          <w:tcPr>
            <w:tcW w:w="1360" w:type="dxa"/>
            <w:tcBorders>
              <w:top w:val="nil"/>
              <w:left w:val="nil"/>
              <w:bottom w:val="single" w:sz="4" w:space="0" w:color="auto"/>
              <w:right w:val="single" w:sz="4" w:space="0" w:color="auto"/>
            </w:tcBorders>
            <w:shd w:val="clear" w:color="auto" w:fill="auto"/>
            <w:vAlign w:val="center"/>
            <w:hideMark/>
          </w:tcPr>
          <w:p w14:paraId="0AE61544"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w:t>
            </w:r>
          </w:p>
        </w:tc>
      </w:tr>
      <w:tr w:rsidR="00C758A2" w:rsidRPr="00E303BE" w14:paraId="29F5B578" w14:textId="77777777" w:rsidTr="00CA537B">
        <w:trPr>
          <w:trHeight w:val="174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729FE222"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Public Health Agencies (PHA)</w:t>
            </w:r>
          </w:p>
        </w:tc>
        <w:tc>
          <w:tcPr>
            <w:tcW w:w="4340" w:type="dxa"/>
            <w:tcBorders>
              <w:top w:val="nil"/>
              <w:left w:val="nil"/>
              <w:bottom w:val="single" w:sz="4" w:space="0" w:color="auto"/>
              <w:right w:val="single" w:sz="4" w:space="0" w:color="auto"/>
            </w:tcBorders>
            <w:shd w:val="clear" w:color="auto" w:fill="auto"/>
            <w:vAlign w:val="center"/>
            <w:hideMark/>
          </w:tcPr>
          <w:p w14:paraId="7AB33480"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CBOs are required to report disease surveillance and other pandemic related data (for COVID-19) to their local PHA. There are also special programs related to people experiencing homelessness with HIV/AIDs that need to be reported on.</w:t>
            </w:r>
          </w:p>
        </w:tc>
        <w:tc>
          <w:tcPr>
            <w:tcW w:w="1360" w:type="dxa"/>
            <w:tcBorders>
              <w:top w:val="nil"/>
              <w:left w:val="nil"/>
              <w:bottom w:val="single" w:sz="4" w:space="0" w:color="auto"/>
              <w:right w:val="single" w:sz="4" w:space="0" w:color="auto"/>
            </w:tcBorders>
            <w:shd w:val="clear" w:color="auto" w:fill="auto"/>
            <w:vAlign w:val="center"/>
            <w:hideMark/>
          </w:tcPr>
          <w:p w14:paraId="47F1FFF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Local/State</w:t>
            </w:r>
          </w:p>
        </w:tc>
      </w:tr>
      <w:tr w:rsidR="00C758A2" w:rsidRPr="00E303BE" w14:paraId="7B4EF68D" w14:textId="77777777" w:rsidTr="00CA537B">
        <w:trPr>
          <w:trHeight w:val="174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523F976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 Government</w:t>
            </w:r>
          </w:p>
        </w:tc>
        <w:tc>
          <w:tcPr>
            <w:tcW w:w="4340" w:type="dxa"/>
            <w:tcBorders>
              <w:top w:val="nil"/>
              <w:left w:val="nil"/>
              <w:bottom w:val="single" w:sz="4" w:space="0" w:color="auto"/>
              <w:right w:val="single" w:sz="4" w:space="0" w:color="auto"/>
            </w:tcBorders>
            <w:shd w:val="clear" w:color="auto" w:fill="auto"/>
            <w:vAlign w:val="center"/>
            <w:hideMark/>
          </w:tcPr>
          <w:p w14:paraId="6CA05050"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CBO must report data to either the city or state government department in charge of managing people experiencing homelessness for their region. Policies and mandates are also handed down to CBOs that they must adhere to.</w:t>
            </w:r>
          </w:p>
        </w:tc>
        <w:tc>
          <w:tcPr>
            <w:tcW w:w="1360" w:type="dxa"/>
            <w:tcBorders>
              <w:top w:val="nil"/>
              <w:left w:val="nil"/>
              <w:bottom w:val="single" w:sz="4" w:space="0" w:color="auto"/>
              <w:right w:val="single" w:sz="4" w:space="0" w:color="auto"/>
            </w:tcBorders>
            <w:shd w:val="clear" w:color="auto" w:fill="auto"/>
            <w:vAlign w:val="center"/>
            <w:hideMark/>
          </w:tcPr>
          <w:p w14:paraId="5D35FD9A"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Local/State</w:t>
            </w:r>
          </w:p>
        </w:tc>
      </w:tr>
      <w:tr w:rsidR="00C758A2" w:rsidRPr="00E303BE" w14:paraId="70AE1007" w14:textId="77777777" w:rsidTr="00CA537B">
        <w:trPr>
          <w:trHeight w:val="203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1F5577DC"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Department of Housing and Urban Development</w:t>
            </w:r>
          </w:p>
        </w:tc>
        <w:tc>
          <w:tcPr>
            <w:tcW w:w="4340" w:type="dxa"/>
            <w:tcBorders>
              <w:top w:val="nil"/>
              <w:left w:val="nil"/>
              <w:bottom w:val="single" w:sz="4" w:space="0" w:color="auto"/>
              <w:right w:val="single" w:sz="4" w:space="0" w:color="auto"/>
            </w:tcBorders>
            <w:shd w:val="clear" w:color="auto" w:fill="auto"/>
            <w:vAlign w:val="center"/>
            <w:hideMark/>
          </w:tcPr>
          <w:p w14:paraId="2CE3F77C"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HUD is the federal agency in charge of managing people experiencing homelessness and gives most of the funding that CBOs use to provide services. CBOs are required to report Universal Data Elements and program specific data elements up to HUD regularly as a condition of the funding.</w:t>
            </w:r>
          </w:p>
        </w:tc>
        <w:tc>
          <w:tcPr>
            <w:tcW w:w="1360" w:type="dxa"/>
            <w:tcBorders>
              <w:top w:val="nil"/>
              <w:left w:val="nil"/>
              <w:bottom w:val="single" w:sz="4" w:space="0" w:color="auto"/>
              <w:right w:val="single" w:sz="4" w:space="0" w:color="auto"/>
            </w:tcBorders>
            <w:shd w:val="clear" w:color="auto" w:fill="auto"/>
            <w:vAlign w:val="center"/>
            <w:hideMark/>
          </w:tcPr>
          <w:p w14:paraId="409A0B3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52C08B92" w14:textId="77777777" w:rsidTr="00CA537B">
        <w:trPr>
          <w:trHeight w:val="58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60A9D9D2"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HUD’s Special Needs Assistance Programs (SNAPS)</w:t>
            </w:r>
          </w:p>
        </w:tc>
        <w:tc>
          <w:tcPr>
            <w:tcW w:w="4340" w:type="dxa"/>
            <w:tcBorders>
              <w:top w:val="nil"/>
              <w:left w:val="nil"/>
              <w:bottom w:val="single" w:sz="4" w:space="0" w:color="auto"/>
              <w:right w:val="single" w:sz="4" w:space="0" w:color="auto"/>
            </w:tcBorders>
            <w:shd w:val="clear" w:color="auto" w:fill="auto"/>
            <w:vAlign w:val="center"/>
            <w:hideMark/>
          </w:tcPr>
          <w:p w14:paraId="6F16421A"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SNAPS is the office within HUD that CBOs interact with as part of their grant funding.</w:t>
            </w:r>
          </w:p>
        </w:tc>
        <w:tc>
          <w:tcPr>
            <w:tcW w:w="1360" w:type="dxa"/>
            <w:tcBorders>
              <w:top w:val="nil"/>
              <w:left w:val="nil"/>
              <w:bottom w:val="single" w:sz="4" w:space="0" w:color="auto"/>
              <w:right w:val="single" w:sz="4" w:space="0" w:color="auto"/>
            </w:tcBorders>
            <w:shd w:val="clear" w:color="auto" w:fill="auto"/>
            <w:vAlign w:val="center"/>
            <w:hideMark/>
          </w:tcPr>
          <w:p w14:paraId="43F2C01A"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475C90D0" w14:textId="77777777" w:rsidTr="00CA537B">
        <w:trPr>
          <w:trHeight w:val="116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3FB74FFB"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Centers for Disease Control and Prevention</w:t>
            </w:r>
          </w:p>
        </w:tc>
        <w:tc>
          <w:tcPr>
            <w:tcW w:w="4340" w:type="dxa"/>
            <w:tcBorders>
              <w:top w:val="nil"/>
              <w:left w:val="nil"/>
              <w:bottom w:val="single" w:sz="4" w:space="0" w:color="auto"/>
              <w:right w:val="single" w:sz="4" w:space="0" w:color="auto"/>
            </w:tcBorders>
            <w:shd w:val="clear" w:color="auto" w:fill="auto"/>
            <w:vAlign w:val="center"/>
            <w:hideMark/>
          </w:tcPr>
          <w:p w14:paraId="76843842"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 xml:space="preserve">Provides guidance to PHAs on how to conduct disease surveillance </w:t>
            </w:r>
            <w:r>
              <w:rPr>
                <w:rFonts w:ascii="Calibri" w:eastAsia="Times New Roman" w:hAnsi="Calibri" w:cs="Calibri"/>
                <w:color w:val="000000"/>
              </w:rPr>
              <w:t xml:space="preserve">and surveys </w:t>
            </w:r>
            <w:r w:rsidRPr="00E303BE">
              <w:rPr>
                <w:rFonts w:ascii="Calibri" w:eastAsia="Times New Roman" w:hAnsi="Calibri" w:cs="Calibri"/>
                <w:color w:val="000000"/>
              </w:rPr>
              <w:t xml:space="preserve">on people experiencing homelessness, especially during </w:t>
            </w:r>
            <w:r>
              <w:rPr>
                <w:rFonts w:ascii="Calibri" w:eastAsia="Times New Roman" w:hAnsi="Calibri" w:cs="Calibri"/>
                <w:color w:val="000000"/>
              </w:rPr>
              <w:t>public health emergencies</w:t>
            </w:r>
            <w:r w:rsidRPr="00E303BE">
              <w:rPr>
                <w:rFonts w:ascii="Calibri" w:eastAsia="Times New Roman" w:hAnsi="Calibri" w:cs="Calibri"/>
                <w:color w:val="000000"/>
              </w:rPr>
              <w:t xml:space="preserve"> like COVID-19</w:t>
            </w:r>
            <w:r>
              <w:rPr>
                <w:rFonts w:ascii="Calibri" w:eastAsia="Times New Roman" w:hAnsi="Calibri" w:cs="Calibri"/>
                <w:color w:val="000000"/>
              </w:rPr>
              <w:t>, to help identify gaps in public health data available for PEH</w:t>
            </w:r>
            <w:r w:rsidRPr="00E303BE">
              <w:rPr>
                <w:rFonts w:ascii="Calibri" w:eastAsia="Times New Roman" w:hAnsi="Calibri" w:cs="Calibri"/>
                <w:color w:val="000000"/>
              </w:rPr>
              <w:t>.</w:t>
            </w:r>
          </w:p>
        </w:tc>
        <w:tc>
          <w:tcPr>
            <w:tcW w:w="1360" w:type="dxa"/>
            <w:tcBorders>
              <w:top w:val="nil"/>
              <w:left w:val="nil"/>
              <w:bottom w:val="single" w:sz="4" w:space="0" w:color="auto"/>
              <w:right w:val="single" w:sz="4" w:space="0" w:color="auto"/>
            </w:tcBorders>
            <w:shd w:val="clear" w:color="auto" w:fill="auto"/>
            <w:vAlign w:val="center"/>
            <w:hideMark/>
          </w:tcPr>
          <w:p w14:paraId="496F214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1764A02E" w14:textId="77777777" w:rsidTr="00CA537B">
        <w:trPr>
          <w:trHeight w:val="116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452C443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Department of Education</w:t>
            </w:r>
          </w:p>
        </w:tc>
        <w:tc>
          <w:tcPr>
            <w:tcW w:w="4340" w:type="dxa"/>
            <w:tcBorders>
              <w:top w:val="nil"/>
              <w:left w:val="nil"/>
              <w:bottom w:val="single" w:sz="4" w:space="0" w:color="auto"/>
              <w:right w:val="single" w:sz="4" w:space="0" w:color="auto"/>
            </w:tcBorders>
            <w:shd w:val="clear" w:color="auto" w:fill="auto"/>
            <w:vAlign w:val="center"/>
            <w:hideMark/>
          </w:tcPr>
          <w:p w14:paraId="4E42DFB4"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Utilizes the local school districts to collect data on people experiencing homelessness students independently from CBOs, which causes a duplication of data collection.</w:t>
            </w:r>
          </w:p>
        </w:tc>
        <w:tc>
          <w:tcPr>
            <w:tcW w:w="1360" w:type="dxa"/>
            <w:tcBorders>
              <w:top w:val="nil"/>
              <w:left w:val="nil"/>
              <w:bottom w:val="single" w:sz="4" w:space="0" w:color="auto"/>
              <w:right w:val="single" w:sz="4" w:space="0" w:color="auto"/>
            </w:tcBorders>
            <w:shd w:val="clear" w:color="auto" w:fill="auto"/>
            <w:vAlign w:val="center"/>
            <w:hideMark/>
          </w:tcPr>
          <w:p w14:paraId="768CECC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45B498AB" w14:textId="77777777" w:rsidTr="00CA537B">
        <w:trPr>
          <w:trHeight w:val="174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0A61D15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Department of Justice</w:t>
            </w:r>
          </w:p>
        </w:tc>
        <w:tc>
          <w:tcPr>
            <w:tcW w:w="4340" w:type="dxa"/>
            <w:tcBorders>
              <w:top w:val="nil"/>
              <w:left w:val="nil"/>
              <w:bottom w:val="single" w:sz="4" w:space="0" w:color="auto"/>
              <w:right w:val="single" w:sz="4" w:space="0" w:color="auto"/>
            </w:tcBorders>
            <w:shd w:val="clear" w:color="auto" w:fill="auto"/>
            <w:vAlign w:val="center"/>
            <w:hideMark/>
          </w:tcPr>
          <w:p w14:paraId="65A9AFA7"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Provides guidance to local justice departments and law enforcement on how to support people experiencing homelessness. This support requires collecting information on the people experiencing homelessness that is not always shared with CBOs.</w:t>
            </w:r>
          </w:p>
        </w:tc>
        <w:tc>
          <w:tcPr>
            <w:tcW w:w="1360" w:type="dxa"/>
            <w:tcBorders>
              <w:top w:val="nil"/>
              <w:left w:val="nil"/>
              <w:bottom w:val="single" w:sz="4" w:space="0" w:color="auto"/>
              <w:right w:val="single" w:sz="4" w:space="0" w:color="auto"/>
            </w:tcBorders>
            <w:shd w:val="clear" w:color="auto" w:fill="auto"/>
            <w:vAlign w:val="center"/>
            <w:hideMark/>
          </w:tcPr>
          <w:p w14:paraId="39C495D3"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285E0F82"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3C51A9DE"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lastRenderedPageBreak/>
              <w:t>Department of Veterans Affairs</w:t>
            </w:r>
          </w:p>
        </w:tc>
        <w:tc>
          <w:tcPr>
            <w:tcW w:w="4340" w:type="dxa"/>
            <w:tcBorders>
              <w:top w:val="nil"/>
              <w:left w:val="nil"/>
              <w:bottom w:val="single" w:sz="4" w:space="0" w:color="auto"/>
              <w:right w:val="single" w:sz="4" w:space="0" w:color="auto"/>
            </w:tcBorders>
            <w:shd w:val="clear" w:color="auto" w:fill="auto"/>
            <w:vAlign w:val="center"/>
            <w:hideMark/>
          </w:tcPr>
          <w:p w14:paraId="23EE8A02"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Any people experiencing homelessness veterans qualify for additional programs funding through Veterans Affairs. These programs have additional reporting requirements specific to their service history.</w:t>
            </w:r>
          </w:p>
        </w:tc>
        <w:tc>
          <w:tcPr>
            <w:tcW w:w="1360" w:type="dxa"/>
            <w:tcBorders>
              <w:top w:val="nil"/>
              <w:left w:val="nil"/>
              <w:bottom w:val="single" w:sz="4" w:space="0" w:color="auto"/>
              <w:right w:val="single" w:sz="4" w:space="0" w:color="auto"/>
            </w:tcBorders>
            <w:shd w:val="clear" w:color="auto" w:fill="auto"/>
            <w:vAlign w:val="center"/>
            <w:hideMark/>
          </w:tcPr>
          <w:p w14:paraId="113138D5"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38F1BCE4"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3B85B6AF"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The Administration for Children and Family (ACF)</w:t>
            </w:r>
          </w:p>
        </w:tc>
        <w:tc>
          <w:tcPr>
            <w:tcW w:w="4340" w:type="dxa"/>
            <w:tcBorders>
              <w:top w:val="nil"/>
              <w:left w:val="nil"/>
              <w:bottom w:val="single" w:sz="4" w:space="0" w:color="auto"/>
              <w:right w:val="single" w:sz="4" w:space="0" w:color="auto"/>
            </w:tcBorders>
            <w:shd w:val="clear" w:color="auto" w:fill="auto"/>
            <w:vAlign w:val="center"/>
            <w:hideMark/>
          </w:tcPr>
          <w:p w14:paraId="13BE23DB"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Families or youth experiencing homelessness that have recently left the foster program can utilize additional support programs through ACF. These programs have additional data that needs to be reporting to ACF.</w:t>
            </w:r>
          </w:p>
        </w:tc>
        <w:tc>
          <w:tcPr>
            <w:tcW w:w="1360" w:type="dxa"/>
            <w:tcBorders>
              <w:top w:val="nil"/>
              <w:left w:val="nil"/>
              <w:bottom w:val="single" w:sz="4" w:space="0" w:color="auto"/>
              <w:right w:val="single" w:sz="4" w:space="0" w:color="auto"/>
            </w:tcBorders>
            <w:shd w:val="clear" w:color="auto" w:fill="auto"/>
            <w:vAlign w:val="center"/>
            <w:hideMark/>
          </w:tcPr>
          <w:p w14:paraId="00723898"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280768EA"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2CE84DF9" w14:textId="77777777" w:rsidR="00C758A2" w:rsidRPr="00E303BE" w:rsidRDefault="00C758A2" w:rsidP="00CA537B">
            <w:pPr>
              <w:spacing w:after="0" w:line="240" w:lineRule="auto"/>
              <w:rPr>
                <w:rFonts w:ascii="Calibri" w:eastAsia="Times New Roman" w:hAnsi="Calibri" w:cs="Calibri"/>
                <w:color w:val="000000"/>
              </w:rPr>
            </w:pPr>
            <w:r w:rsidRPr="7A8A7AE2">
              <w:rPr>
                <w:rFonts w:ascii="Calibri" w:eastAsia="Times New Roman" w:hAnsi="Calibri" w:cs="Calibri"/>
                <w:color w:val="000000" w:themeColor="text1"/>
              </w:rPr>
              <w:t>National Homelessness organizations (</w:t>
            </w:r>
            <w:r>
              <w:rPr>
                <w:rFonts w:ascii="Calibri" w:eastAsia="Times New Roman" w:hAnsi="Calibri" w:cs="Calibri"/>
                <w:color w:val="000000" w:themeColor="text1"/>
              </w:rPr>
              <w:t>e.g.,</w:t>
            </w:r>
            <w:r w:rsidRPr="7A8A7AE2">
              <w:rPr>
                <w:rFonts w:ascii="Calibri" w:eastAsia="Times New Roman" w:hAnsi="Calibri" w:cs="Calibri"/>
                <w:color w:val="000000" w:themeColor="text1"/>
              </w:rPr>
              <w:t xml:space="preserve"> National Health Care for the Homeless Council)</w:t>
            </w:r>
          </w:p>
        </w:tc>
        <w:tc>
          <w:tcPr>
            <w:tcW w:w="4340" w:type="dxa"/>
            <w:tcBorders>
              <w:top w:val="nil"/>
              <w:left w:val="nil"/>
              <w:bottom w:val="single" w:sz="4" w:space="0" w:color="auto"/>
              <w:right w:val="single" w:sz="4" w:space="0" w:color="auto"/>
            </w:tcBorders>
            <w:shd w:val="clear" w:color="auto" w:fill="auto"/>
            <w:vAlign w:val="center"/>
            <w:hideMark/>
          </w:tcPr>
          <w:p w14:paraId="670411E9" w14:textId="77777777" w:rsidR="00C758A2" w:rsidRPr="00E303BE" w:rsidRDefault="00C758A2" w:rsidP="00CA537B">
            <w:pPr>
              <w:spacing w:after="0" w:line="240" w:lineRule="auto"/>
              <w:rPr>
                <w:rFonts w:ascii="Calibri" w:eastAsia="Times New Roman" w:hAnsi="Calibri" w:cs="Calibri"/>
                <w:color w:val="000000"/>
              </w:rPr>
            </w:pPr>
            <w:r w:rsidRPr="7A8A7AE2">
              <w:rPr>
                <w:rFonts w:ascii="Calibri" w:eastAsia="Times New Roman" w:hAnsi="Calibri" w:cs="Calibri"/>
                <w:color w:val="000000" w:themeColor="text1"/>
              </w:rPr>
              <w:t>Large organizations that work across the nation to support CBOs with training, research, and advocacy (</w:t>
            </w:r>
            <w:r>
              <w:rPr>
                <w:rFonts w:ascii="Calibri" w:eastAsia="Times New Roman" w:hAnsi="Calibri" w:cs="Calibri"/>
                <w:color w:val="000000" w:themeColor="text1"/>
              </w:rPr>
              <w:t>e.g.,</w:t>
            </w:r>
            <w:r w:rsidRPr="7A8A7AE2">
              <w:rPr>
                <w:rFonts w:ascii="Calibri" w:eastAsia="Times New Roman" w:hAnsi="Calibri" w:cs="Calibri"/>
                <w:color w:val="000000" w:themeColor="text1"/>
              </w:rPr>
              <w:t xml:space="preserve"> lobbying government for new laws/policies to assist CBOs).</w:t>
            </w:r>
          </w:p>
        </w:tc>
        <w:tc>
          <w:tcPr>
            <w:tcW w:w="1360" w:type="dxa"/>
            <w:tcBorders>
              <w:top w:val="nil"/>
              <w:left w:val="nil"/>
              <w:bottom w:val="single" w:sz="4" w:space="0" w:color="auto"/>
              <w:right w:val="single" w:sz="4" w:space="0" w:color="auto"/>
            </w:tcBorders>
            <w:shd w:val="clear" w:color="auto" w:fill="auto"/>
            <w:vAlign w:val="center"/>
            <w:hideMark/>
          </w:tcPr>
          <w:p w14:paraId="22300A49"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r w:rsidR="00C758A2" w:rsidRPr="00E303BE" w14:paraId="739616D5" w14:textId="77777777" w:rsidTr="00CA537B">
        <w:trPr>
          <w:trHeight w:val="1450"/>
        </w:trPr>
        <w:tc>
          <w:tcPr>
            <w:tcW w:w="4820" w:type="dxa"/>
            <w:tcBorders>
              <w:top w:val="nil"/>
              <w:left w:val="single" w:sz="4" w:space="0" w:color="auto"/>
              <w:bottom w:val="single" w:sz="4" w:space="0" w:color="auto"/>
              <w:right w:val="single" w:sz="4" w:space="0" w:color="auto"/>
            </w:tcBorders>
            <w:shd w:val="clear" w:color="auto" w:fill="auto"/>
            <w:vAlign w:val="center"/>
            <w:hideMark/>
          </w:tcPr>
          <w:p w14:paraId="3F509D0B"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Health Resources and Services Administration (HRSA)</w:t>
            </w:r>
          </w:p>
        </w:tc>
        <w:tc>
          <w:tcPr>
            <w:tcW w:w="4340" w:type="dxa"/>
            <w:tcBorders>
              <w:top w:val="nil"/>
              <w:left w:val="nil"/>
              <w:bottom w:val="single" w:sz="4" w:space="0" w:color="auto"/>
              <w:right w:val="single" w:sz="4" w:space="0" w:color="auto"/>
            </w:tcBorders>
            <w:shd w:val="clear" w:color="auto" w:fill="auto"/>
            <w:vAlign w:val="center"/>
            <w:hideMark/>
          </w:tcPr>
          <w:p w14:paraId="12A58624"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The HIV/AIDS Bureau of HRSA administers the Ryan White HIV/AIDS Program, which provides a comprehensive system of care for people with HIV that CBOs can utilize for their people experiencing homelessness.</w:t>
            </w:r>
          </w:p>
        </w:tc>
        <w:tc>
          <w:tcPr>
            <w:tcW w:w="1360" w:type="dxa"/>
            <w:tcBorders>
              <w:top w:val="nil"/>
              <w:left w:val="nil"/>
              <w:bottom w:val="single" w:sz="4" w:space="0" w:color="auto"/>
              <w:right w:val="single" w:sz="4" w:space="0" w:color="auto"/>
            </w:tcBorders>
            <w:shd w:val="clear" w:color="auto" w:fill="auto"/>
            <w:vAlign w:val="center"/>
            <w:hideMark/>
          </w:tcPr>
          <w:p w14:paraId="7317D011" w14:textId="77777777" w:rsidR="00C758A2" w:rsidRPr="00E303BE" w:rsidRDefault="00C758A2" w:rsidP="00CA537B">
            <w:pPr>
              <w:spacing w:after="0" w:line="240" w:lineRule="auto"/>
              <w:rPr>
                <w:rFonts w:ascii="Calibri" w:eastAsia="Times New Roman" w:hAnsi="Calibri" w:cs="Calibri"/>
                <w:color w:val="000000"/>
              </w:rPr>
            </w:pPr>
            <w:r w:rsidRPr="00E303BE">
              <w:rPr>
                <w:rFonts w:ascii="Calibri" w:eastAsia="Times New Roman" w:hAnsi="Calibri" w:cs="Calibri"/>
                <w:color w:val="000000"/>
              </w:rPr>
              <w:t>National</w:t>
            </w:r>
          </w:p>
        </w:tc>
      </w:tr>
    </w:tbl>
    <w:p w14:paraId="5FF6D08E" w14:textId="77777777" w:rsidR="00C758A2" w:rsidRPr="00B23AFE" w:rsidRDefault="00C758A2" w:rsidP="00C758A2">
      <w:pPr>
        <w:rPr>
          <w:color w:val="0563C1" w:themeColor="hyperlink"/>
          <w:u w:val="single"/>
        </w:rPr>
      </w:pPr>
    </w:p>
    <w:p w14:paraId="1AABB613" w14:textId="77777777" w:rsidR="00C758A2" w:rsidRDefault="00C758A2" w:rsidP="00C758A2">
      <w:pPr>
        <w:rPr>
          <w:sz w:val="16"/>
          <w:szCs w:val="16"/>
        </w:rPr>
        <w:sectPr w:rsidR="00C758A2" w:rsidSect="00E5635B">
          <w:pgSz w:w="12240" w:h="15840" w:code="1"/>
          <w:pgMar w:top="1440" w:right="1440" w:bottom="1440" w:left="1440" w:header="720" w:footer="720" w:gutter="0"/>
          <w:cols w:space="720"/>
          <w:docGrid w:linePitch="360"/>
        </w:sectPr>
      </w:pPr>
    </w:p>
    <w:p w14:paraId="4874AC40" w14:textId="77777777" w:rsidR="00C758A2" w:rsidRDefault="00C758A2" w:rsidP="00C758A2">
      <w:pPr>
        <w:rPr>
          <w:sz w:val="16"/>
          <w:szCs w:val="16"/>
        </w:rPr>
      </w:pPr>
    </w:p>
    <w:tbl>
      <w:tblPr>
        <w:tblW w:w="12280" w:type="dxa"/>
        <w:tblLook w:val="04A0" w:firstRow="1" w:lastRow="0" w:firstColumn="1" w:lastColumn="0" w:noHBand="0" w:noVBand="1"/>
      </w:tblPr>
      <w:tblGrid>
        <w:gridCol w:w="12280"/>
      </w:tblGrid>
      <w:tr w:rsidR="00C758A2" w:rsidRPr="009D7CA8" w14:paraId="2377474D" w14:textId="77777777" w:rsidTr="00CA537B">
        <w:trPr>
          <w:trHeight w:val="580"/>
        </w:trPr>
        <w:tc>
          <w:tcPr>
            <w:tcW w:w="12280" w:type="dxa"/>
            <w:tcBorders>
              <w:top w:val="single" w:sz="4" w:space="0" w:color="auto"/>
              <w:left w:val="single" w:sz="4" w:space="0" w:color="auto"/>
              <w:bottom w:val="single" w:sz="4" w:space="0" w:color="auto"/>
              <w:right w:val="single" w:sz="4" w:space="0" w:color="auto"/>
            </w:tcBorders>
            <w:shd w:val="clear" w:color="auto" w:fill="8EAADB" w:themeFill="accent1" w:themeFillTint="99"/>
            <w:vAlign w:val="bottom"/>
            <w:hideMark/>
          </w:tcPr>
          <w:p w14:paraId="3F00F9AD" w14:textId="77777777" w:rsidR="00C758A2" w:rsidRPr="00F510CC" w:rsidRDefault="00C758A2" w:rsidP="00CA537B">
            <w:pPr>
              <w:spacing w:after="0" w:line="240" w:lineRule="auto"/>
              <w:jc w:val="center"/>
              <w:rPr>
                <w:rFonts w:ascii="Calibri" w:eastAsia="Times New Roman" w:hAnsi="Calibri" w:cs="Calibri"/>
                <w:b/>
                <w:bCs/>
                <w:color w:val="000000"/>
              </w:rPr>
            </w:pPr>
            <w:r w:rsidRPr="00341BB3">
              <w:rPr>
                <w:rFonts w:ascii="Calibri" w:eastAsia="Times New Roman" w:hAnsi="Calibri" w:cs="Calibri"/>
                <w:b/>
                <w:bCs/>
                <w:color w:val="000000"/>
              </w:rPr>
              <w:t xml:space="preserve">Supplemental Table </w:t>
            </w:r>
            <w:r>
              <w:rPr>
                <w:rFonts w:ascii="Calibri" w:eastAsia="Times New Roman" w:hAnsi="Calibri" w:cs="Calibri"/>
                <w:b/>
                <w:bCs/>
                <w:color w:val="000000"/>
              </w:rPr>
              <w:t>3</w:t>
            </w:r>
            <w:r w:rsidRPr="00341BB3">
              <w:rPr>
                <w:rFonts w:ascii="Calibri" w:eastAsia="Times New Roman" w:hAnsi="Calibri" w:cs="Calibri"/>
                <w:b/>
                <w:bCs/>
                <w:color w:val="000000"/>
              </w:rPr>
              <w:t>: Proposed solutions representing valid approaches to existing issues but fall outside of CDC’s scope for direct action</w:t>
            </w:r>
            <w:r>
              <w:rPr>
                <w:rFonts w:ascii="Calibri" w:eastAsia="Times New Roman" w:hAnsi="Calibri" w:cs="Calibri"/>
                <w:b/>
                <w:bCs/>
                <w:color w:val="000000"/>
              </w:rPr>
              <w:t>*</w:t>
            </w:r>
          </w:p>
        </w:tc>
      </w:tr>
      <w:tr w:rsidR="00C758A2" w:rsidRPr="009D7CA8" w14:paraId="7275771D"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FFFFFF" w:themeFill="background1"/>
            <w:noWrap/>
            <w:vAlign w:val="bottom"/>
            <w:hideMark/>
          </w:tcPr>
          <w:p w14:paraId="31F72C91" w14:textId="77777777" w:rsidR="00C758A2" w:rsidRPr="009D7CA8" w:rsidRDefault="00C758A2" w:rsidP="00CA537B">
            <w:pPr>
              <w:spacing w:after="0" w:line="240" w:lineRule="auto"/>
              <w:rPr>
                <w:rFonts w:ascii="Calibri" w:eastAsia="Times New Roman" w:hAnsi="Calibri" w:cs="Calibri"/>
                <w:color w:val="000000"/>
              </w:rPr>
            </w:pPr>
            <w:r w:rsidRPr="009C7D91">
              <w:rPr>
                <w:rFonts w:ascii="Calibri" w:eastAsia="Times New Roman" w:hAnsi="Calibri" w:cs="Calibri"/>
                <w:color w:val="000000"/>
              </w:rPr>
              <w:t>Provision of funds to support non-HUD funded CBOs.</w:t>
            </w:r>
          </w:p>
        </w:tc>
      </w:tr>
      <w:tr w:rsidR="00C758A2" w:rsidRPr="009D7CA8" w14:paraId="5F123FA7"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677578" w14:textId="77777777" w:rsidR="00C758A2" w:rsidRPr="009D7CA8" w:rsidRDefault="00C758A2" w:rsidP="00CA537B">
            <w:pPr>
              <w:spacing w:after="0" w:line="240" w:lineRule="auto"/>
              <w:rPr>
                <w:rFonts w:ascii="Calibri" w:eastAsia="Times New Roman" w:hAnsi="Calibri" w:cs="Calibri"/>
                <w:color w:val="000000"/>
              </w:rPr>
            </w:pPr>
            <w:r w:rsidRPr="00026DDD">
              <w:rPr>
                <w:rFonts w:ascii="Calibri" w:eastAsia="Times New Roman" w:hAnsi="Calibri" w:cs="Calibri"/>
                <w:color w:val="000000"/>
              </w:rPr>
              <w:t>Invest</w:t>
            </w:r>
            <w:r>
              <w:rPr>
                <w:rFonts w:ascii="Calibri" w:eastAsia="Times New Roman" w:hAnsi="Calibri" w:cs="Calibri"/>
                <w:color w:val="000000"/>
              </w:rPr>
              <w:t xml:space="preserve"> </w:t>
            </w:r>
            <w:r w:rsidRPr="00026DDD">
              <w:rPr>
                <w:rFonts w:ascii="Calibri" w:eastAsia="Times New Roman" w:hAnsi="Calibri" w:cs="Calibri"/>
                <w:color w:val="000000"/>
              </w:rPr>
              <w:t>in interoperable systems (e.g., HMIS, electronic health record, housing database) with rigorous privacy considerations.</w:t>
            </w:r>
          </w:p>
        </w:tc>
      </w:tr>
      <w:tr w:rsidR="00C758A2" w:rsidRPr="009D7CA8" w14:paraId="393D9E44"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5A20D94F" w14:textId="77777777" w:rsidR="00C758A2" w:rsidRPr="00026DDD" w:rsidRDefault="00C758A2" w:rsidP="00CA537B">
            <w:pPr>
              <w:spacing w:after="0" w:line="240" w:lineRule="auto"/>
              <w:rPr>
                <w:rFonts w:ascii="Calibri" w:eastAsia="Times New Roman" w:hAnsi="Calibri" w:cs="Calibri"/>
                <w:color w:val="000000"/>
              </w:rPr>
            </w:pPr>
            <w:r w:rsidRPr="002F1EDD">
              <w:rPr>
                <w:rFonts w:ascii="Calibri" w:eastAsia="Times New Roman" w:hAnsi="Calibri" w:cs="Calibri"/>
                <w:color w:val="000000"/>
              </w:rPr>
              <w:t>Increase information technology-focused grant funding for data modernization.</w:t>
            </w:r>
          </w:p>
        </w:tc>
      </w:tr>
      <w:tr w:rsidR="00C758A2" w:rsidRPr="009D7CA8" w14:paraId="2D73C825"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0BED6621" w14:textId="77777777" w:rsidR="00C758A2" w:rsidRPr="00026DDD" w:rsidRDefault="00C758A2" w:rsidP="00CA537B">
            <w:pPr>
              <w:spacing w:after="0" w:line="240" w:lineRule="auto"/>
              <w:rPr>
                <w:rFonts w:ascii="Calibri" w:eastAsia="Times New Roman" w:hAnsi="Calibri" w:cs="Calibri"/>
                <w:color w:val="000000"/>
              </w:rPr>
            </w:pPr>
            <w:r>
              <w:rPr>
                <w:rFonts w:ascii="Calibri" w:eastAsia="Times New Roman" w:hAnsi="Calibri" w:cs="Calibri"/>
                <w:color w:val="000000"/>
              </w:rPr>
              <w:t>Identify a</w:t>
            </w:r>
            <w:r w:rsidRPr="00804A3C">
              <w:rPr>
                <w:rFonts w:ascii="Calibri" w:eastAsia="Times New Roman" w:hAnsi="Calibri" w:cs="Calibri"/>
                <w:color w:val="000000"/>
              </w:rPr>
              <w:t xml:space="preserve"> unified system provider </w:t>
            </w:r>
            <w:r>
              <w:rPr>
                <w:rFonts w:ascii="Calibri" w:eastAsia="Times New Roman" w:hAnsi="Calibri" w:cs="Calibri"/>
                <w:color w:val="000000"/>
              </w:rPr>
              <w:t xml:space="preserve">that </w:t>
            </w:r>
            <w:r w:rsidRPr="00804A3C">
              <w:rPr>
                <w:rFonts w:ascii="Calibri" w:eastAsia="Times New Roman" w:hAnsi="Calibri" w:cs="Calibri"/>
                <w:color w:val="000000"/>
              </w:rPr>
              <w:t>reduces friction in training and operation.</w:t>
            </w:r>
          </w:p>
        </w:tc>
      </w:tr>
      <w:tr w:rsidR="00C758A2" w:rsidRPr="009D7CA8" w14:paraId="0DDE7A22"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D20A35" w14:textId="77777777" w:rsidR="00C758A2" w:rsidRPr="00026DDD" w:rsidRDefault="00C758A2" w:rsidP="00CA537B">
            <w:pPr>
              <w:spacing w:after="0" w:line="240" w:lineRule="auto"/>
              <w:rPr>
                <w:rFonts w:ascii="Calibri" w:eastAsia="Times New Roman" w:hAnsi="Calibri" w:cs="Calibri"/>
                <w:color w:val="000000"/>
              </w:rPr>
            </w:pPr>
            <w:r>
              <w:rPr>
                <w:rFonts w:ascii="Calibri" w:eastAsia="Times New Roman" w:hAnsi="Calibri" w:cs="Calibri"/>
                <w:color w:val="000000"/>
              </w:rPr>
              <w:t>Define a</w:t>
            </w:r>
            <w:r w:rsidRPr="009B3F4E">
              <w:rPr>
                <w:rFonts w:ascii="Calibri" w:eastAsia="Times New Roman" w:hAnsi="Calibri" w:cs="Calibri"/>
                <w:color w:val="000000"/>
              </w:rPr>
              <w:t xml:space="preserve"> threshold level of compatibility or interoperability between mandated reporting systems and CBO’s existing infrastructure.</w:t>
            </w:r>
          </w:p>
        </w:tc>
      </w:tr>
      <w:tr w:rsidR="00C758A2" w:rsidRPr="009D7CA8" w14:paraId="40C6E5B1"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B002CE4" w14:textId="77777777" w:rsidR="00C758A2" w:rsidRPr="009B3F4E" w:rsidRDefault="00C758A2" w:rsidP="00CA537B">
            <w:pPr>
              <w:spacing w:after="0" w:line="240" w:lineRule="auto"/>
              <w:rPr>
                <w:rFonts w:ascii="Calibri" w:eastAsia="Times New Roman" w:hAnsi="Calibri" w:cs="Calibri"/>
                <w:color w:val="000000"/>
              </w:rPr>
            </w:pPr>
            <w:r w:rsidRPr="00006F96">
              <w:rPr>
                <w:rFonts w:ascii="Calibri" w:eastAsia="Times New Roman" w:hAnsi="Calibri" w:cs="Calibri"/>
                <w:color w:val="000000"/>
              </w:rPr>
              <w:t>Provi</w:t>
            </w:r>
            <w:r>
              <w:rPr>
                <w:rFonts w:ascii="Calibri" w:eastAsia="Times New Roman" w:hAnsi="Calibri" w:cs="Calibri"/>
                <w:color w:val="000000"/>
              </w:rPr>
              <w:t>de</w:t>
            </w:r>
            <w:r w:rsidRPr="00006F96">
              <w:rPr>
                <w:rFonts w:ascii="Calibri" w:eastAsia="Times New Roman" w:hAnsi="Calibri" w:cs="Calibri"/>
                <w:color w:val="000000"/>
              </w:rPr>
              <w:t xml:space="preserve"> and/or facilitat</w:t>
            </w:r>
            <w:r>
              <w:rPr>
                <w:rFonts w:ascii="Calibri" w:eastAsia="Times New Roman" w:hAnsi="Calibri" w:cs="Calibri"/>
                <w:color w:val="000000"/>
              </w:rPr>
              <w:t>e</w:t>
            </w:r>
            <w:r w:rsidRPr="00006F96">
              <w:rPr>
                <w:rFonts w:ascii="Calibri" w:eastAsia="Times New Roman" w:hAnsi="Calibri" w:cs="Calibri"/>
                <w:color w:val="000000"/>
              </w:rPr>
              <w:t xml:space="preserve"> quality hardware and software to grantees.</w:t>
            </w:r>
          </w:p>
        </w:tc>
      </w:tr>
      <w:tr w:rsidR="00C758A2" w:rsidRPr="009D7CA8" w14:paraId="6122697F" w14:textId="77777777" w:rsidTr="00CA537B">
        <w:trPr>
          <w:trHeight w:val="290"/>
        </w:trPr>
        <w:tc>
          <w:tcPr>
            <w:tcW w:w="12280" w:type="dxa"/>
            <w:tcBorders>
              <w:top w:val="single" w:sz="4" w:space="0" w:color="auto"/>
              <w:left w:val="single" w:sz="4" w:space="0" w:color="auto"/>
              <w:bottom w:val="single" w:sz="4" w:space="0" w:color="auto"/>
              <w:right w:val="single" w:sz="4" w:space="0" w:color="auto"/>
            </w:tcBorders>
            <w:shd w:val="clear" w:color="auto" w:fill="auto"/>
            <w:noWrap/>
            <w:vAlign w:val="bottom"/>
          </w:tcPr>
          <w:p w14:paraId="2966A05A" w14:textId="77777777" w:rsidR="00C758A2" w:rsidRPr="009B3F4E" w:rsidRDefault="00C758A2" w:rsidP="00CA537B">
            <w:pPr>
              <w:spacing w:after="0" w:line="240" w:lineRule="auto"/>
              <w:rPr>
                <w:rFonts w:ascii="Calibri" w:eastAsia="Times New Roman" w:hAnsi="Calibri" w:cs="Calibri"/>
                <w:color w:val="000000"/>
              </w:rPr>
            </w:pPr>
            <w:r w:rsidRPr="002E35B8">
              <w:rPr>
                <w:rFonts w:ascii="Calibri" w:eastAsia="Times New Roman" w:hAnsi="Calibri" w:cs="Calibri"/>
                <w:color w:val="000000"/>
              </w:rPr>
              <w:t>Provi</w:t>
            </w:r>
            <w:r>
              <w:rPr>
                <w:rFonts w:ascii="Calibri" w:eastAsia="Times New Roman" w:hAnsi="Calibri" w:cs="Calibri"/>
                <w:color w:val="000000"/>
              </w:rPr>
              <w:t>de</w:t>
            </w:r>
            <w:r w:rsidRPr="002E35B8">
              <w:rPr>
                <w:rFonts w:ascii="Calibri" w:eastAsia="Times New Roman" w:hAnsi="Calibri" w:cs="Calibri"/>
                <w:color w:val="000000"/>
              </w:rPr>
              <w:t xml:space="preserve"> additional funds to CBOs equal to administrative costs for data collection, or study cost-effectiveness of utilizing such funds.</w:t>
            </w:r>
          </w:p>
        </w:tc>
      </w:tr>
      <w:tr w:rsidR="00C758A2" w:rsidRPr="009D7CA8" w14:paraId="34C1CA77" w14:textId="77777777" w:rsidTr="00CA537B">
        <w:trPr>
          <w:trHeight w:val="75"/>
        </w:trPr>
        <w:tc>
          <w:tcPr>
            <w:tcW w:w="12280" w:type="dxa"/>
            <w:tcBorders>
              <w:top w:val="single" w:sz="4" w:space="0" w:color="auto"/>
            </w:tcBorders>
            <w:shd w:val="clear" w:color="auto" w:fill="auto"/>
            <w:noWrap/>
            <w:vAlign w:val="bottom"/>
          </w:tcPr>
          <w:p w14:paraId="00360DF3" w14:textId="77777777" w:rsidR="00C758A2" w:rsidRPr="002E35B8" w:rsidRDefault="00C758A2" w:rsidP="00CA537B">
            <w:pPr>
              <w:spacing w:after="0" w:line="240" w:lineRule="auto"/>
              <w:rPr>
                <w:rFonts w:ascii="Calibri" w:eastAsia="Times New Roman" w:hAnsi="Calibri" w:cs="Calibri"/>
                <w:color w:val="000000"/>
              </w:rPr>
            </w:pPr>
            <w:r>
              <w:rPr>
                <w:rFonts w:ascii="Calibri" w:eastAsia="Times New Roman" w:hAnsi="Calibri" w:cs="Calibri"/>
                <w:color w:val="000000"/>
              </w:rPr>
              <w:t xml:space="preserve">*These approaches are provided to bring create discussion and consideration between CDC and their partners whose scope of work better address these issues, as CDC cannot address these issues without partners’ support. </w:t>
            </w:r>
          </w:p>
        </w:tc>
      </w:tr>
    </w:tbl>
    <w:p w14:paraId="4F268DD6" w14:textId="77777777" w:rsidR="00F5456F" w:rsidRDefault="00F5456F"/>
    <w:sectPr w:rsidR="00F5456F" w:rsidSect="00C758A2">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4A72FB" w14:textId="77777777" w:rsidR="006638BB" w:rsidRDefault="006638BB" w:rsidP="00492D7A">
      <w:pPr>
        <w:spacing w:after="0" w:line="240" w:lineRule="auto"/>
      </w:pPr>
      <w:r>
        <w:separator/>
      </w:r>
    </w:p>
  </w:endnote>
  <w:endnote w:type="continuationSeparator" w:id="0">
    <w:p w14:paraId="6784687E" w14:textId="77777777" w:rsidR="006638BB" w:rsidRDefault="006638BB" w:rsidP="00492D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7B2583" w14:textId="77777777" w:rsidR="006638BB" w:rsidRDefault="006638BB" w:rsidP="00492D7A">
      <w:pPr>
        <w:spacing w:after="0" w:line="240" w:lineRule="auto"/>
      </w:pPr>
      <w:r>
        <w:separator/>
      </w:r>
    </w:p>
  </w:footnote>
  <w:footnote w:type="continuationSeparator" w:id="0">
    <w:p w14:paraId="4A41D6C4" w14:textId="77777777" w:rsidR="006638BB" w:rsidRDefault="006638BB" w:rsidP="00492D7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58A2"/>
    <w:rsid w:val="00075227"/>
    <w:rsid w:val="00093B01"/>
    <w:rsid w:val="0009774B"/>
    <w:rsid w:val="000978D9"/>
    <w:rsid w:val="000D0081"/>
    <w:rsid w:val="00142F43"/>
    <w:rsid w:val="001E5A34"/>
    <w:rsid w:val="00202A4C"/>
    <w:rsid w:val="00205E42"/>
    <w:rsid w:val="002E0717"/>
    <w:rsid w:val="00320709"/>
    <w:rsid w:val="00351EA0"/>
    <w:rsid w:val="00360DEB"/>
    <w:rsid w:val="00384610"/>
    <w:rsid w:val="003C409E"/>
    <w:rsid w:val="003D246B"/>
    <w:rsid w:val="00406271"/>
    <w:rsid w:val="00406D74"/>
    <w:rsid w:val="004249C8"/>
    <w:rsid w:val="00452F37"/>
    <w:rsid w:val="00492D7A"/>
    <w:rsid w:val="004C26CD"/>
    <w:rsid w:val="004D33A6"/>
    <w:rsid w:val="00564B52"/>
    <w:rsid w:val="00596D94"/>
    <w:rsid w:val="00597BCD"/>
    <w:rsid w:val="0066109F"/>
    <w:rsid w:val="006638BB"/>
    <w:rsid w:val="006647A5"/>
    <w:rsid w:val="0067367F"/>
    <w:rsid w:val="00674360"/>
    <w:rsid w:val="00681BB0"/>
    <w:rsid w:val="006A4D88"/>
    <w:rsid w:val="006C18C5"/>
    <w:rsid w:val="00745538"/>
    <w:rsid w:val="007C4389"/>
    <w:rsid w:val="008466A8"/>
    <w:rsid w:val="008C60A8"/>
    <w:rsid w:val="00916F3C"/>
    <w:rsid w:val="0093179D"/>
    <w:rsid w:val="009408F9"/>
    <w:rsid w:val="00960B70"/>
    <w:rsid w:val="00986E85"/>
    <w:rsid w:val="00993EDF"/>
    <w:rsid w:val="009B3C9B"/>
    <w:rsid w:val="00A54EEA"/>
    <w:rsid w:val="00A875B0"/>
    <w:rsid w:val="00AE1F34"/>
    <w:rsid w:val="00B44BE8"/>
    <w:rsid w:val="00B71A8F"/>
    <w:rsid w:val="00C15B98"/>
    <w:rsid w:val="00C3645C"/>
    <w:rsid w:val="00C4627A"/>
    <w:rsid w:val="00C758A2"/>
    <w:rsid w:val="00C76983"/>
    <w:rsid w:val="00CB04E9"/>
    <w:rsid w:val="00CE3AE9"/>
    <w:rsid w:val="00CE79E6"/>
    <w:rsid w:val="00DF08E0"/>
    <w:rsid w:val="00E01D9C"/>
    <w:rsid w:val="00E61EC7"/>
    <w:rsid w:val="00E6479F"/>
    <w:rsid w:val="00E87181"/>
    <w:rsid w:val="00EA2C30"/>
    <w:rsid w:val="00EC1BED"/>
    <w:rsid w:val="00ED028C"/>
    <w:rsid w:val="00ED1410"/>
    <w:rsid w:val="00F5456F"/>
    <w:rsid w:val="00FA52D0"/>
    <w:rsid w:val="00FA74D2"/>
    <w:rsid w:val="00FC5D1C"/>
    <w:rsid w:val="00FC7412"/>
    <w:rsid w:val="00FE0C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391BB5A"/>
  <w15:chartTrackingRefBased/>
  <w15:docId w15:val="{FC0858D8-ABE6-B44F-B6A3-AE83A35C3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58A2"/>
    <w:pPr>
      <w:spacing w:after="160" w:line="259" w:lineRule="auto"/>
    </w:pPr>
    <w:rPr>
      <w:kern w:val="0"/>
      <w:sz w:val="22"/>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2D7A"/>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2D7A"/>
    <w:rPr>
      <w:kern w:val="0"/>
      <w:sz w:val="22"/>
      <w:szCs w:val="22"/>
      <w14:ligatures w14:val="none"/>
    </w:rPr>
  </w:style>
  <w:style w:type="paragraph" w:styleId="Footer">
    <w:name w:val="footer"/>
    <w:basedOn w:val="Normal"/>
    <w:link w:val="FooterChar"/>
    <w:uiPriority w:val="99"/>
    <w:unhideWhenUsed/>
    <w:rsid w:val="00492D7A"/>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2D7A"/>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1372</Words>
  <Characters>7825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Schoonveld, Megan M</dc:creator>
  <cp:keywords/>
  <dc:description/>
  <cp:lastModifiedBy>Schoonveld, Megan M</cp:lastModifiedBy>
  <cp:revision>3</cp:revision>
  <dcterms:created xsi:type="dcterms:W3CDTF">2023-10-12T21:06:00Z</dcterms:created>
  <dcterms:modified xsi:type="dcterms:W3CDTF">2023-10-16T15:33:00Z</dcterms:modified>
</cp:coreProperties>
</file>