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7E9AD" w14:textId="54FEB3EF" w:rsidR="005A0D77" w:rsidRDefault="005A0D77" w:rsidP="00875F57">
      <w:pPr>
        <w:spacing w:beforeLines="50" w:before="156" w:line="480" w:lineRule="auto"/>
        <w:jc w:val="both"/>
        <w:rPr>
          <w:b/>
        </w:rPr>
      </w:pPr>
      <w:r>
        <w:rPr>
          <w:b/>
          <w:noProof/>
        </w:rPr>
        <w:drawing>
          <wp:inline distT="0" distB="0" distL="0" distR="0" wp14:anchorId="4A49C73E" wp14:editId="5BD4FDD2">
            <wp:extent cx="5727700" cy="62266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16"/>
                    <a:stretch/>
                  </pic:blipFill>
                  <pic:spPr bwMode="auto">
                    <a:xfrm>
                      <a:off x="0" y="0"/>
                      <a:ext cx="5727700" cy="6226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0DE374" w14:textId="693AAB3B" w:rsidR="00875F57" w:rsidRPr="00451A0B" w:rsidRDefault="00875F57" w:rsidP="00875F57">
      <w:pPr>
        <w:spacing w:beforeLines="50" w:before="156" w:line="480" w:lineRule="auto"/>
        <w:jc w:val="both"/>
        <w:rPr>
          <w:b/>
        </w:rPr>
      </w:pPr>
      <w:r w:rsidRPr="00451A0B">
        <w:rPr>
          <w:b/>
        </w:rPr>
        <w:t>Figure S1.</w:t>
      </w:r>
      <w:r w:rsidRPr="00D77C99">
        <w:t xml:space="preserve"> </w:t>
      </w:r>
      <w:r w:rsidRPr="00451A0B">
        <w:rPr>
          <w:b/>
        </w:rPr>
        <w:t xml:space="preserve">Primer design for plant DNA-free amplification of bacterial 16S. A. </w:t>
      </w:r>
      <w:r w:rsidRPr="00451A0B">
        <w:t xml:space="preserve">Bacterial species whose 16S regions were aligned to design sequencing primers. </w:t>
      </w:r>
      <w:r w:rsidRPr="00451A0B">
        <w:rPr>
          <w:b/>
        </w:rPr>
        <w:t xml:space="preserve">B. </w:t>
      </w:r>
      <w:r w:rsidRPr="00D77C99">
        <w:t xml:space="preserve">Alignment of designed primers and bacterial 16S, plant Mt18S, and Ct16S sequences. Arrows indicate bases that mismatch to plant Mt18S or Ct16S. Red arrow(s) indicate mismatched base or </w:t>
      </w:r>
      <w:r w:rsidRPr="00451A0B">
        <w:t>adjacent</w:t>
      </w:r>
      <w:r w:rsidRPr="00D77C99">
        <w:t xml:space="preserve"> mismatches located at 3′ end. H=A/T/C, V=G/A/C, W=A/T, R=A/G, M=A/C, K=G/T, Y=C/T.</w:t>
      </w:r>
    </w:p>
    <w:p w14:paraId="7ADBAC15" w14:textId="7513DD41" w:rsidR="00875F57" w:rsidRPr="00D77C99" w:rsidRDefault="005A0D77" w:rsidP="00875F57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161C058B" wp14:editId="2BF6402B">
            <wp:extent cx="5727700" cy="477882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pd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69"/>
                    <a:stretch/>
                  </pic:blipFill>
                  <pic:spPr bwMode="auto">
                    <a:xfrm>
                      <a:off x="0" y="0"/>
                      <a:ext cx="5727700" cy="4778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65A4C1" w14:textId="77777777" w:rsidR="00875F57" w:rsidRPr="00D77C99" w:rsidRDefault="00875F57" w:rsidP="00875F57">
      <w:pPr>
        <w:spacing w:line="480" w:lineRule="auto"/>
        <w:jc w:val="both"/>
        <w:rPr>
          <w:b/>
        </w:rPr>
      </w:pPr>
      <w:r w:rsidRPr="00D77C99">
        <w:rPr>
          <w:b/>
        </w:rPr>
        <w:t xml:space="preserve">Figure S2. Differences in detection of phylum </w:t>
      </w:r>
      <w:proofErr w:type="spellStart"/>
      <w:r w:rsidRPr="00D77C99">
        <w:rPr>
          <w:b/>
        </w:rPr>
        <w:t>Chloroflexi</w:t>
      </w:r>
      <w:proofErr w:type="spellEnd"/>
      <w:r w:rsidRPr="00D77C99">
        <w:rPr>
          <w:b/>
        </w:rPr>
        <w:t xml:space="preserve"> among four primer pairs.</w:t>
      </w:r>
      <w:r w:rsidRPr="00D77C99">
        <w:rPr>
          <w:b/>
          <w:bCs/>
        </w:rPr>
        <w:t xml:space="preserve"> A. </w:t>
      </w:r>
      <w:r>
        <w:rPr>
          <w:bCs/>
        </w:rPr>
        <w:t>Number of</w:t>
      </w:r>
      <w:r w:rsidRPr="00D77C99">
        <w:rPr>
          <w:bCs/>
        </w:rPr>
        <w:t xml:space="preserve"> </w:t>
      </w:r>
      <w:proofErr w:type="spellStart"/>
      <w:r w:rsidRPr="00D77C99">
        <w:rPr>
          <w:bCs/>
        </w:rPr>
        <w:t>Chloroflexi</w:t>
      </w:r>
      <w:proofErr w:type="spellEnd"/>
      <w:r w:rsidRPr="00D77C99">
        <w:rPr>
          <w:bCs/>
        </w:rPr>
        <w:t xml:space="preserve"> </w:t>
      </w:r>
      <w:r>
        <w:rPr>
          <w:bCs/>
        </w:rPr>
        <w:t xml:space="preserve">sequences </w:t>
      </w:r>
      <w:r w:rsidRPr="00D77C99">
        <w:rPr>
          <w:bCs/>
        </w:rPr>
        <w:t xml:space="preserve">amplified by four primer pairs. </w:t>
      </w:r>
      <w:r w:rsidRPr="00D77C99">
        <w:rPr>
          <w:b/>
          <w:bCs/>
        </w:rPr>
        <w:t>B–D.</w:t>
      </w:r>
      <w:r w:rsidRPr="00D77C99">
        <w:rPr>
          <w:bCs/>
        </w:rPr>
        <w:t xml:space="preserve"> Community composition of </w:t>
      </w:r>
      <w:proofErr w:type="spellStart"/>
      <w:r w:rsidRPr="00D77C99">
        <w:rPr>
          <w:bCs/>
        </w:rPr>
        <w:t>Chloroflexi</w:t>
      </w:r>
      <w:proofErr w:type="spellEnd"/>
      <w:r w:rsidRPr="00D77C99">
        <w:t xml:space="preserve"> deciphered by </w:t>
      </w:r>
      <w:r w:rsidRPr="00D77C99">
        <w:rPr>
          <w:bCs/>
        </w:rPr>
        <w:t>four primer pairs</w:t>
      </w:r>
      <w:r w:rsidRPr="00D77C99">
        <w:t xml:space="preserve"> at class (B), order (C) and family (D) levels. Taxa with relative abundance &gt;1% are shown. Arrows indicate taxa that were differentially amplified by the four primer sets.</w:t>
      </w:r>
    </w:p>
    <w:p w14:paraId="4E6E5528" w14:textId="2C9E4E2E" w:rsidR="00875F57" w:rsidRPr="00D77C99" w:rsidRDefault="005A0D77" w:rsidP="00875F57">
      <w:pPr>
        <w:spacing w:line="480" w:lineRule="auto"/>
        <w:jc w:val="both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 wp14:anchorId="5029F48E" wp14:editId="22A407C1">
            <wp:extent cx="5727700" cy="4441372"/>
            <wp:effectExtent l="0" t="0" r="0" b="3810"/>
            <wp:docPr id="3" name="Picture 3" descr="A large clock mounted to the s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pd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449"/>
                    <a:stretch/>
                  </pic:blipFill>
                  <pic:spPr bwMode="auto">
                    <a:xfrm>
                      <a:off x="0" y="0"/>
                      <a:ext cx="5727700" cy="4441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C5BF96" w14:textId="794D936B" w:rsidR="00875F57" w:rsidRPr="00D77C99" w:rsidRDefault="00875F57" w:rsidP="00875F57">
      <w:pPr>
        <w:spacing w:line="480" w:lineRule="auto"/>
        <w:jc w:val="both"/>
      </w:pPr>
      <w:r w:rsidRPr="00D77C99">
        <w:rPr>
          <w:b/>
        </w:rPr>
        <w:t xml:space="preserve">Figure S3. </w:t>
      </w:r>
      <w:r w:rsidRPr="001231D6">
        <w:rPr>
          <w:rFonts w:eastAsia="SimSun"/>
          <w:b/>
          <w:bCs/>
          <w:color w:val="000000" w:themeColor="text1"/>
        </w:rPr>
        <w:t>Composition of rice root and leaf endo-bacteriomes at the genus level</w:t>
      </w:r>
      <w:r w:rsidRPr="001231D6">
        <w:rPr>
          <w:b/>
          <w:bCs/>
        </w:rPr>
        <w:t>.</w:t>
      </w:r>
      <w:r w:rsidRPr="00451A0B">
        <w:rPr>
          <w:b/>
        </w:rPr>
        <w:t xml:space="preserve"> </w:t>
      </w:r>
      <w:r w:rsidRPr="00D77C99">
        <w:t xml:space="preserve">Composition of endo-bacteriomes at genus level </w:t>
      </w:r>
      <w:r>
        <w:t>as determined using</w:t>
      </w:r>
      <w:r w:rsidRPr="00D77C99">
        <w:t xml:space="preserve"> 322F-796R (A) and 799F-1107R (B). Genera with relative abundance &gt;0.5% are shown.</w:t>
      </w:r>
      <w:r w:rsidR="005A0D77">
        <w:t xml:space="preserve">  </w:t>
      </w:r>
    </w:p>
    <w:p w14:paraId="3253D873" w14:textId="3F342C7D" w:rsidR="00875F57" w:rsidRPr="00D77C99" w:rsidRDefault="00217611" w:rsidP="00875F57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4F9B80FD" wp14:editId="69DDB68E">
            <wp:extent cx="5727700" cy="53896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4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431"/>
                    <a:stretch/>
                  </pic:blipFill>
                  <pic:spPr bwMode="auto">
                    <a:xfrm>
                      <a:off x="0" y="0"/>
                      <a:ext cx="5727700" cy="5389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A39076" w14:textId="77777777" w:rsidR="00875F57" w:rsidRPr="00D77C99" w:rsidRDefault="00875F57" w:rsidP="00875F57">
      <w:pPr>
        <w:spacing w:line="480" w:lineRule="auto"/>
        <w:jc w:val="both"/>
      </w:pPr>
      <w:r w:rsidRPr="00D77C99">
        <w:rPr>
          <w:b/>
        </w:rPr>
        <w:t xml:space="preserve">Figure S4. Endophytic leaf </w:t>
      </w:r>
      <w:r>
        <w:rPr>
          <w:b/>
        </w:rPr>
        <w:t>and</w:t>
      </w:r>
      <w:r w:rsidRPr="00D77C99">
        <w:rPr>
          <w:b/>
        </w:rPr>
        <w:t xml:space="preserve"> root bacteriome</w:t>
      </w:r>
      <w:r>
        <w:rPr>
          <w:b/>
        </w:rPr>
        <w:t>s</w:t>
      </w:r>
      <w:r w:rsidRPr="00D77C99">
        <w:rPr>
          <w:b/>
        </w:rPr>
        <w:t xml:space="preserve"> </w:t>
      </w:r>
      <w:r>
        <w:rPr>
          <w:b/>
        </w:rPr>
        <w:t>as determined using</w:t>
      </w:r>
      <w:r w:rsidRPr="00D77C99">
        <w:rPr>
          <w:b/>
        </w:rPr>
        <w:t xml:space="preserve"> 322F/796R and 799F/1107R. A&amp;B.</w:t>
      </w:r>
      <w:r w:rsidRPr="00D77C99">
        <w:t xml:space="preserve"> Relative abundances (Mt18S removed) d</w:t>
      </w:r>
      <w:r>
        <w:t>etermined</w:t>
      </w:r>
      <w:r w:rsidRPr="00D77C99">
        <w:t xml:space="preserve"> using two different primer sets. A. Results at phylum level. B. Results at family level. Taxa with relative abundance &gt;0.5% are shown. </w:t>
      </w:r>
      <w:r w:rsidRPr="00D77C99">
        <w:rPr>
          <w:b/>
        </w:rPr>
        <w:t>C.</w:t>
      </w:r>
      <w:r w:rsidRPr="00D77C99">
        <w:t xml:space="preserve"> Wilcoxon rank-sum test bar plot at phylum or family levels. *, p&lt;0.05, **, p&lt;0.01. R and L, root and leaf endo-bacteriome, respectively.</w:t>
      </w:r>
    </w:p>
    <w:p w14:paraId="7EE9F327" w14:textId="7E27ECC7" w:rsidR="00875F57" w:rsidRPr="00D77C99" w:rsidRDefault="005A0D77" w:rsidP="00875F57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5CB388A6" wp14:editId="107235FB">
            <wp:extent cx="5727700" cy="5410200"/>
            <wp:effectExtent l="0" t="0" r="0" b="0"/>
            <wp:docPr id="5" name="Picture 5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.pd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40"/>
                    <a:stretch/>
                  </pic:blipFill>
                  <pic:spPr bwMode="auto">
                    <a:xfrm>
                      <a:off x="0" y="0"/>
                      <a:ext cx="5727700" cy="541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221BC5" w14:textId="77777777" w:rsidR="00875F57" w:rsidRPr="00D77C99" w:rsidRDefault="00875F57" w:rsidP="00875F57">
      <w:pPr>
        <w:spacing w:line="480" w:lineRule="auto"/>
        <w:jc w:val="both"/>
        <w:rPr>
          <w:b/>
        </w:rPr>
      </w:pPr>
      <w:r w:rsidRPr="00D77C99">
        <w:rPr>
          <w:b/>
        </w:rPr>
        <w:t xml:space="preserve">Figure S5. Experimental comparison of 322F/796R and </w:t>
      </w:r>
      <w:r w:rsidRPr="00D77C99">
        <w:rPr>
          <w:b/>
          <w:bCs/>
        </w:rPr>
        <w:t>322F-Dr/796Rs</w:t>
      </w:r>
      <w:r w:rsidRPr="00D77C99">
        <w:rPr>
          <w:b/>
        </w:rPr>
        <w:t xml:space="preserve"> </w:t>
      </w:r>
      <w:r>
        <w:rPr>
          <w:b/>
        </w:rPr>
        <w:t>using</w:t>
      </w:r>
      <w:r w:rsidRPr="00D77C99">
        <w:rPr>
          <w:b/>
        </w:rPr>
        <w:t xml:space="preserve"> planting soil microbiota. A–-C. </w:t>
      </w:r>
      <w:r w:rsidRPr="00D77C99">
        <w:t xml:space="preserve">Venn diagrams at </w:t>
      </w:r>
      <w:r w:rsidRPr="00451A0B">
        <w:rPr>
          <w:rFonts w:eastAsia="SimSun"/>
        </w:rPr>
        <w:t>OTU (A), genus (B), and phylum (C) levels. Different colors represent different primer set groups. Overlaps represent common taxa between groups; non-overlapping portions represent unique taxa in each group.</w:t>
      </w:r>
      <w:r w:rsidRPr="00D77C99">
        <w:t xml:space="preserve"> </w:t>
      </w:r>
      <w:r w:rsidRPr="00D77C99">
        <w:rPr>
          <w:b/>
        </w:rPr>
        <w:t xml:space="preserve">D–E. </w:t>
      </w:r>
      <w:r w:rsidRPr="00D77C99">
        <w:t xml:space="preserve">Alpha diversity indices of different groups (322F-796R and 322F-Dr/796Rs) at OTU level. Each set of sample-type data was calculated from three repeats. </w:t>
      </w:r>
      <w:r w:rsidRPr="00D77C99">
        <w:rPr>
          <w:b/>
        </w:rPr>
        <w:t>F.</w:t>
      </w:r>
      <w:r w:rsidRPr="00D77C99">
        <w:t xml:space="preserve"> PCA s</w:t>
      </w:r>
      <w:r w:rsidRPr="00D77C99">
        <w:rPr>
          <w:rFonts w:eastAsia="SimSun"/>
        </w:rPr>
        <w:t xml:space="preserve">howing that all five different primer sets, when applied to the same planting soil sample (three samples were sequenced), </w:t>
      </w:r>
      <w:r w:rsidRPr="00D77C99">
        <w:rPr>
          <w:rFonts w:eastAsia="SimSun"/>
        </w:rPr>
        <w:lastRenderedPageBreak/>
        <w:t>generate</w:t>
      </w:r>
      <w:r>
        <w:rPr>
          <w:rFonts w:eastAsia="SimSun"/>
        </w:rPr>
        <w:t>d</w:t>
      </w:r>
      <w:r w:rsidRPr="00D77C99">
        <w:rPr>
          <w:rFonts w:eastAsia="SimSun"/>
        </w:rPr>
        <w:t xml:space="preserve"> similar </w:t>
      </w:r>
      <w:r>
        <w:rPr>
          <w:rFonts w:eastAsia="SimSun"/>
        </w:rPr>
        <w:t xml:space="preserve">results for </w:t>
      </w:r>
      <w:r w:rsidRPr="00D77C99">
        <w:rPr>
          <w:rFonts w:eastAsia="SimSun"/>
        </w:rPr>
        <w:t xml:space="preserve">microbial community structure. </w:t>
      </w:r>
      <w:r w:rsidRPr="00D77C99">
        <w:t xml:space="preserve">G, 322F/796R; A, 322F-A/796R; T, 322F-T/796R; C, 322F-C/796R; H, 322F-H/796R. </w:t>
      </w:r>
    </w:p>
    <w:p w14:paraId="5FF66B8B" w14:textId="77777777" w:rsidR="00C83565" w:rsidRDefault="00C83565"/>
    <w:sectPr w:rsidR="00C83565" w:rsidSect="007443BB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F57"/>
    <w:rsid w:val="00074F44"/>
    <w:rsid w:val="000D7950"/>
    <w:rsid w:val="000F0BAE"/>
    <w:rsid w:val="001A5768"/>
    <w:rsid w:val="001D413C"/>
    <w:rsid w:val="00217611"/>
    <w:rsid w:val="00277BC6"/>
    <w:rsid w:val="002B3B12"/>
    <w:rsid w:val="00305469"/>
    <w:rsid w:val="00324B33"/>
    <w:rsid w:val="003714BF"/>
    <w:rsid w:val="0037279E"/>
    <w:rsid w:val="003A3267"/>
    <w:rsid w:val="003A5F1E"/>
    <w:rsid w:val="00453DB1"/>
    <w:rsid w:val="004C6B36"/>
    <w:rsid w:val="004F6B38"/>
    <w:rsid w:val="00504C84"/>
    <w:rsid w:val="005104FF"/>
    <w:rsid w:val="00534D4C"/>
    <w:rsid w:val="005A0D77"/>
    <w:rsid w:val="005A3623"/>
    <w:rsid w:val="005A5A78"/>
    <w:rsid w:val="005B5FF9"/>
    <w:rsid w:val="005B762E"/>
    <w:rsid w:val="00634724"/>
    <w:rsid w:val="006601C9"/>
    <w:rsid w:val="00663B09"/>
    <w:rsid w:val="00670380"/>
    <w:rsid w:val="006A2038"/>
    <w:rsid w:val="006E0BB9"/>
    <w:rsid w:val="006F3C95"/>
    <w:rsid w:val="0073114F"/>
    <w:rsid w:val="00734D01"/>
    <w:rsid w:val="007443BB"/>
    <w:rsid w:val="007906CD"/>
    <w:rsid w:val="00793C6D"/>
    <w:rsid w:val="00796589"/>
    <w:rsid w:val="007A2C4D"/>
    <w:rsid w:val="007E657C"/>
    <w:rsid w:val="0084562D"/>
    <w:rsid w:val="00850672"/>
    <w:rsid w:val="008608D5"/>
    <w:rsid w:val="00875F57"/>
    <w:rsid w:val="00894328"/>
    <w:rsid w:val="008D5661"/>
    <w:rsid w:val="009115A7"/>
    <w:rsid w:val="0093484C"/>
    <w:rsid w:val="009818EA"/>
    <w:rsid w:val="009A78AB"/>
    <w:rsid w:val="009F73B8"/>
    <w:rsid w:val="00A0118C"/>
    <w:rsid w:val="00AE5BC5"/>
    <w:rsid w:val="00B51BAC"/>
    <w:rsid w:val="00B72328"/>
    <w:rsid w:val="00BA204D"/>
    <w:rsid w:val="00BF44CC"/>
    <w:rsid w:val="00BF7DDF"/>
    <w:rsid w:val="00C4193A"/>
    <w:rsid w:val="00C70B69"/>
    <w:rsid w:val="00C83565"/>
    <w:rsid w:val="00CD33DA"/>
    <w:rsid w:val="00CE1E16"/>
    <w:rsid w:val="00CF778E"/>
    <w:rsid w:val="00D755C9"/>
    <w:rsid w:val="00D804F2"/>
    <w:rsid w:val="00D90738"/>
    <w:rsid w:val="00DE595B"/>
    <w:rsid w:val="00DE6AA4"/>
    <w:rsid w:val="00E66F94"/>
    <w:rsid w:val="00EB289A"/>
    <w:rsid w:val="00EE28A1"/>
    <w:rsid w:val="00F60035"/>
    <w:rsid w:val="00FE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0FA679"/>
  <w15:chartTrackingRefBased/>
  <w15:docId w15:val="{3A5622F8-87FE-A446-ADA6-E199CC8E7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F57"/>
    <w:rPr>
      <w:rFonts w:ascii="Times New Roman" w:eastAsia="Times New Roman" w:hAnsi="Times New Roman" w:cs="Times New Roman"/>
      <w:kern w:val="0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336</Words>
  <Characters>1919</Characters>
  <Application>Microsoft Office Word</Application>
  <DocSecurity>0</DocSecurity>
  <Lines>15</Lines>
  <Paragraphs>4</Paragraphs>
  <ScaleCrop>false</ScaleCrop>
  <Company>IM.CAS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Zhang</dc:creator>
  <cp:keywords/>
  <dc:description/>
  <cp:lastModifiedBy>Lily Zhang</cp:lastModifiedBy>
  <cp:revision>3</cp:revision>
  <dcterms:created xsi:type="dcterms:W3CDTF">2020-06-02T07:50:00Z</dcterms:created>
  <dcterms:modified xsi:type="dcterms:W3CDTF">2020-06-02T08:25:00Z</dcterms:modified>
</cp:coreProperties>
</file>