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cs="Arial"/>
        </w:rPr>
      </w:pPr>
      <w:r>
        <w:rPr>
          <w:rFonts w:hint="eastAsia" w:ascii="Arial" w:hAnsi="Arial" w:cs="Arial"/>
        </w:rPr>
        <w:drawing>
          <wp:inline distT="0" distB="0" distL="114300" distR="114300">
            <wp:extent cx="3571240" cy="3239135"/>
            <wp:effectExtent l="0" t="0" r="10160" b="12065"/>
            <wp:docPr id="4" name="Picture 4" descr="Screen Shot 2023-09-14 at 8.17.32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Screen Shot 2023-09-14 at 8.17.32 PM"/>
                    <pic:cNvPicPr>
                      <a:picLocks noChangeAspect="1"/>
                    </pic:cNvPicPr>
                  </pic:nvPicPr>
                  <pic:blipFill>
                    <a:blip r:embed="rId4"/>
                    <a:stretch>
                      <a:fillRect/>
                    </a:stretch>
                  </pic:blipFill>
                  <pic:spPr>
                    <a:xfrm>
                      <a:off x="0" y="0"/>
                      <a:ext cx="3571240" cy="3239135"/>
                    </a:xfrm>
                    <a:prstGeom prst="rect">
                      <a:avLst/>
                    </a:prstGeom>
                  </pic:spPr>
                </pic:pic>
              </a:graphicData>
            </a:graphic>
          </wp:inline>
        </w:drawing>
      </w:r>
    </w:p>
    <w:p>
      <w:pPr>
        <w:rPr>
          <w:rFonts w:ascii="Arial" w:hAnsi="Arial" w:cs="Arial"/>
        </w:rPr>
      </w:pPr>
      <w:r>
        <w:rPr>
          <w:rFonts w:ascii="Arial" w:hAnsi="Arial" w:cs="Arial"/>
          <w:b/>
          <w:bCs/>
        </w:rPr>
        <w:t xml:space="preserve">Supplementary Fig. 1 </w:t>
      </w:r>
      <w:r>
        <w:rPr>
          <w:rFonts w:ascii="Arial Bold" w:hAnsi="Arial Bold" w:cs="Arial Bold"/>
          <w:b/>
          <w:bCs/>
        </w:rPr>
        <w:t>Topology diagram</w:t>
      </w:r>
      <w:r>
        <w:rPr>
          <w:rFonts w:ascii="Arial Bold" w:hAnsi="Arial Bold" w:cs="Arial Bold"/>
          <w:b/>
          <w:bCs/>
        </w:rPr>
        <w:fldChar w:fldCharType="begin"/>
      </w:r>
      <w:r>
        <w:rPr>
          <w:rFonts w:ascii="Arial Bold" w:hAnsi="Arial Bold" w:cs="Arial Bold"/>
          <w:b/>
          <w:bCs/>
        </w:rPr>
        <w:instrText xml:space="preserve"> ADDIN ZOTERO_ITEM CSL_CITATION {"citationID":"KGbuZahW","properties":{"formattedCitation":"\\super 1\\nosupersub{}","plainCitation":"1","noteIndex":0},"citationItems":[{"id":1753,"uris":["http://zotero.org/users/7025600/items/NRL8CV5Q"],"itemData":{"id":1753,"type":"article-journal","abstract":"Summary: Protein topology diagrams are 2D representations of protein structure that are particularly useful in understanding and analysing complex protein folds. Generating such diagrams presents a major problem in graph drawing, with automatic approaches often resulting in errors or uninterpretable results. Here we apply a breakthrough in diagram layout to protein topology cartoons, providing clear, accurate, interactive and editable diagrams, which are also an interface to a structural search method.Availability: Pro-origami is available via a web server at http://munk.csse.unimelb.edu.au/pro-origamiContact:  a.stivala@pgrad.unimelb.edu.au; pjs@csse.unimelb.edu.au","container-title":"Bioinformatics","DOI":"10.1093/bioinformatics/btr575","ISSN":"1367-4803","issue":"23","journalAbbreviation":"Bioinformatics","page":"3315-3316","source":"Silverchair","title":"Automatic generation of protein structure cartoons with Pro-origami","volume":"27","author":[{"family":"Stivala","given":"Alex"},{"family":"Wybrow","given":"Michael"},{"family":"Wirth","given":"Anthony"},{"family":"Whisstock","given":"James C."},{"family":"Stuckey","given":"Peter J."}],"issued":{"date-parts":[["2011",12,1]]}}}],"schema":"https://github.com/citation-style-language/schema/raw/master/csl-citation.json"} </w:instrText>
      </w:r>
      <w:r>
        <w:rPr>
          <w:rFonts w:ascii="Arial Bold" w:hAnsi="Arial Bold" w:cs="Arial Bold"/>
          <w:b/>
          <w:bCs/>
        </w:rPr>
        <w:fldChar w:fldCharType="separate"/>
      </w:r>
      <w:r>
        <w:rPr>
          <w:rFonts w:ascii="Arial Bold" w:hAnsi="Arial Bold" w:cs="Arial Bold"/>
          <w:b/>
          <w:bCs/>
          <w:kern w:val="0"/>
          <w:vertAlign w:val="superscript"/>
        </w:rPr>
        <w:t>1</w:t>
      </w:r>
      <w:r>
        <w:rPr>
          <w:rFonts w:ascii="Arial Bold" w:hAnsi="Arial Bold" w:cs="Arial Bold"/>
          <w:b/>
          <w:bCs/>
        </w:rPr>
        <w:fldChar w:fldCharType="end"/>
      </w:r>
      <w:r>
        <w:rPr>
          <w:rFonts w:ascii="Arial Bold" w:hAnsi="Arial Bold" w:cs="Arial Bold"/>
          <w:b/>
          <w:bCs/>
        </w:rPr>
        <w:t xml:space="preserve"> of β barrel domain of BamA</w:t>
      </w:r>
      <w:r>
        <w:rPr>
          <w:rFonts w:hint="eastAsia" w:ascii="Arial Bold" w:hAnsi="Arial Bold" w:cs="Arial Bold"/>
          <w:b/>
          <w:bCs/>
        </w:rPr>
        <w:t xml:space="preserve"> (a)</w:t>
      </w:r>
      <w:r>
        <w:rPr>
          <w:rFonts w:ascii="Arial Bold" w:hAnsi="Arial Bold" w:cs="Arial Bold"/>
          <w:b/>
          <w:bCs/>
        </w:rPr>
        <w:t xml:space="preserve"> and EspP</w:t>
      </w:r>
      <w:r>
        <w:rPr>
          <w:rFonts w:hint="eastAsia" w:ascii="Arial Bold" w:hAnsi="Arial Bold" w:cs="Arial Bold"/>
          <w:b/>
          <w:bCs/>
        </w:rPr>
        <w:t xml:space="preserve"> (b)</w:t>
      </w:r>
      <w:r>
        <w:rPr>
          <w:rFonts w:ascii="Arial Bold" w:hAnsi="Arial Bold" w:cs="Arial Bold"/>
          <w:b/>
          <w:bCs/>
        </w:rPr>
        <w:t xml:space="preserve"> based on secondary structure assignments using STRIDE</w:t>
      </w:r>
      <w:r>
        <w:rPr>
          <w:rFonts w:ascii="Arial Bold" w:hAnsi="Arial Bold" w:cs="Arial Bold"/>
          <w:b/>
          <w:bCs/>
        </w:rPr>
        <w:fldChar w:fldCharType="begin"/>
      </w:r>
      <w:r>
        <w:rPr>
          <w:rFonts w:ascii="Arial Bold" w:hAnsi="Arial Bold" w:cs="Arial Bold"/>
          <w:b/>
          <w:bCs/>
        </w:rPr>
        <w:instrText xml:space="preserve"> ADDIN ZOTERO_ITEM CSL_CITATION {"citationID":"o2ldCZp1","properties":{"formattedCitation":"\\super 2\\nosupersub{}","plainCitation":"2","noteIndex":0},"citationItems":[{"id":1750,"uris":["http://zotero.org/users/7025600/items/4B2ST54Q"],"itemData":{"id":1750,"type":"article-journal","abstract":"We have developed an automatic algorithm STRIDE for protein secondary structure assignment from atomic coordinates based on the combined use of hydrogen bond energy and statistically derived backbone torsional angle information. Parameters of the pattern recognition procedure were optimized using designations provided by the crystallographers as a standard-of-truth. Comparison to the currently most widely used technique DSSP by Kabsch and Sander (Biopolymers 22:2577-2637, 1983) shows that STRIDE and DSSP assign secondary structural states in 58 and 31% of 226 protein chains in our data sample, respectively, in greater agreement with the specific residue-by-residue definitions provided by the discoverers of the structures while in 11% of the chains, the assignments are the same. STRIDE delineates every 11th helix and every 32nd strand more in accord with published assignments. © 1995 Wiley-Liss, Inc.","container-title":"Proteins: Structure, Function, and Bioinformatics","DOI":"10.1002/prot.340230412","ISSN":"1097-0134","issue":"4","language":"en","license":"Copyright © 1995 Wiley-Liss, Inc.","note":"_eprint: https://onlinelibrary.wiley.com/doi/pdf/10.1002/prot.340230412","page":"566-579","source":"Wiley Online Library","title":"Knowledge-based protein secondary structure assignment","volume":"23","author":[{"family":"Frishman","given":"Dmitrij"},{"family":"Argos","given":"Patrick"}],"issued":{"date-parts":[["1995"]]}}}],"schema":"https://github.com/citation-style-language/schema/raw/master/csl-citation.json"} </w:instrText>
      </w:r>
      <w:r>
        <w:rPr>
          <w:rFonts w:ascii="Arial Bold" w:hAnsi="Arial Bold" w:cs="Arial Bold"/>
          <w:b/>
          <w:bCs/>
        </w:rPr>
        <w:fldChar w:fldCharType="separate"/>
      </w:r>
      <w:r>
        <w:rPr>
          <w:rFonts w:ascii="Arial Bold" w:hAnsi="Arial Bold" w:cs="Arial Bold"/>
          <w:b/>
          <w:bCs/>
          <w:kern w:val="0"/>
          <w:vertAlign w:val="superscript"/>
        </w:rPr>
        <w:t>2</w:t>
      </w:r>
      <w:r>
        <w:rPr>
          <w:rFonts w:ascii="Arial Bold" w:hAnsi="Arial Bold" w:cs="Arial Bold"/>
          <w:b/>
          <w:bCs/>
        </w:rPr>
        <w:fldChar w:fldCharType="end"/>
      </w:r>
      <w:r>
        <w:rPr>
          <w:rFonts w:ascii="Arial Bold" w:hAnsi="Arial Bold" w:cs="Arial Bold"/>
          <w:b/>
          <w:bCs/>
        </w:rPr>
        <w:t>.</w:t>
      </w:r>
      <w:r>
        <w:rPr>
          <w:rFonts w:ascii="Arial" w:hAnsi="Arial" w:cs="Arial"/>
          <w:b/>
          <w:bCs/>
        </w:rPr>
        <w:t xml:space="preserve"> </w:t>
      </w:r>
    </w:p>
    <w:p>
      <w:pPr>
        <w:rPr>
          <w:rFonts w:ascii="Arial" w:hAnsi="Arial" w:cs="Arial"/>
        </w:rPr>
      </w:pPr>
      <w:r>
        <w:drawing>
          <wp:inline distT="0" distB="0" distL="114300" distR="114300">
            <wp:extent cx="4605020" cy="4872355"/>
            <wp:effectExtent l="0" t="0" r="17780" b="4445"/>
            <wp:docPr id="3" name="Picture 2" descr="Screen Shot 2023-09-14 at 8.12.54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Screen Shot 2023-09-14 at 8.12.54 PM"/>
                    <pic:cNvPicPr>
                      <a:picLocks noChangeAspect="1"/>
                    </pic:cNvPicPr>
                  </pic:nvPicPr>
                  <pic:blipFill>
                    <a:blip r:embed="rId5"/>
                    <a:stretch>
                      <a:fillRect/>
                    </a:stretch>
                  </pic:blipFill>
                  <pic:spPr>
                    <a:xfrm>
                      <a:off x="0" y="0"/>
                      <a:ext cx="4605020" cy="4872355"/>
                    </a:xfrm>
                    <a:prstGeom prst="rect">
                      <a:avLst/>
                    </a:prstGeom>
                  </pic:spPr>
                </pic:pic>
              </a:graphicData>
            </a:graphic>
          </wp:inline>
        </w:drawing>
      </w:r>
    </w:p>
    <w:p>
      <w:pPr>
        <w:spacing w:line="276" w:lineRule="auto"/>
        <w:rPr>
          <w:rFonts w:ascii="Arial" w:hAnsi="Arial" w:cs="Arial"/>
        </w:rPr>
      </w:pPr>
      <w:r>
        <w:rPr>
          <w:rFonts w:ascii="Arial" w:hAnsi="Arial" w:cs="Arial"/>
          <w:b/>
          <w:bCs/>
        </w:rPr>
        <w:t xml:space="preserve">Supplementary Fig. </w:t>
      </w:r>
      <w:r>
        <w:rPr>
          <w:rFonts w:hint="eastAsia" w:ascii="Arial" w:hAnsi="Arial" w:cs="Arial"/>
          <w:b/>
          <w:bCs/>
        </w:rPr>
        <w:t>2</w:t>
      </w:r>
      <w:r>
        <w:rPr>
          <w:rFonts w:ascii="Arial" w:hAnsi="Arial" w:cs="Arial"/>
          <w:b/>
          <w:bCs/>
        </w:rPr>
        <w:t xml:space="preserve"> Flow charts for cryo-EM structure determination of </w:t>
      </w:r>
      <w:r>
        <w:rPr>
          <w:rFonts w:hint="eastAsia" w:ascii="Arial" w:hAnsi="Arial" w:cs="Arial"/>
          <w:b/>
          <w:bCs/>
        </w:rPr>
        <w:t xml:space="preserve">the crosslinked </w:t>
      </w:r>
      <w:r>
        <w:rPr>
          <w:rFonts w:ascii="Arial" w:hAnsi="Arial" w:cs="Arial"/>
          <w:b/>
          <w:bCs/>
        </w:rPr>
        <w:t>BAM</w:t>
      </w:r>
      <w:r>
        <w:rPr>
          <w:rFonts w:hint="eastAsia" w:ascii="Arial" w:hAnsi="Arial" w:cs="Arial"/>
          <w:b/>
          <w:bCs/>
        </w:rPr>
        <w:t>/</w:t>
      </w:r>
      <w:r>
        <w:rPr>
          <w:rFonts w:ascii="Arial" w:hAnsi="Arial" w:cs="Arial"/>
          <w:b/>
          <w:bCs/>
        </w:rPr>
        <w:t>EspP complex in nanodisc</w:t>
      </w:r>
      <w:r>
        <w:rPr>
          <w:rFonts w:hint="eastAsia" w:ascii="Arial" w:hAnsi="Arial" w:cs="Arial"/>
          <w:b/>
          <w:bCs/>
        </w:rPr>
        <w:t>.</w:t>
      </w:r>
      <w:r>
        <w:rPr>
          <w:rFonts w:ascii="Arial" w:hAnsi="Arial" w:cs="Arial"/>
          <w:b/>
          <w:bCs/>
        </w:rPr>
        <w:t xml:space="preserve"> </w:t>
      </w:r>
      <w:r>
        <w:rPr>
          <w:rFonts w:ascii="Arial" w:hAnsi="Arial" w:cs="Arial"/>
          <w:b/>
        </w:rPr>
        <w:t>a</w:t>
      </w:r>
      <w:r>
        <w:rPr>
          <w:rFonts w:ascii="Arial" w:hAnsi="Arial" w:cs="Arial"/>
        </w:rPr>
        <w:t xml:space="preserve"> Cryo-EM microscope image of the BAM</w:t>
      </w:r>
      <w:r>
        <w:rPr>
          <w:rFonts w:hint="eastAsia" w:ascii="Arial" w:hAnsi="Arial" w:cs="Arial"/>
        </w:rPr>
        <w:t>/</w:t>
      </w:r>
      <w:r>
        <w:rPr>
          <w:rFonts w:ascii="Arial" w:hAnsi="Arial" w:cs="Arial"/>
        </w:rPr>
        <w:t>EspP</w:t>
      </w:r>
      <w:r>
        <w:rPr>
          <w:rFonts w:hint="eastAsia" w:ascii="Arial" w:hAnsi="Arial" w:cs="Arial"/>
        </w:rPr>
        <w:t xml:space="preserve"> </w:t>
      </w:r>
      <w:r>
        <w:rPr>
          <w:rFonts w:ascii="Arial" w:hAnsi="Arial" w:cs="Arial"/>
        </w:rPr>
        <w:t>complex</w:t>
      </w:r>
      <w:r>
        <w:rPr>
          <w:rFonts w:hint="eastAsia" w:ascii="Arial" w:hAnsi="Arial" w:cs="Arial"/>
        </w:rPr>
        <w:t xml:space="preserve"> carrying the crosslink mutation BamA-G431C/EspP-N1293C</w:t>
      </w:r>
      <w:r>
        <w:rPr>
          <w:rFonts w:ascii="Arial" w:hAnsi="Arial" w:cs="Arial"/>
        </w:rPr>
        <w:t xml:space="preserve">. </w:t>
      </w:r>
      <w:r>
        <w:rPr>
          <w:rFonts w:ascii="Arial Bold" w:hAnsi="Arial Bold" w:cs="Arial Bold"/>
          <w:b/>
          <w:bCs/>
        </w:rPr>
        <w:t>b</w:t>
      </w:r>
      <w:r>
        <w:rPr>
          <w:rFonts w:hint="eastAsia" w:ascii="Arial" w:hAnsi="Arial" w:cs="Arial"/>
        </w:rPr>
        <w:t xml:space="preserve"> </w:t>
      </w:r>
      <w:r>
        <w:rPr>
          <w:rFonts w:ascii="Arial" w:hAnsi="Arial" w:cs="Arial"/>
        </w:rPr>
        <w:t xml:space="preserve">Scheme of data collection, two- and three- dimensional classifications, refinements and the local cryo-EM resolutions of the density maps. </w:t>
      </w:r>
      <w:r>
        <w:rPr>
          <w:rFonts w:ascii="Arial Bold" w:hAnsi="Arial Bold" w:cs="Arial Bold"/>
          <w:b/>
          <w:bCs/>
        </w:rPr>
        <w:t>c</w:t>
      </w:r>
      <w:r>
        <w:rPr>
          <w:rFonts w:ascii="Arial" w:hAnsi="Arial" w:cs="Arial"/>
        </w:rPr>
        <w:t xml:space="preserve"> Selected two-dimensional classification images. </w:t>
      </w:r>
      <w:r>
        <w:rPr>
          <w:rFonts w:ascii="Arial Bold" w:hAnsi="Arial Bold" w:cs="Arial Bold"/>
          <w:b/>
          <w:bCs/>
        </w:rPr>
        <w:t>d</w:t>
      </w:r>
      <w:r>
        <w:rPr>
          <w:rFonts w:ascii="Arial" w:hAnsi="Arial" w:cs="Arial"/>
        </w:rPr>
        <w:t xml:space="preserve"> Gold-standard Fourier Shell Correction (FSC) curves for structure resolution determination</w:t>
      </w:r>
      <w:r>
        <w:rPr>
          <w:rFonts w:hint="eastAsia" w:ascii="Arial" w:hAnsi="Arial" w:cs="Arial"/>
        </w:rPr>
        <w:t>.</w:t>
      </w:r>
    </w:p>
    <w:p>
      <w:pPr>
        <w:spacing w:line="276" w:lineRule="auto"/>
        <w:rPr>
          <w:rFonts w:ascii="Arial" w:hAnsi="Arial" w:cs="Arial"/>
        </w:rPr>
      </w:pPr>
    </w:p>
    <w:p>
      <w:pPr>
        <w:rPr>
          <w:rFonts w:ascii="Arial" w:hAnsi="Arial" w:cs="Arial"/>
          <w:lang w:val="en-GB"/>
        </w:rPr>
      </w:pPr>
      <w:r>
        <w:rPr>
          <w:rFonts w:hint="eastAsia" w:ascii="Arial" w:hAnsi="Arial" w:cs="Arial"/>
          <w:lang w:val="en-GB"/>
        </w:rPr>
        <w:drawing>
          <wp:inline distT="0" distB="0" distL="114300" distR="114300">
            <wp:extent cx="5260975" cy="3416935"/>
            <wp:effectExtent l="0" t="0" r="22225" b="12065"/>
            <wp:docPr id="5" name="Picture 5" descr="Screen Shot 2023-09-14 at 8.20.24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creen Shot 2023-09-14 at 8.20.24 PM"/>
                    <pic:cNvPicPr>
                      <a:picLocks noChangeAspect="1"/>
                    </pic:cNvPicPr>
                  </pic:nvPicPr>
                  <pic:blipFill>
                    <a:blip r:embed="rId6"/>
                    <a:stretch>
                      <a:fillRect/>
                    </a:stretch>
                  </pic:blipFill>
                  <pic:spPr>
                    <a:xfrm>
                      <a:off x="0" y="0"/>
                      <a:ext cx="5260975" cy="3416935"/>
                    </a:xfrm>
                    <a:prstGeom prst="rect">
                      <a:avLst/>
                    </a:prstGeom>
                  </pic:spPr>
                </pic:pic>
              </a:graphicData>
            </a:graphic>
          </wp:inline>
        </w:drawing>
      </w:r>
    </w:p>
    <w:p>
      <w:pPr>
        <w:rPr>
          <w:rFonts w:ascii="Arial" w:hAnsi="Arial" w:cs="Arial"/>
          <w:lang w:val="en-GB"/>
        </w:rPr>
      </w:pPr>
    </w:p>
    <w:p>
      <w:pPr>
        <w:rPr>
          <w:rFonts w:ascii="Arial" w:hAnsi="Arial" w:cs="Arial"/>
          <w:b/>
          <w:bCs/>
        </w:rPr>
      </w:pPr>
      <w:r>
        <w:rPr>
          <w:rFonts w:ascii="Arial" w:hAnsi="Arial" w:cs="Arial"/>
          <w:b/>
          <w:bCs/>
        </w:rPr>
        <w:t xml:space="preserve">Supplementary Fig. </w:t>
      </w:r>
      <w:r>
        <w:rPr>
          <w:rFonts w:hint="eastAsia" w:ascii="Arial" w:hAnsi="Arial" w:cs="Arial"/>
          <w:b/>
          <w:bCs/>
        </w:rPr>
        <w:t>3</w:t>
      </w:r>
      <w:r>
        <w:rPr>
          <w:rFonts w:ascii="Arial" w:hAnsi="Arial" w:cs="Arial"/>
          <w:b/>
          <w:bCs/>
        </w:rPr>
        <w:t xml:space="preserve"> Analysis of the new cryo-EM map and structure of</w:t>
      </w:r>
      <w:r>
        <w:rPr>
          <w:rFonts w:hint="eastAsia" w:ascii="Arial" w:hAnsi="Arial" w:cs="Arial"/>
          <w:b/>
          <w:bCs/>
        </w:rPr>
        <w:t xml:space="preserve"> crosslinked</w:t>
      </w:r>
      <w:r>
        <w:rPr>
          <w:rFonts w:ascii="Arial" w:hAnsi="Arial" w:cs="Arial"/>
          <w:b/>
          <w:bCs/>
        </w:rPr>
        <w:t xml:space="preserve"> BAM/EspP</w:t>
      </w:r>
      <w:r>
        <w:rPr>
          <w:rFonts w:hint="eastAsia" w:ascii="Arial" w:hAnsi="Arial" w:cs="Arial"/>
          <w:b/>
          <w:bCs/>
        </w:rPr>
        <w:t xml:space="preserve"> complex.</w:t>
      </w:r>
      <w:r>
        <w:rPr>
          <w:rFonts w:ascii="Arial" w:hAnsi="Arial" w:cs="Arial"/>
          <w:b/>
          <w:bCs/>
        </w:rPr>
        <w:t xml:space="preserve"> </w:t>
      </w:r>
      <w:r>
        <w:rPr>
          <w:rFonts w:hint="eastAsia" w:ascii="Arial" w:hAnsi="Arial" w:cs="Arial"/>
          <w:b/>
          <w:bCs/>
        </w:rPr>
        <w:t>a</w:t>
      </w:r>
      <w:r>
        <w:rPr>
          <w:rFonts w:ascii="Arial" w:hAnsi="Arial" w:cs="Arial"/>
          <w:b/>
          <w:bCs/>
        </w:rPr>
        <w:t xml:space="preserve"> </w:t>
      </w:r>
      <w:r>
        <w:rPr>
          <w:rFonts w:ascii="Arial" w:hAnsi="Arial" w:cs="Arial"/>
        </w:rPr>
        <w:t>Comparison between the new map and our previously reported map of</w:t>
      </w:r>
      <w:r>
        <w:rPr>
          <w:rFonts w:hint="eastAsia" w:ascii="Arial" w:hAnsi="Arial" w:cs="Arial"/>
        </w:rPr>
        <w:t xml:space="preserve"> the </w:t>
      </w:r>
      <w:r>
        <w:rPr>
          <w:rFonts w:ascii="Arial" w:hAnsi="Arial" w:cs="Arial"/>
        </w:rPr>
        <w:t>BAM</w:t>
      </w:r>
      <w:r>
        <w:rPr>
          <w:rFonts w:hint="eastAsia" w:ascii="Arial" w:hAnsi="Arial" w:cs="Arial"/>
        </w:rPr>
        <w:t>/</w:t>
      </w:r>
      <w:r>
        <w:rPr>
          <w:rFonts w:ascii="Arial" w:hAnsi="Arial" w:cs="Arial"/>
        </w:rPr>
        <w:t>EspP</w:t>
      </w:r>
      <w:r>
        <w:rPr>
          <w:rFonts w:hint="eastAsia" w:ascii="Arial" w:hAnsi="Arial" w:cs="Arial"/>
        </w:rPr>
        <w:t xml:space="preserve"> complex carrying the crosslink mutation BamA-G431C/EspP-N1293C</w:t>
      </w:r>
      <w:r>
        <w:rPr>
          <w:rFonts w:ascii="Arial" w:hAnsi="Arial" w:cs="Arial"/>
        </w:rPr>
        <w:t>.</w:t>
      </w:r>
      <w:r>
        <w:rPr>
          <w:rFonts w:hint="eastAsia" w:ascii="Arial" w:hAnsi="Arial" w:cs="Arial"/>
        </w:rPr>
        <w:t xml:space="preserve"> </w:t>
      </w:r>
      <w:r>
        <w:rPr>
          <w:rFonts w:ascii="Arial" w:hAnsi="Arial" w:cs="Arial"/>
        </w:rPr>
        <w:t xml:space="preserve">The enlarge views containing </w:t>
      </w:r>
      <w:r>
        <w:rPr>
          <w:rFonts w:hint="eastAsia" w:ascii="Arial" w:hAnsi="Arial" w:cs="Arial"/>
        </w:rPr>
        <w:t>the</w:t>
      </w:r>
      <w:r>
        <w:rPr>
          <w:rFonts w:ascii="Arial" w:hAnsi="Arial" w:cs="Arial"/>
        </w:rPr>
        <w:t xml:space="preserve"> c</w:t>
      </w:r>
      <w:r>
        <w:rPr>
          <w:rFonts w:ascii="Arial" w:hAnsi="Arial" w:cs="Arial"/>
          <w:sz w:val="20"/>
          <w:szCs w:val="20"/>
        </w:rPr>
        <w:t>orresponding atomic models</w:t>
      </w:r>
      <w:r>
        <w:rPr>
          <w:rFonts w:ascii="Arial" w:hAnsi="Arial" w:cs="Arial"/>
        </w:rPr>
        <w:t xml:space="preserve"> show that the main difference is the degree of EspP barreling. </w:t>
      </w:r>
      <w:r>
        <w:rPr>
          <w:rFonts w:hint="eastAsia" w:ascii="Arial" w:hAnsi="Arial" w:cs="Arial"/>
          <w:b/>
          <w:bCs/>
        </w:rPr>
        <w:t>b</w:t>
      </w:r>
      <w:r>
        <w:rPr>
          <w:rFonts w:ascii="Arial" w:hAnsi="Arial" w:cs="Arial"/>
          <w:b/>
          <w:bCs/>
        </w:rPr>
        <w:t xml:space="preserve"> </w:t>
      </w:r>
      <w:r>
        <w:rPr>
          <w:rFonts w:ascii="Arial" w:hAnsi="Arial" w:cs="Arial"/>
        </w:rPr>
        <w:t>Comparison between the hybrid barrels with inward-open BamA (skyblue) / barrelized EspP (warmpink) and inward-open BamA (bluewhite) / closing EspP (wheat).</w:t>
      </w:r>
      <w:r>
        <w:rPr>
          <w:rFonts w:ascii="Arial" w:hAnsi="Arial" w:cs="Arial"/>
          <w:b/>
          <w:bCs/>
        </w:rPr>
        <w:t xml:space="preserve"> </w:t>
      </w:r>
      <w:r>
        <w:rPr>
          <w:rFonts w:hint="eastAsia" w:ascii="Arial" w:hAnsi="Arial" w:cs="Arial"/>
          <w:b/>
          <w:bCs/>
        </w:rPr>
        <w:t>c</w:t>
      </w:r>
      <w:r>
        <w:rPr>
          <w:rFonts w:ascii="Arial" w:hAnsi="Arial" w:cs="Arial"/>
          <w:b/>
          <w:bCs/>
        </w:rPr>
        <w:t xml:space="preserve"> </w:t>
      </w:r>
      <w:r>
        <w:rPr>
          <w:rFonts w:ascii="Arial" w:hAnsi="Arial" w:cs="Arial"/>
        </w:rPr>
        <w:t xml:space="preserve">Comparison between the hybrid barrels with inward-open BamA (skyblue) / barrelized EspP (warmpink) and outward-open BamA (palegreen) / closing EspP (paleyellow). </w:t>
      </w:r>
    </w:p>
    <w:p>
      <w:pPr>
        <w:rPr>
          <w:rFonts w:ascii="Arial" w:hAnsi="Arial" w:cs="Arial"/>
        </w:rPr>
      </w:pPr>
    </w:p>
    <w:p>
      <w:pPr>
        <w:rPr>
          <w:rFonts w:ascii="Arial" w:hAnsi="Arial" w:cs="Arial"/>
        </w:rPr>
      </w:pPr>
      <w:r>
        <w:rPr>
          <w:rFonts w:ascii="Arial" w:hAnsi="Arial" w:cs="Arial"/>
        </w:rPr>
        <w:drawing>
          <wp:inline distT="0" distB="0" distL="0" distR="0">
            <wp:extent cx="5274310" cy="4939665"/>
            <wp:effectExtent l="0" t="0" r="0" b="635"/>
            <wp:docPr id="1944694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694099"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939665"/>
                    </a:xfrm>
                    <a:prstGeom prst="rect">
                      <a:avLst/>
                    </a:prstGeom>
                  </pic:spPr>
                </pic:pic>
              </a:graphicData>
            </a:graphic>
          </wp:inline>
        </w:drawing>
      </w:r>
    </w:p>
    <w:p>
      <w:pPr>
        <w:rPr>
          <w:rFonts w:ascii="Arial" w:hAnsi="Arial" w:cs="Arial"/>
        </w:rPr>
      </w:pPr>
    </w:p>
    <w:p>
      <w:pPr>
        <w:rPr>
          <w:rFonts w:ascii="Arial" w:hAnsi="Arial" w:cs="Arial"/>
          <w:b/>
          <w:bCs/>
        </w:rPr>
      </w:pPr>
      <w:r>
        <w:rPr>
          <w:rFonts w:ascii="Arial" w:hAnsi="Arial" w:cs="Arial"/>
          <w:b/>
          <w:bCs/>
        </w:rPr>
        <w:t xml:space="preserve">Supplementary Fig. </w:t>
      </w:r>
      <w:r>
        <w:rPr>
          <w:rFonts w:hint="eastAsia" w:ascii="Arial" w:hAnsi="Arial" w:cs="Arial"/>
          <w:b/>
          <w:bCs/>
        </w:rPr>
        <w:t>4</w:t>
      </w:r>
      <w:r>
        <w:rPr>
          <w:rFonts w:ascii="Arial" w:hAnsi="Arial" w:cs="Arial"/>
          <w:b/>
          <w:bCs/>
        </w:rPr>
        <w:t xml:space="preserve"> A hydrophobic interface formed with inward-open BamA. a </w:t>
      </w:r>
      <w:r>
        <w:rPr>
          <w:rFonts w:ascii="Arial" w:hAnsi="Arial" w:cs="Arial"/>
        </w:rPr>
        <w:t xml:space="preserve">Persistence of the hydrophobic interface in the closing hybrid-barrel. The complexes (from left to right) are the new structure and the two structures we reported previously (PDB IDs 8BNZ and 7YE6). </w:t>
      </w:r>
      <w:r>
        <w:rPr>
          <w:rFonts w:ascii="Arial" w:hAnsi="Arial" w:cs="Arial"/>
          <w:b/>
          <w:bCs/>
        </w:rPr>
        <w:t>b</w:t>
      </w:r>
      <w:r>
        <w:rPr>
          <w:rFonts w:ascii="Arial" w:hAnsi="Arial" w:cs="Arial"/>
        </w:rPr>
        <w:t xml:space="preserve"> Schematic diagram of the conformational change process of the hybrid barrel. The new structure may be a starting event for the subsequent closure.</w:t>
      </w:r>
    </w:p>
    <w:p>
      <w:pPr>
        <w:rPr>
          <w:rFonts w:ascii="Arial" w:hAnsi="Arial" w:cs="Arial"/>
        </w:rPr>
      </w:pPr>
    </w:p>
    <w:p>
      <w:pPr>
        <w:rPr>
          <w:rFonts w:ascii="Arial" w:hAnsi="Arial" w:cs="Arial"/>
        </w:rPr>
      </w:pPr>
      <w:r>
        <w:rPr>
          <w:rFonts w:ascii="Arial" w:hAnsi="Arial" w:cs="Arial"/>
          <w:lang w:val="en-GB"/>
        </w:rPr>
        <w:drawing>
          <wp:inline distT="0" distB="0" distL="0" distR="0">
            <wp:extent cx="5274310" cy="3141345"/>
            <wp:effectExtent l="0" t="0" r="0" b="0"/>
            <wp:docPr id="10747611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761141" name="Picture 5"/>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141345"/>
                    </a:xfrm>
                    <a:prstGeom prst="rect">
                      <a:avLst/>
                    </a:prstGeom>
                  </pic:spPr>
                </pic:pic>
              </a:graphicData>
            </a:graphic>
          </wp:inline>
        </w:drawing>
      </w:r>
    </w:p>
    <w:p>
      <w:pPr>
        <w:rPr>
          <w:rFonts w:ascii="Arial" w:hAnsi="Arial" w:cs="Arial"/>
          <w:b/>
          <w:bCs/>
        </w:rPr>
      </w:pPr>
      <w:r>
        <w:rPr>
          <w:rFonts w:ascii="Arial" w:hAnsi="Arial" w:cs="Arial"/>
          <w:b/>
          <w:bCs/>
        </w:rPr>
        <w:t xml:space="preserve">Supplementary Fig. </w:t>
      </w:r>
      <w:r>
        <w:rPr>
          <w:rFonts w:hint="eastAsia" w:ascii="Arial" w:hAnsi="Arial" w:cs="Arial"/>
          <w:b/>
          <w:bCs/>
        </w:rPr>
        <w:t>5</w:t>
      </w:r>
      <w:r>
        <w:rPr>
          <w:rFonts w:ascii="Arial" w:hAnsi="Arial" w:cs="Arial"/>
          <w:b/>
          <w:bCs/>
        </w:rPr>
        <w:t xml:space="preserve"> Structure stability analysis of the hybrid barrel with inward-open BamA and barrlized EspP. a-b </w:t>
      </w:r>
      <w:r>
        <w:rPr>
          <w:rFonts w:ascii="Arial" w:hAnsi="Arial" w:cs="Arial"/>
        </w:rPr>
        <w:t>Structure stability analysis of crosslinked (</w:t>
      </w:r>
      <w:r>
        <w:rPr>
          <w:rFonts w:ascii="Arial" w:hAnsi="Arial" w:cs="Arial"/>
          <w:b/>
          <w:bCs/>
        </w:rPr>
        <w:t>a</w:t>
      </w:r>
      <w:r>
        <w:rPr>
          <w:rFonts w:ascii="Arial" w:hAnsi="Arial" w:cs="Arial"/>
        </w:rPr>
        <w:t>) and wild-type the hybrid barrel (</w:t>
      </w:r>
      <w:r>
        <w:rPr>
          <w:rFonts w:ascii="Arial" w:hAnsi="Arial" w:cs="Arial"/>
          <w:b/>
          <w:bCs/>
        </w:rPr>
        <w:t>b</w:t>
      </w:r>
      <w:r>
        <w:rPr>
          <w:rFonts w:ascii="Arial" w:hAnsi="Arial" w:cs="Arial"/>
        </w:rPr>
        <w:t>). The CVs (from left to right) monitor the degree of separation of BamA from the β-signal (ANTIBETA of Eβ1 and Eβ12), the stability of the 432Y/V1292 pair (the distances between backbone oxygen and nitrogen atoms forming hydrogen bonds) and the stability of the hydrophobic interface (</w:t>
      </w:r>
      <w:r>
        <w:rPr>
          <w:rFonts w:ascii="Arial" w:hAnsi="Arial" w:cs="Arial"/>
          <w:sz w:val="20"/>
          <w:szCs w:val="20"/>
        </w:rPr>
        <w:t>the</w:t>
      </w:r>
      <w:r>
        <w:rPr>
          <w:rFonts w:ascii="Arial" w:hAnsi="Arial" w:cs="Arial"/>
        </w:rPr>
        <w:t xml:space="preserve"> number of contact atoms </w:t>
      </w:r>
      <w:r>
        <w:rPr>
          <w:rFonts w:ascii="Arial" w:hAnsi="Arial" w:cs="Arial"/>
          <w:sz w:val="20"/>
          <w:szCs w:val="20"/>
        </w:rPr>
        <w:t>(within 3 Å)</w:t>
      </w:r>
      <w:r>
        <w:rPr>
          <w:rFonts w:ascii="Arial" w:hAnsi="Arial" w:cs="Arial"/>
        </w:rPr>
        <w:t xml:space="preserve"> between Bβ15-16 and Eβ1-4)</w:t>
      </w:r>
      <w:r>
        <w:rPr>
          <w:rFonts w:ascii="Arial" w:hAnsi="Arial" w:cs="Arial"/>
          <w:sz w:val="20"/>
          <w:szCs w:val="20"/>
        </w:rPr>
        <w:t>. See methods for CVs calculation.</w:t>
      </w:r>
    </w:p>
    <w:p>
      <w:pPr>
        <w:rPr>
          <w:rFonts w:ascii="Arial" w:hAnsi="Arial" w:cs="Arial"/>
          <w:b/>
          <w:bCs/>
        </w:rPr>
      </w:pPr>
    </w:p>
    <w:p>
      <w:pPr>
        <w:rPr>
          <w:rFonts w:hint="eastAsia" w:ascii="Arial" w:hAnsi="Arial" w:cs="Arial" w:eastAsiaTheme="minorEastAsia"/>
          <w:lang w:eastAsia="zh-CN"/>
        </w:rPr>
      </w:pPr>
      <w:r>
        <w:rPr>
          <w:rFonts w:hint="eastAsia" w:ascii="Arial" w:hAnsi="Arial" w:cs="Arial" w:eastAsiaTheme="minorEastAsia"/>
          <w:lang w:eastAsia="zh-CN"/>
        </w:rPr>
        <w:drawing>
          <wp:inline distT="0" distB="0" distL="114300" distR="114300">
            <wp:extent cx="5272405" cy="4777105"/>
            <wp:effectExtent l="0" t="0" r="10795" b="23495"/>
            <wp:docPr id="2" name="Picture 2" descr="Screen Shot 2023-09-24 at 7.53.54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creen Shot 2023-09-24 at 7.53.54 PM"/>
                    <pic:cNvPicPr>
                      <a:picLocks noChangeAspect="1"/>
                    </pic:cNvPicPr>
                  </pic:nvPicPr>
                  <pic:blipFill>
                    <a:blip r:embed="rId9"/>
                    <a:stretch>
                      <a:fillRect/>
                    </a:stretch>
                  </pic:blipFill>
                  <pic:spPr>
                    <a:xfrm>
                      <a:off x="0" y="0"/>
                      <a:ext cx="5272405" cy="4777105"/>
                    </a:xfrm>
                    <a:prstGeom prst="rect">
                      <a:avLst/>
                    </a:prstGeom>
                  </pic:spPr>
                </pic:pic>
              </a:graphicData>
            </a:graphic>
          </wp:inline>
        </w:drawing>
      </w:r>
    </w:p>
    <w:p>
      <w:pPr>
        <w:rPr>
          <w:rFonts w:ascii="Arial" w:hAnsi="Arial" w:cs="Arial"/>
          <w:b/>
          <w:bCs/>
        </w:rPr>
      </w:pPr>
      <w:r>
        <w:rPr>
          <w:rFonts w:ascii="Arial" w:hAnsi="Arial" w:cs="Arial"/>
          <w:b/>
          <w:bCs/>
        </w:rPr>
        <w:t xml:space="preserve">Supplementary Fig. </w:t>
      </w:r>
      <w:r>
        <w:rPr>
          <w:rFonts w:hint="eastAsia" w:ascii="Arial" w:hAnsi="Arial" w:cs="Arial"/>
          <w:b/>
          <w:bCs/>
        </w:rPr>
        <w:t>6</w:t>
      </w:r>
      <w:r>
        <w:rPr>
          <w:rFonts w:ascii="Arial" w:hAnsi="Arial" w:cs="Arial"/>
          <w:b/>
          <w:bCs/>
        </w:rPr>
        <w:t xml:space="preserve"> Comparison between the representative conformations of the </w:t>
      </w:r>
      <w:r>
        <w:rPr>
          <w:rFonts w:ascii="Arial" w:hAnsi="Arial" w:cs="Arial"/>
          <w:b/>
          <w:bCs/>
          <w:szCs w:val="21"/>
        </w:rPr>
        <w:t>HREX simulation</w:t>
      </w:r>
      <w:r>
        <w:rPr>
          <w:rFonts w:hint="eastAsia" w:ascii="Arial" w:hAnsi="Arial" w:cs="Arial"/>
          <w:b/>
          <w:bCs/>
          <w:szCs w:val="21"/>
        </w:rPr>
        <w:t>s</w:t>
      </w:r>
      <w:r>
        <w:rPr>
          <w:rFonts w:ascii="Arial" w:hAnsi="Arial" w:cs="Arial"/>
          <w:b/>
          <w:bCs/>
          <w:szCs w:val="21"/>
        </w:rPr>
        <w:t xml:space="preserve"> and the cryo-EM maps of the crosslinked BamA/EspP. a-b </w:t>
      </w:r>
      <w:r>
        <w:rPr>
          <w:rFonts w:ascii="Arial" w:hAnsi="Arial" w:cs="Arial"/>
          <w:szCs w:val="21"/>
        </w:rPr>
        <w:t>Comparison between one representative conformation of cluster 1 and our previously reported map (the cryo-EM map of 8BNZ) (</w:t>
      </w:r>
      <w:r>
        <w:rPr>
          <w:rFonts w:ascii="Arial" w:hAnsi="Arial" w:cs="Arial"/>
          <w:b/>
          <w:bCs/>
          <w:szCs w:val="21"/>
        </w:rPr>
        <w:t>a</w:t>
      </w:r>
      <w:r>
        <w:rPr>
          <w:rFonts w:ascii="Arial" w:hAnsi="Arial" w:cs="Arial"/>
          <w:szCs w:val="21"/>
        </w:rPr>
        <w:t>), and comparison between the conformation of cluster 3 and the map in this work (</w:t>
      </w:r>
      <w:r>
        <w:rPr>
          <w:rFonts w:ascii="Arial" w:hAnsi="Arial" w:cs="Arial"/>
          <w:b/>
          <w:bCs/>
          <w:szCs w:val="21"/>
        </w:rPr>
        <w:t>b</w:t>
      </w:r>
      <w:r>
        <w:rPr>
          <w:rFonts w:ascii="Arial" w:hAnsi="Arial" w:cs="Arial"/>
          <w:szCs w:val="21"/>
        </w:rPr>
        <w:t xml:space="preserve">). </w:t>
      </w:r>
      <w:r>
        <w:rPr>
          <w:rFonts w:ascii="Arial" w:hAnsi="Arial" w:cs="Arial"/>
          <w:b/>
          <w:bCs/>
          <w:szCs w:val="21"/>
        </w:rPr>
        <w:t>c</w:t>
      </w:r>
      <w:r>
        <w:rPr>
          <w:rFonts w:ascii="Arial" w:hAnsi="Arial" w:cs="Arial"/>
          <w:szCs w:val="21"/>
        </w:rPr>
        <w:t xml:space="preserve"> Distance between N1059</w:t>
      </w:r>
      <w:r>
        <w:rPr>
          <w:rFonts w:ascii="Arial" w:hAnsi="Arial" w:cs="Arial"/>
          <w:szCs w:val="21"/>
          <w:vertAlign w:val="subscript"/>
        </w:rPr>
        <w:t xml:space="preserve">CA </w:t>
      </w:r>
      <w:r>
        <w:rPr>
          <w:rFonts w:ascii="Arial" w:hAnsi="Arial" w:cs="Arial"/>
          <w:szCs w:val="21"/>
        </w:rPr>
        <w:t>and Q1230</w:t>
      </w:r>
      <w:r>
        <w:rPr>
          <w:rFonts w:ascii="Arial" w:hAnsi="Arial" w:cs="Arial"/>
          <w:szCs w:val="21"/>
          <w:vertAlign w:val="subscript"/>
        </w:rPr>
        <w:t>CA</w:t>
      </w:r>
      <w:r>
        <w:rPr>
          <w:rFonts w:ascii="Arial" w:hAnsi="Arial" w:cs="Arial"/>
          <w:szCs w:val="21"/>
        </w:rPr>
        <w:t xml:space="preserve"> showing the degree of EspP closure in cluster 1 and 3. 8BNZ (closing EspP model) and the newly solved structure model in this work (non-closing EspP model) are located in the conformational space of cluster 1 and cluster 3, respectively.</w:t>
      </w:r>
    </w:p>
    <w:p>
      <w:pPr>
        <w:rPr>
          <w:rFonts w:ascii="Arial" w:hAnsi="Arial" w:cs="Arial"/>
          <w:b/>
          <w:bCs/>
        </w:rPr>
      </w:pPr>
      <w:r>
        <w:rPr>
          <w:rFonts w:ascii="Arial" w:hAnsi="Arial" w:cs="Arial"/>
          <w:b/>
          <w:bCs/>
        </w:rPr>
        <w:drawing>
          <wp:inline distT="0" distB="0" distL="0" distR="0">
            <wp:extent cx="5274310" cy="2535555"/>
            <wp:effectExtent l="0" t="0" r="0" b="4445"/>
            <wp:docPr id="18529080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908096" name="Picture 6"/>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535555"/>
                    </a:xfrm>
                    <a:prstGeom prst="rect">
                      <a:avLst/>
                    </a:prstGeom>
                  </pic:spPr>
                </pic:pic>
              </a:graphicData>
            </a:graphic>
          </wp:inline>
        </w:drawing>
      </w:r>
      <w:r>
        <w:rPr>
          <w:rFonts w:ascii="Arial" w:hAnsi="Arial" w:cs="Arial"/>
          <w:b/>
          <w:bCs/>
        </w:rPr>
        <w:drawing>
          <wp:inline distT="0" distB="0" distL="0" distR="0">
            <wp:extent cx="5274310" cy="3300095"/>
            <wp:effectExtent l="0" t="0" r="0" b="1905"/>
            <wp:docPr id="5727081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708123" name="Picture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300095"/>
                    </a:xfrm>
                    <a:prstGeom prst="rect">
                      <a:avLst/>
                    </a:prstGeom>
                  </pic:spPr>
                </pic:pic>
              </a:graphicData>
            </a:graphic>
          </wp:inline>
        </w:drawing>
      </w:r>
    </w:p>
    <w:p>
      <w:pPr>
        <w:rPr>
          <w:rFonts w:ascii="Arial" w:hAnsi="Arial" w:cs="Arial"/>
        </w:rPr>
      </w:pPr>
    </w:p>
    <w:p>
      <w:pPr>
        <w:rPr>
          <w:rFonts w:hint="eastAsia" w:ascii="Arial Regular" w:hAnsi="Arial Regular" w:cs="Arial Regular"/>
        </w:rPr>
      </w:pPr>
      <w:r>
        <w:rPr>
          <w:rFonts w:ascii="Arial Bold" w:hAnsi="Arial Bold" w:cs="Arial Bold"/>
          <w:b/>
          <w:bCs/>
        </w:rPr>
        <w:t>Supplementary Fig. 7 Induced-fit interactions between BL1 and Eβ1 during the HREX simulations.</w:t>
      </w:r>
      <w:r>
        <w:rPr>
          <w:rFonts w:ascii="Arial Regular" w:hAnsi="Arial Regular" w:cs="Arial Regular"/>
          <w:b/>
          <w:bCs/>
        </w:rPr>
        <w:t xml:space="preserve"> </w:t>
      </w:r>
      <w:r>
        <w:rPr>
          <w:rFonts w:ascii="Arial Bold" w:hAnsi="Arial Bold" w:cs="Arial Bold"/>
          <w:b/>
          <w:bCs/>
        </w:rPr>
        <w:t>a-c</w:t>
      </w:r>
      <w:r>
        <w:rPr>
          <w:rFonts w:ascii="Arial Regular" w:hAnsi="Arial Regular" w:cs="Arial Regular"/>
          <w:b/>
          <w:bCs/>
        </w:rPr>
        <w:t xml:space="preserve"> </w:t>
      </w:r>
      <w:r>
        <w:rPr>
          <w:rFonts w:ascii="Arial Regular" w:hAnsi="Arial Regular" w:cs="Arial Regular"/>
          <w:szCs w:val="21"/>
        </w:rPr>
        <w:t>Conformational analysis of</w:t>
      </w:r>
      <w:r>
        <w:rPr>
          <w:rFonts w:ascii="Arial Regular" w:hAnsi="Arial Regular" w:cs="Arial Regular"/>
          <w:b/>
          <w:bCs/>
          <w:szCs w:val="21"/>
        </w:rPr>
        <w:t xml:space="preserve"> </w:t>
      </w:r>
      <w:r>
        <w:rPr>
          <w:rFonts w:ascii="Arial Regular" w:hAnsi="Arial Regular" w:cs="Arial Regular"/>
          <w:szCs w:val="21"/>
        </w:rPr>
        <w:t>BL1 main chains by RMSD clustering</w:t>
      </w:r>
      <w:r>
        <w:rPr>
          <w:rFonts w:ascii="Arial Regular" w:hAnsi="Arial Regular" w:cs="Arial Regular"/>
          <w:szCs w:val="21"/>
        </w:rPr>
        <w:fldChar w:fldCharType="begin"/>
      </w:r>
      <w:r>
        <w:rPr>
          <w:rFonts w:ascii="Arial Regular" w:hAnsi="Arial Regular" w:cs="Arial Regular"/>
          <w:szCs w:val="21"/>
        </w:rPr>
        <w:instrText xml:space="preserve"> ADDIN ZOTERO_ITEM CSL_CITATION {"citationID":"vPFYoV9Q","properties":{"formattedCitation":"\\super 3\\nosupersub{}","plainCitation":"3","noteIndex":0},"citationItems":[{"id":1558,"uris":["http://zotero.org/users/7025600/items/UXGISF3A"],"itemData":{"id":1558,"type":"article-journal","abstract":"Accurate reproduction of the mechanism of peptide folding in solution and conformational preferences as a function of amino acid sequence is possible with atomic level dynamics simulations. For example, the simulations correctly predict a left-handed 31-helical fold for the β-heptapeptide 1 (the molecular model is shown in the picture) and a right-handed helical fold for the β-hexapeptide 2, as was confirmed by NMR spectroscopy.","container-title":"Angewandte Chemie International Edition","DOI":"10.1002/(SICI)1521-3773(19990115)38:1/2&lt;236::AID-ANIE236&gt;3.0.CO;2-M","ISSN":"1521-3773","issue":"1-2","language":"en","license":"© 1999 WILEY-VCH Verlag GmbH, Weinheim, Fed. Rep. of Germany","note":"_eprint: https://onlinelibrary.wiley.com/doi/pdf/10.1002/%28SICI%291521-3773%2819990115%2938%3A1/2%3C236%3A%3AAID-ANIE236%3E3.0.CO%3B2-M","page":"236-240","source":"Wiley Online Library","title":"Peptide Folding: When Simulation Meets Experiment","title-short":"Peptide Folding","volume":"38","author":[{"family":"Daura","given":"Xavier"},{"family":"Gademann","given":"Karl"},{"family":"Jaun","given":"Bernhard"},{"family":"Seebach","given":"Dieter"},{"family":"Gunsteren","given":"Wilfred F.","non-dropping-particle":"van"},{"family":"Mark","given":"Alan E."}],"issued":{"date-parts":[["1999"]]}}}],"schema":"https://github.com/citation-style-language/schema/raw/master/csl-citation.json"} </w:instrText>
      </w:r>
      <w:r>
        <w:rPr>
          <w:rFonts w:ascii="Arial Regular" w:hAnsi="Arial Regular" w:cs="Arial Regular"/>
          <w:szCs w:val="21"/>
        </w:rPr>
        <w:fldChar w:fldCharType="separate"/>
      </w:r>
      <w:r>
        <w:rPr>
          <w:rFonts w:ascii="Arial Regular" w:hAnsi="Arial Regular" w:cs="Arial Regular"/>
          <w:kern w:val="0"/>
          <w:szCs w:val="21"/>
          <w:vertAlign w:val="superscript"/>
        </w:rPr>
        <w:t>3</w:t>
      </w:r>
      <w:r>
        <w:rPr>
          <w:rFonts w:ascii="Arial Regular" w:hAnsi="Arial Regular" w:cs="Arial Regular"/>
          <w:szCs w:val="21"/>
        </w:rPr>
        <w:fldChar w:fldCharType="end"/>
      </w:r>
      <w:r>
        <w:rPr>
          <w:rFonts w:ascii="Arial Regular" w:hAnsi="Arial Regular" w:cs="Arial Regular"/>
          <w:szCs w:val="21"/>
        </w:rPr>
        <w:t xml:space="preserve">. Three main classes of BL1 conformations (i.e., the flat, the bent and the transitional) are identified. </w:t>
      </w:r>
      <w:r>
        <w:rPr>
          <w:rFonts w:ascii="Arial Bold" w:hAnsi="Arial Bold" w:cs="Arial Bold"/>
          <w:b/>
          <w:bCs/>
          <w:szCs w:val="21"/>
        </w:rPr>
        <w:t>d</w:t>
      </w:r>
      <w:r>
        <w:rPr>
          <w:rFonts w:ascii="Arial Regular" w:hAnsi="Arial Regular" w:cs="Arial Regular"/>
          <w:szCs w:val="21"/>
        </w:rPr>
        <w:t xml:space="preserve"> Proportions of different BL1 conformations in the four clusters shown in Fig. 2c. The great majority of conformations in cluster 2 and 4 have bent BL1. </w:t>
      </w:r>
      <w:r>
        <w:rPr>
          <w:rFonts w:ascii="Arial Bold" w:hAnsi="Arial Bold" w:cs="Arial Bold"/>
          <w:b/>
          <w:bCs/>
          <w:szCs w:val="21"/>
        </w:rPr>
        <w:t>e</w:t>
      </w:r>
      <w:r>
        <w:rPr>
          <w:rFonts w:ascii="Arial Regular" w:hAnsi="Arial Regular" w:cs="Arial Regular"/>
          <w:szCs w:val="21"/>
        </w:rPr>
        <w:t xml:space="preserve"> Definition of flip angle of Y432. The flip angle of Y432 is the angle between the vector </w:t>
      </w:r>
      <w:r>
        <w:rPr>
          <w:rFonts w:ascii="Arial Regular" w:hAnsi="Arial Regular" w:cs="Arial Regular"/>
          <w:color w:val="000000"/>
          <w:szCs w:val="21"/>
          <w:shd w:val="clear" w:color="auto" w:fill="FFFFFF"/>
        </w:rPr>
        <w:t>connecting</w:t>
      </w:r>
      <w:r>
        <w:rPr>
          <w:rFonts w:ascii="Arial Regular" w:hAnsi="Arial Regular" w:cs="Arial Regular"/>
          <w:szCs w:val="21"/>
        </w:rPr>
        <w:t xml:space="preserve"> CA to N and the vector connecting CB to CG. </w:t>
      </w:r>
      <w:r>
        <w:rPr>
          <w:rFonts w:ascii="Arial Bold" w:hAnsi="Arial Bold" w:cs="Arial Bold"/>
          <w:b/>
          <w:bCs/>
          <w:szCs w:val="21"/>
        </w:rPr>
        <w:t>f,h</w:t>
      </w:r>
      <w:r>
        <w:rPr>
          <w:rFonts w:ascii="Arial Regular" w:hAnsi="Arial Regular" w:cs="Arial Regular"/>
          <w:b/>
          <w:bCs/>
          <w:szCs w:val="21"/>
        </w:rPr>
        <w:t xml:space="preserve"> </w:t>
      </w:r>
      <w:r>
        <w:rPr>
          <w:rFonts w:ascii="Arial Regular" w:hAnsi="Arial Regular" w:cs="Arial Regular"/>
          <w:szCs w:val="21"/>
        </w:rPr>
        <w:t xml:space="preserve">Cellular viability assays of BamA mutants in the presence of arabinose. The viability assays in the absence of arabinose as shown in Fig. 3e-f. </w:t>
      </w:r>
      <w:r>
        <w:rPr>
          <w:rFonts w:ascii="Arial Bold" w:hAnsi="Arial Bold" w:cs="Arial Bold"/>
          <w:b/>
          <w:bCs/>
          <w:szCs w:val="21"/>
        </w:rPr>
        <w:t>g</w:t>
      </w:r>
      <w:r>
        <w:rPr>
          <w:rFonts w:ascii="Arial Regular" w:hAnsi="Arial Regular" w:cs="Arial Regular"/>
          <w:b/>
          <w:bCs/>
          <w:szCs w:val="21"/>
        </w:rPr>
        <w:t xml:space="preserve"> </w:t>
      </w:r>
      <w:r>
        <w:rPr>
          <w:rFonts w:ascii="Arial Regular" w:hAnsi="Arial Regular" w:cs="Arial Regular"/>
          <w:szCs w:val="21"/>
        </w:rPr>
        <w:t>Cell viability assays in the presence or absence of arabinose when ΔBL1 BamA mutants were treated with a lower concentration of vancomycin.</w:t>
      </w:r>
      <w:r>
        <w:rPr>
          <w:rFonts w:ascii="Arial Regular" w:hAnsi="Arial Regular" w:cs="Arial Regular"/>
          <w:b/>
          <w:bCs/>
          <w:szCs w:val="21"/>
        </w:rPr>
        <w:t xml:space="preserve"> </w:t>
      </w:r>
      <w:r>
        <w:rPr>
          <w:rFonts w:ascii="Arial Bold" w:hAnsi="Arial Bold" w:cs="Arial Bold"/>
          <w:b/>
          <w:bCs/>
          <w:szCs w:val="21"/>
        </w:rPr>
        <w:t>i</w:t>
      </w:r>
      <w:r>
        <w:rPr>
          <w:rFonts w:ascii="Arial Regular" w:hAnsi="Arial Regular" w:cs="Arial Regular"/>
          <w:szCs w:val="21"/>
        </w:rPr>
        <w:t xml:space="preserve"> Analysis of evolutionary conservation of BL1. Data were collected from BamA of different bacteria from UniProt</w:t>
      </w:r>
      <w:r>
        <w:rPr>
          <w:rFonts w:ascii="Arial Regular" w:hAnsi="Arial Regular" w:cs="Arial Regular"/>
          <w:szCs w:val="21"/>
        </w:rPr>
        <w:fldChar w:fldCharType="begin"/>
      </w:r>
      <w:r>
        <w:rPr>
          <w:rFonts w:ascii="Arial Regular" w:hAnsi="Arial Regular" w:cs="Arial Regular"/>
          <w:szCs w:val="21"/>
        </w:rPr>
        <w:instrText xml:space="preserve"> ADDIN ZOTERO_ITEM CSL_CITATION {"citationID":"twSi1RYZ","properties":{"formattedCitation":"\\super 4\\nosupersub{}","plainCitation":"4","noteIndex":0},"citationItems":[{"id":1756,"uris":["http://zotero.org/users/7025600/items/JF398QWD"],"itemData":{"id":1756,"type":"article-journal","abstract":"The aim of the UniProt Knowledgebase is to provide users with a comprehensive, high-quality and freely accessible set of protein sequences annotated with functional information. In this publication we describe enhancements made to our data processing pipeline and to our website to adapt to an ever-increasing information content. The number of sequences in UniProtKB has risen to over 227 million and we are working towards including a reference proteome for each taxonomic group. We continue to extract detailed annotations from the literature to update or create reviewed entries, while unreviewed entries are supplemented with annotations provided by automated systems using a variety of machine-learning techniques. In addition, the scientific community continues their contributions of publications and annotations to UniProt entries of their interest. Finally, we describe our new website (https://www.uniprot.org/), designed to enhance our users’ experience and make our data easily accessible to the research community. This interface includes access to AlphaFold structures for more than 85% of all entries as well as improved visualisations for subcellular localisation of proteins.","container-title":"Nucleic Acids Research","DOI":"10.1093/nar/gkac1052","ISSN":"0305-1048","issue":"D1","journalAbbreviation":"Nucleic Acids Research","page":"D523-D531","source":"Silverchair","title":"UniProt: the Universal Protein Knowledgebase in 2023","title-short":"UniProt","volume":"51","author":[{"literal":"The UniProt Consortium"}],"issued":{"date-parts":[["2023",1,6]]}}}],"schema":"https://github.com/citation-style-language/schema/raw/master/csl-citation.json"} </w:instrText>
      </w:r>
      <w:r>
        <w:rPr>
          <w:rFonts w:ascii="Arial Regular" w:hAnsi="Arial Regular" w:cs="Arial Regular"/>
          <w:szCs w:val="21"/>
        </w:rPr>
        <w:fldChar w:fldCharType="separate"/>
      </w:r>
      <w:r>
        <w:rPr>
          <w:rFonts w:ascii="Arial Regular" w:hAnsi="Arial Regular" w:cs="Arial Regular"/>
          <w:kern w:val="0"/>
          <w:szCs w:val="21"/>
          <w:vertAlign w:val="superscript"/>
        </w:rPr>
        <w:t>4</w:t>
      </w:r>
      <w:r>
        <w:rPr>
          <w:rFonts w:ascii="Arial Regular" w:hAnsi="Arial Regular" w:cs="Arial Regular"/>
          <w:szCs w:val="21"/>
        </w:rPr>
        <w:fldChar w:fldCharType="end"/>
      </w:r>
      <w:r>
        <w:rPr>
          <w:rFonts w:ascii="Arial Regular" w:hAnsi="Arial Regular" w:cs="Arial Regular"/>
          <w:szCs w:val="21"/>
        </w:rPr>
        <w:t xml:space="preserve">, which showed 45-95% sequence identity with BamA of </w:t>
      </w:r>
      <w:r>
        <w:rPr>
          <w:rFonts w:ascii="Arial Regular" w:hAnsi="Arial Regular" w:cs="Arial Regular"/>
          <w:i/>
          <w:iCs/>
          <w:szCs w:val="21"/>
        </w:rPr>
        <w:t>E. coli</w:t>
      </w:r>
      <w:r>
        <w:rPr>
          <w:rFonts w:ascii="Arial Regular" w:hAnsi="Arial Regular" w:cs="Arial Regular"/>
          <w:szCs w:val="21"/>
        </w:rPr>
        <w:t>.</w:t>
      </w:r>
    </w:p>
    <w:p>
      <w:pPr>
        <w:rPr>
          <w:rFonts w:ascii="Arial" w:hAnsi="Arial" w:cs="Arial"/>
        </w:rPr>
      </w:pPr>
    </w:p>
    <w:p>
      <w:pPr>
        <w:rPr>
          <w:rFonts w:ascii="Arial" w:hAnsi="Arial" w:cs="Arial"/>
        </w:rPr>
      </w:pPr>
      <w:r>
        <w:rPr>
          <w:rFonts w:ascii="Arial" w:hAnsi="Arial" w:cs="Arial"/>
          <w:lang w:val="en-GB"/>
        </w:rPr>
        <w:drawing>
          <wp:inline distT="0" distB="0" distL="0" distR="0">
            <wp:extent cx="5274310" cy="4796790"/>
            <wp:effectExtent l="0" t="0" r="0" b="3810"/>
            <wp:docPr id="149374138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741385" name="Picture 19"/>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796790"/>
                    </a:xfrm>
                    <a:prstGeom prst="rect">
                      <a:avLst/>
                    </a:prstGeom>
                  </pic:spPr>
                </pic:pic>
              </a:graphicData>
            </a:graphic>
          </wp:inline>
        </w:drawing>
      </w:r>
    </w:p>
    <w:p>
      <w:pPr>
        <w:rPr>
          <w:rFonts w:ascii="Arial" w:hAnsi="Arial" w:cs="Arial"/>
          <w:b/>
          <w:bCs/>
        </w:rPr>
      </w:pPr>
      <w:r>
        <w:rPr>
          <w:rFonts w:ascii="Arial" w:hAnsi="Arial" w:cs="Arial"/>
          <w:b/>
          <w:bCs/>
        </w:rPr>
        <w:t xml:space="preserve">Supplementary Fig. </w:t>
      </w:r>
      <w:r>
        <w:rPr>
          <w:rFonts w:hint="eastAsia" w:ascii="Arial" w:hAnsi="Arial" w:cs="Arial"/>
          <w:b/>
          <w:bCs/>
        </w:rPr>
        <w:t>8</w:t>
      </w:r>
      <w:r>
        <w:rPr>
          <w:rFonts w:ascii="Arial" w:hAnsi="Arial" w:cs="Arial"/>
          <w:b/>
          <w:bCs/>
        </w:rPr>
        <w:t xml:space="preserve"> Conformational changes sampled from the ready-to-close state of BamA. </w:t>
      </w:r>
      <w:r>
        <w:rPr>
          <w:rFonts w:ascii="Arial" w:hAnsi="Arial" w:cs="Arial"/>
          <w:b/>
          <w:bCs/>
          <w:szCs w:val="21"/>
        </w:rPr>
        <w:t xml:space="preserve">a </w:t>
      </w:r>
      <w:r>
        <w:rPr>
          <w:rFonts w:ascii="Arial" w:hAnsi="Arial" w:cs="Arial"/>
          <w:szCs w:val="21"/>
        </w:rPr>
        <w:t>Analysis of antiparallel β sheet between Bβ1 and Eβ12 in run 3.</w:t>
      </w:r>
      <w:r>
        <w:rPr>
          <w:rFonts w:ascii="Arial" w:hAnsi="Arial" w:cs="Arial"/>
          <w:b/>
          <w:bCs/>
        </w:rPr>
        <w:t xml:space="preserve"> b </w:t>
      </w:r>
      <w:r>
        <w:rPr>
          <w:rFonts w:ascii="Arial" w:hAnsi="Arial" w:cs="Arial"/>
        </w:rPr>
        <w:t xml:space="preserve">Snapshots of water molecules around I430/A1294 before and after the break of </w:t>
      </w:r>
      <w:r>
        <w:rPr>
          <w:rFonts w:hint="eastAsia" w:ascii="Arial" w:hAnsi="Arial" w:cs="Arial"/>
        </w:rPr>
        <w:t>the</w:t>
      </w:r>
      <w:r>
        <w:rPr>
          <w:rFonts w:ascii="Arial" w:hAnsi="Arial" w:cs="Arial"/>
        </w:rPr>
        <w:t xml:space="preserve"> hydrogen bond.</w:t>
      </w:r>
      <w:r>
        <w:rPr>
          <w:rFonts w:ascii="Arial" w:hAnsi="Arial" w:cs="Arial"/>
          <w:b/>
          <w:bCs/>
        </w:rPr>
        <w:t xml:space="preserve"> c </w:t>
      </w:r>
      <w:r>
        <w:rPr>
          <w:rFonts w:ascii="Arial" w:hAnsi="Arial" w:cs="Arial"/>
        </w:rPr>
        <w:t>Distance between BL1 and HPE, and number of water molecules within 4 Å of BamA extracellular loop 1-3 (BL1-3) and HPE</w:t>
      </w:r>
      <w:r>
        <w:rPr>
          <w:rFonts w:hint="eastAsia" w:ascii="Arial" w:hAnsi="Arial" w:cs="Arial"/>
        </w:rPr>
        <w:t xml:space="preserve"> in</w:t>
      </w:r>
      <w:r>
        <w:rPr>
          <w:rFonts w:ascii="Arial" w:hAnsi="Arial" w:cs="Arial"/>
        </w:rPr>
        <w:t xml:space="preserve"> run 3.</w:t>
      </w:r>
      <w:r>
        <w:rPr>
          <w:rFonts w:ascii="Arial" w:hAnsi="Arial" w:cs="Arial"/>
          <w:b/>
          <w:bCs/>
        </w:rPr>
        <w:t xml:space="preserve"> d </w:t>
      </w:r>
      <w:r>
        <w:rPr>
          <w:rFonts w:ascii="Arial" w:hAnsi="Arial" w:cs="Arial"/>
        </w:rPr>
        <w:t>Analysis of the β-signal separation and BamA self-folding in run 4.</w:t>
      </w:r>
      <w:r>
        <w:rPr>
          <w:rFonts w:ascii="Arial" w:hAnsi="Arial" w:cs="Arial"/>
          <w:b/>
          <w:bCs/>
        </w:rPr>
        <w:t xml:space="preserve"> e </w:t>
      </w:r>
      <w:r>
        <w:rPr>
          <w:rFonts w:ascii="Arial" w:hAnsi="Arial" w:cs="Arial"/>
        </w:rPr>
        <w:t>Snapshots of the hybrid barrel after the I430/A1294 separation in runs 2 and 4.</w:t>
      </w:r>
    </w:p>
    <w:p>
      <w:pPr>
        <w:rPr>
          <w:rFonts w:ascii="Arial" w:hAnsi="Arial" w:cs="Arial"/>
          <w:b/>
          <w:bCs/>
        </w:rPr>
      </w:pPr>
    </w:p>
    <w:p>
      <w:pPr>
        <w:rPr>
          <w:rFonts w:ascii="Arial" w:hAnsi="Arial" w:cs="Arial"/>
        </w:rPr>
      </w:pPr>
      <w:r>
        <w:rPr>
          <w:rFonts w:ascii="Arial" w:hAnsi="Arial" w:cs="Arial"/>
          <w:lang w:val="en-GB"/>
        </w:rPr>
        <w:drawing>
          <wp:inline distT="0" distB="0" distL="0" distR="0">
            <wp:extent cx="5274310" cy="1489710"/>
            <wp:effectExtent l="0" t="0" r="0" b="0"/>
            <wp:docPr id="94191552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915525" name="Picture 1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1489710"/>
                    </a:xfrm>
                    <a:prstGeom prst="rect">
                      <a:avLst/>
                    </a:prstGeom>
                  </pic:spPr>
                </pic:pic>
              </a:graphicData>
            </a:graphic>
          </wp:inline>
        </w:drawing>
      </w:r>
    </w:p>
    <w:p>
      <w:pPr>
        <w:rPr>
          <w:rFonts w:ascii="Arial" w:hAnsi="Arial" w:cs="Arial"/>
          <w:b/>
          <w:bCs/>
        </w:rPr>
      </w:pPr>
      <w:r>
        <w:rPr>
          <w:rFonts w:ascii="Arial" w:hAnsi="Arial" w:cs="Arial"/>
          <w:b/>
          <w:bCs/>
        </w:rPr>
        <w:t xml:space="preserve">Supplementary Fig. </w:t>
      </w:r>
      <w:r>
        <w:rPr>
          <w:rFonts w:hint="eastAsia" w:ascii="Arial" w:hAnsi="Arial" w:cs="Arial"/>
          <w:b/>
          <w:bCs/>
        </w:rPr>
        <w:t>9</w:t>
      </w:r>
      <w:r>
        <w:rPr>
          <w:rFonts w:ascii="Arial" w:hAnsi="Arial" w:cs="Arial"/>
          <w:b/>
          <w:bCs/>
        </w:rPr>
        <w:t xml:space="preserve"> An investigation into the function of </w:t>
      </w:r>
      <w:r>
        <w:rPr>
          <w:rFonts w:hint="eastAsia" w:ascii="Arial" w:hAnsi="Arial" w:cs="Arial"/>
          <w:b/>
          <w:bCs/>
        </w:rPr>
        <w:t>the</w:t>
      </w:r>
      <w:r>
        <w:rPr>
          <w:rFonts w:ascii="Arial" w:hAnsi="Arial" w:cs="Arial"/>
          <w:b/>
          <w:bCs/>
        </w:rPr>
        <w:t xml:space="preserve"> negatively charged residue in BL1. </w:t>
      </w:r>
      <w:r>
        <w:rPr>
          <w:rFonts w:ascii="Arial" w:hAnsi="Arial" w:cs="Arial"/>
        </w:rPr>
        <w:t>Cellular viability assays of the BamA E435A mutant in the absence of arabinose (</w:t>
      </w:r>
      <w:r>
        <w:rPr>
          <w:rFonts w:ascii="Arial" w:hAnsi="Arial" w:cs="Arial"/>
          <w:b/>
          <w:bCs/>
        </w:rPr>
        <w:t>a</w:t>
      </w:r>
      <w:r>
        <w:rPr>
          <w:rFonts w:ascii="Arial" w:hAnsi="Arial" w:cs="Arial"/>
        </w:rPr>
        <w:t>) and the presence of arabinose (</w:t>
      </w:r>
      <w:r>
        <w:rPr>
          <w:rFonts w:ascii="Arial" w:hAnsi="Arial" w:cs="Arial"/>
          <w:b/>
          <w:bCs/>
        </w:rPr>
        <w:t>b</w:t>
      </w:r>
      <w:r>
        <w:rPr>
          <w:rFonts w:ascii="Arial" w:hAnsi="Arial" w:cs="Arial"/>
        </w:rPr>
        <w:t xml:space="preserve">). The viability assays were </w:t>
      </w:r>
      <w:r>
        <w:rPr>
          <w:rFonts w:ascii="Arial" w:hAnsi="Arial" w:cs="Arial"/>
          <w:sz w:val="20"/>
          <w:szCs w:val="20"/>
        </w:rPr>
        <w:t>performed at least in triplicate with representative images shown.</w:t>
      </w:r>
    </w:p>
    <w:p>
      <w:pPr>
        <w:rPr>
          <w:rFonts w:ascii="Arial" w:hAnsi="Arial" w:cs="Arial"/>
          <w:b/>
          <w:bCs/>
        </w:rPr>
      </w:pPr>
      <w:r>
        <w:rPr>
          <w:rFonts w:ascii="Arial" w:hAnsi="Arial" w:cs="Arial"/>
          <w:b/>
          <w:bCs/>
          <w:lang w:val="en-GB"/>
        </w:rPr>
        <w:drawing>
          <wp:inline distT="0" distB="0" distL="0" distR="0">
            <wp:extent cx="5274310" cy="4859655"/>
            <wp:effectExtent l="0" t="0" r="0" b="4445"/>
            <wp:docPr id="10085063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506319" name="Picture 8"/>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4859655"/>
                    </a:xfrm>
                    <a:prstGeom prst="rect">
                      <a:avLst/>
                    </a:prstGeom>
                  </pic:spPr>
                </pic:pic>
              </a:graphicData>
            </a:graphic>
          </wp:inline>
        </w:drawing>
      </w:r>
    </w:p>
    <w:p>
      <w:pPr>
        <w:rPr>
          <w:rFonts w:ascii="Arial" w:hAnsi="Arial" w:cs="Arial"/>
          <w:b/>
          <w:bCs/>
        </w:rPr>
      </w:pPr>
      <w:r>
        <w:rPr>
          <w:rFonts w:ascii="Arial" w:hAnsi="Arial" w:cs="Arial"/>
          <w:b/>
          <w:bCs/>
        </w:rPr>
        <w:t xml:space="preserve">Supplementary Fig. </w:t>
      </w:r>
      <w:r>
        <w:rPr>
          <w:rFonts w:hint="eastAsia" w:ascii="Arial" w:hAnsi="Arial" w:cs="Arial"/>
          <w:b/>
          <w:bCs/>
        </w:rPr>
        <w:t>10</w:t>
      </w:r>
      <w:r>
        <w:rPr>
          <w:rFonts w:ascii="Arial" w:hAnsi="Arial" w:cs="Arial"/>
          <w:b/>
          <w:bCs/>
        </w:rPr>
        <w:t xml:space="preserve"> Explorations of pathway</w:t>
      </w:r>
      <w:r>
        <w:rPr>
          <w:rFonts w:hint="eastAsia" w:ascii="Arial" w:hAnsi="Arial" w:cs="Arial"/>
          <w:b/>
          <w:bCs/>
        </w:rPr>
        <w:t>s</w:t>
      </w:r>
      <w:r>
        <w:rPr>
          <w:rFonts w:ascii="Arial" w:hAnsi="Arial" w:cs="Arial"/>
          <w:b/>
          <w:bCs/>
        </w:rPr>
        <w:t xml:space="preserve"> of the </w:t>
      </w:r>
      <w:r>
        <w:rPr>
          <w:rFonts w:ascii="Arial" w:hAnsi="Arial" w:cs="Arial"/>
          <w:b/>
          <w:bCs/>
          <w:szCs w:val="21"/>
        </w:rPr>
        <w:t>β</w:t>
      </w:r>
      <w:r>
        <w:rPr>
          <w:rFonts w:ascii="Arial" w:hAnsi="Arial" w:cs="Arial"/>
          <w:szCs w:val="21"/>
        </w:rPr>
        <w:t>-</w:t>
      </w:r>
      <w:r>
        <w:rPr>
          <w:rFonts w:ascii="Arial" w:hAnsi="Arial" w:cs="Arial"/>
          <w:b/>
          <w:bCs/>
        </w:rPr>
        <w:t xml:space="preserve">signal </w:t>
      </w:r>
      <w:r>
        <w:rPr>
          <w:rFonts w:hint="eastAsia" w:ascii="Arial" w:hAnsi="Arial" w:cs="Arial"/>
          <w:b/>
          <w:bCs/>
        </w:rPr>
        <w:t>separ</w:t>
      </w:r>
      <w:r>
        <w:rPr>
          <w:rFonts w:ascii="Arial" w:hAnsi="Arial" w:cs="Arial"/>
          <w:b/>
          <w:bCs/>
        </w:rPr>
        <w:t xml:space="preserve">ation. </w:t>
      </w:r>
      <w:r>
        <w:rPr>
          <w:rFonts w:hint="eastAsia" w:ascii="Arial" w:hAnsi="Arial" w:cs="Arial"/>
          <w:b/>
          <w:bCs/>
        </w:rPr>
        <w:t>a</w:t>
      </w:r>
      <w:r>
        <w:rPr>
          <w:rFonts w:ascii="Arial" w:hAnsi="Arial" w:cs="Arial"/>
          <w:b/>
          <w:bCs/>
        </w:rPr>
        <w:t xml:space="preserve"> </w:t>
      </w:r>
      <w:r>
        <w:rPr>
          <w:rFonts w:ascii="Arial" w:hAnsi="Arial" w:cs="Arial"/>
        </w:rPr>
        <w:t>HREX simulations from the complexes during the hybrid barrel closing.</w:t>
      </w:r>
      <w:r>
        <w:rPr>
          <w:rFonts w:ascii="Arial" w:hAnsi="Arial" w:cs="Arial"/>
          <w:b/>
          <w:bCs/>
        </w:rPr>
        <w:t xml:space="preserve"> b </w:t>
      </w:r>
      <w:r>
        <w:rPr>
          <w:rFonts w:ascii="Arial" w:hAnsi="Arial" w:cs="Arial"/>
        </w:rPr>
        <w:t>Snapshots of a possible pathway of the spontaneous hybrid barrel closure.</w:t>
      </w:r>
      <w:r>
        <w:rPr>
          <w:rFonts w:ascii="Arial" w:hAnsi="Arial" w:cs="Arial"/>
          <w:b/>
          <w:bCs/>
        </w:rPr>
        <w:t xml:space="preserve"> </w:t>
      </w:r>
      <w:r>
        <w:rPr>
          <w:rFonts w:ascii="Arial" w:hAnsi="Arial" w:cs="Arial"/>
        </w:rPr>
        <w:t xml:space="preserve">The topology changes of hybrid barrel leave room for Eβ1 to bind to β signal. </w:t>
      </w:r>
      <w:r>
        <w:rPr>
          <w:rFonts w:ascii="Arial" w:hAnsi="Arial" w:cs="Arial"/>
          <w:b/>
          <w:bCs/>
        </w:rPr>
        <w:t xml:space="preserve"> </w:t>
      </w:r>
    </w:p>
    <w:p>
      <w:pPr>
        <w:rPr>
          <w:rFonts w:ascii="Arial" w:hAnsi="Arial" w:cs="Arial"/>
          <w:b/>
          <w:bCs/>
        </w:rPr>
      </w:pPr>
    </w:p>
    <w:p>
      <w:pPr>
        <w:rPr>
          <w:rFonts w:ascii="Arial" w:hAnsi="Arial" w:cs="Arial"/>
          <w:b/>
          <w:bCs/>
        </w:rPr>
      </w:pPr>
      <w:r>
        <w:rPr>
          <w:rFonts w:ascii="Arial" w:hAnsi="Arial" w:cs="Arial"/>
          <w:b/>
          <w:bCs/>
          <w:lang w:val="en-GB"/>
        </w:rPr>
        <w:drawing>
          <wp:inline distT="0" distB="0" distL="0" distR="0">
            <wp:extent cx="5274310" cy="1938020"/>
            <wp:effectExtent l="0" t="0" r="0" b="5080"/>
            <wp:docPr id="140016720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167200" name="Picture 10"/>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938020"/>
                    </a:xfrm>
                    <a:prstGeom prst="rect">
                      <a:avLst/>
                    </a:prstGeom>
                  </pic:spPr>
                </pic:pic>
              </a:graphicData>
            </a:graphic>
          </wp:inline>
        </w:drawing>
      </w:r>
    </w:p>
    <w:p>
      <w:pPr>
        <w:rPr>
          <w:rFonts w:ascii="Arial" w:hAnsi="Arial" w:cs="Arial"/>
          <w:b/>
          <w:bCs/>
        </w:rPr>
      </w:pPr>
      <w:r>
        <w:rPr>
          <w:rFonts w:ascii="Arial" w:hAnsi="Arial" w:cs="Arial"/>
          <w:b/>
          <w:bCs/>
        </w:rPr>
        <w:t xml:space="preserve">Supplementary Fig. </w:t>
      </w:r>
      <w:r>
        <w:rPr>
          <w:rFonts w:hint="eastAsia" w:ascii="Arial" w:hAnsi="Arial" w:cs="Arial"/>
          <w:b/>
          <w:bCs/>
        </w:rPr>
        <w:t>11</w:t>
      </w:r>
      <w:r>
        <w:rPr>
          <w:rFonts w:ascii="Arial" w:hAnsi="Arial" w:cs="Arial"/>
          <w:b/>
          <w:bCs/>
        </w:rPr>
        <w:t xml:space="preserve"> Spontaneous topology changes of BamA facilitate the approach of β1 to β signal. a </w:t>
      </w:r>
      <w:r>
        <w:rPr>
          <w:rFonts w:ascii="Arial" w:hAnsi="Arial" w:cs="Arial"/>
        </w:rPr>
        <w:t>Distance between backbone oxygen and nitrogen atoms</w:t>
      </w:r>
      <w:r>
        <w:rPr>
          <w:rFonts w:hint="eastAsia" w:ascii="Arial" w:hAnsi="Arial" w:cs="Arial"/>
        </w:rPr>
        <w:t>,</w:t>
      </w:r>
      <w:r>
        <w:rPr>
          <w:rFonts w:ascii="Arial" w:hAnsi="Arial" w:cs="Arial"/>
        </w:rPr>
        <w:t xml:space="preserve"> </w:t>
      </w:r>
      <w:r>
        <w:rPr>
          <w:rFonts w:hint="eastAsia" w:ascii="Arial" w:hAnsi="Arial" w:cs="Arial"/>
        </w:rPr>
        <w:t>which</w:t>
      </w:r>
      <w:r>
        <w:rPr>
          <w:rFonts w:ascii="Arial" w:hAnsi="Arial" w:cs="Arial"/>
        </w:rPr>
        <w:t xml:space="preserve"> </w:t>
      </w:r>
      <w:r>
        <w:rPr>
          <w:rFonts w:hint="eastAsia" w:ascii="Arial" w:hAnsi="Arial" w:cs="Arial"/>
        </w:rPr>
        <w:t>can</w:t>
      </w:r>
      <w:r>
        <w:rPr>
          <w:rFonts w:ascii="Arial" w:hAnsi="Arial" w:cs="Arial"/>
        </w:rPr>
        <w:t xml:space="preserve"> form hydrogen bonds between S1047 (on Eβ1) and V1292 (on β signal) in matured EspP during the hybrid barrel closure (</w:t>
      </w:r>
      <w:r>
        <w:rPr>
          <w:rFonts w:hint="eastAsia" w:ascii="Arial" w:hAnsi="Arial" w:cs="Arial"/>
        </w:rPr>
        <w:t>in</w:t>
      </w:r>
      <w:r>
        <w:rPr>
          <w:rFonts w:ascii="Arial" w:hAnsi="Arial" w:cs="Arial"/>
        </w:rPr>
        <w:t xml:space="preserve"> run 2).</w:t>
      </w:r>
      <w:r>
        <w:rPr>
          <w:rFonts w:hint="eastAsia" w:ascii="Arial" w:hAnsi="Arial" w:cs="Arial"/>
          <w:b/>
          <w:bCs/>
        </w:rPr>
        <w:t xml:space="preserve"> </w:t>
      </w:r>
      <w:r>
        <w:rPr>
          <w:rFonts w:ascii="Arial" w:hAnsi="Arial" w:cs="Arial"/>
          <w:b/>
          <w:bCs/>
        </w:rPr>
        <w:t xml:space="preserve">b </w:t>
      </w:r>
      <w:r>
        <w:rPr>
          <w:rFonts w:ascii="Arial" w:hAnsi="Arial" w:cs="Arial"/>
        </w:rPr>
        <w:t>Stability analysis of the hydrophobic interface between BamA and EspP during the closure (in run 2). The gr</w:t>
      </w:r>
      <w:r>
        <w:rPr>
          <w:rFonts w:hint="eastAsia" w:ascii="Arial" w:hAnsi="Arial" w:cs="Arial"/>
        </w:rPr>
        <w:t>e</w:t>
      </w:r>
      <w:r>
        <w:rPr>
          <w:rFonts w:ascii="Arial" w:hAnsi="Arial" w:cs="Arial"/>
        </w:rPr>
        <w:t xml:space="preserve">y dotted line represents the number of </w:t>
      </w:r>
      <w:r>
        <w:rPr>
          <w:rFonts w:hint="eastAsia" w:ascii="Arial" w:hAnsi="Arial" w:cs="Arial"/>
        </w:rPr>
        <w:t>contact</w:t>
      </w:r>
      <w:r>
        <w:rPr>
          <w:rFonts w:ascii="Arial" w:hAnsi="Arial" w:cs="Arial"/>
        </w:rPr>
        <w:t xml:space="preserve"> atoms (within 3 Å) </w:t>
      </w:r>
      <w:r>
        <w:rPr>
          <w:rFonts w:hint="eastAsia" w:ascii="Arial" w:hAnsi="Arial" w:cs="Arial"/>
        </w:rPr>
        <w:t>between</w:t>
      </w:r>
      <w:r>
        <w:rPr>
          <w:rFonts w:ascii="Arial" w:hAnsi="Arial" w:cs="Arial"/>
        </w:rPr>
        <w:t xml:space="preserve"> Bβ15-16 </w:t>
      </w:r>
      <w:r>
        <w:rPr>
          <w:rFonts w:hint="eastAsia" w:ascii="Arial" w:hAnsi="Arial" w:cs="Arial"/>
        </w:rPr>
        <w:t>and</w:t>
      </w:r>
      <w:r>
        <w:rPr>
          <w:rFonts w:ascii="Arial" w:hAnsi="Arial" w:cs="Arial"/>
        </w:rPr>
        <w:t xml:space="preserve"> Eβ1-4 of the hybrid barrel without the separation (PDB ID 8BNZ). </w:t>
      </w:r>
    </w:p>
    <w:p>
      <w:pPr>
        <w:rPr>
          <w:rFonts w:ascii="Arial" w:hAnsi="Arial" w:cs="Arial"/>
          <w:b/>
          <w:bCs/>
        </w:rPr>
      </w:pPr>
    </w:p>
    <w:p>
      <w:pPr>
        <w:rPr>
          <w:rFonts w:ascii="Arial" w:hAnsi="Arial" w:cs="Arial"/>
          <w:b/>
          <w:bCs/>
        </w:rPr>
      </w:pPr>
      <w:r>
        <w:rPr>
          <w:rFonts w:ascii="Arial" w:hAnsi="Arial" w:cs="Arial"/>
          <w:b/>
          <w:bCs/>
          <w:lang w:val="en-GB"/>
        </w:rPr>
        <w:drawing>
          <wp:inline distT="0" distB="0" distL="0" distR="0">
            <wp:extent cx="5274310" cy="4251960"/>
            <wp:effectExtent l="0" t="0" r="0" b="2540"/>
            <wp:docPr id="1820910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10157" name="Picture 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4251960"/>
                    </a:xfrm>
                    <a:prstGeom prst="rect">
                      <a:avLst/>
                    </a:prstGeom>
                  </pic:spPr>
                </pic:pic>
              </a:graphicData>
            </a:graphic>
          </wp:inline>
        </w:drawing>
      </w:r>
      <w:r>
        <w:rPr>
          <w:rFonts w:ascii="Arial" w:hAnsi="Arial" w:cs="Arial"/>
          <w:b/>
          <w:bCs/>
          <w:lang w:val="en-GB"/>
        </w:rPr>
        <w:drawing>
          <wp:inline distT="0" distB="0" distL="0" distR="0">
            <wp:extent cx="5274310" cy="6100445"/>
            <wp:effectExtent l="0" t="0" r="0" b="0"/>
            <wp:docPr id="1854667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66741" name="Picture 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6100445"/>
                    </a:xfrm>
                    <a:prstGeom prst="rect">
                      <a:avLst/>
                    </a:prstGeom>
                  </pic:spPr>
                </pic:pic>
              </a:graphicData>
            </a:graphic>
          </wp:inline>
        </w:drawing>
      </w:r>
    </w:p>
    <w:p>
      <w:pPr>
        <w:rPr>
          <w:rFonts w:ascii="Arial" w:hAnsi="Arial" w:cs="Arial"/>
          <w:b/>
          <w:bCs/>
        </w:rPr>
      </w:pPr>
      <w:r>
        <w:rPr>
          <w:rFonts w:ascii="Arial" w:hAnsi="Arial" w:cs="Arial"/>
          <w:b/>
          <w:bCs/>
        </w:rPr>
        <w:t>Supplementary Fig. 1</w:t>
      </w:r>
      <w:r>
        <w:rPr>
          <w:rFonts w:hint="eastAsia" w:ascii="Arial" w:hAnsi="Arial" w:cs="Arial"/>
          <w:b/>
          <w:bCs/>
        </w:rPr>
        <w:t>2</w:t>
      </w:r>
      <w:r>
        <w:rPr>
          <w:rFonts w:ascii="Arial" w:hAnsi="Arial" w:cs="Arial"/>
          <w:b/>
          <w:bCs/>
        </w:rPr>
        <w:t xml:space="preserve"> A catalysis cycle based on known structures of BAM-mediated EspP folding. a </w:t>
      </w:r>
      <w:r>
        <w:rPr>
          <w:rFonts w:ascii="Arial" w:hAnsi="Arial" w:cs="Arial"/>
        </w:rPr>
        <w:t xml:space="preserve">Schematic diagram showing the order of appearance of the different conformations in the catalysis cycle. </w:t>
      </w:r>
      <w:r>
        <w:rPr>
          <w:rFonts w:ascii="Arial" w:hAnsi="Arial" w:cs="Arial"/>
          <w:b/>
          <w:bCs/>
        </w:rPr>
        <w:t>b-g</w:t>
      </w:r>
      <w:r>
        <w:rPr>
          <w:rFonts w:ascii="Arial" w:hAnsi="Arial" w:cs="Arial"/>
        </w:rPr>
        <w:t xml:space="preserve"> Comparisons of BamA-E of known structures with different folding stages summarized in Table 1</w:t>
      </w:r>
      <w:r>
        <w:rPr>
          <w:rFonts w:ascii="Arial" w:hAnsi="Arial" w:cs="Arial"/>
          <w:sz w:val="20"/>
          <w:szCs w:val="20"/>
        </w:rPr>
        <w:t>, colored by subunit, with the views of BAM complexes and the orthogonal views from the top of BAM-EspP complexes.</w:t>
      </w:r>
      <w:r>
        <w:rPr>
          <w:rFonts w:ascii="Arial" w:hAnsi="Arial" w:cs="Arial"/>
        </w:rPr>
        <w:t xml:space="preserve"> </w:t>
      </w:r>
    </w:p>
    <w:p>
      <w:pPr>
        <w:rPr>
          <w:rFonts w:ascii="Arial" w:hAnsi="Arial" w:cs="Arial"/>
          <w:b/>
          <w:bCs/>
        </w:rPr>
      </w:pPr>
    </w:p>
    <w:p>
      <w:pPr>
        <w:rPr>
          <w:rFonts w:ascii="Arial" w:hAnsi="Arial" w:cs="Arial"/>
          <w:b/>
          <w:bCs/>
        </w:rPr>
      </w:pPr>
      <w:r>
        <w:rPr>
          <w:rFonts w:ascii="Arial" w:hAnsi="Arial" w:cs="Arial"/>
          <w:b/>
          <w:bCs/>
          <w:lang w:val="en-GB"/>
        </w:rPr>
        <w:drawing>
          <wp:inline distT="0" distB="0" distL="0" distR="0">
            <wp:extent cx="5274310" cy="6054725"/>
            <wp:effectExtent l="0" t="0" r="0" b="3175"/>
            <wp:docPr id="21078545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85458" name="Picture 12"/>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6054725"/>
                    </a:xfrm>
                    <a:prstGeom prst="rect">
                      <a:avLst/>
                    </a:prstGeom>
                  </pic:spPr>
                </pic:pic>
              </a:graphicData>
            </a:graphic>
          </wp:inline>
        </w:drawing>
      </w:r>
    </w:p>
    <w:p>
      <w:pPr>
        <w:rPr>
          <w:rFonts w:ascii="Arial" w:hAnsi="Arial" w:cs="Arial"/>
          <w:b/>
          <w:bCs/>
        </w:rPr>
      </w:pPr>
      <w:r>
        <w:rPr>
          <w:rFonts w:ascii="Arial" w:hAnsi="Arial" w:cs="Arial"/>
          <w:b/>
          <w:bCs/>
        </w:rPr>
        <w:t>Supplementary Fig. 1</w:t>
      </w:r>
      <w:r>
        <w:rPr>
          <w:rFonts w:hint="eastAsia" w:ascii="Arial" w:hAnsi="Arial" w:cs="Arial"/>
          <w:b/>
          <w:bCs/>
        </w:rPr>
        <w:t>3</w:t>
      </w:r>
      <w:r>
        <w:rPr>
          <w:rFonts w:ascii="Arial" w:hAnsi="Arial" w:cs="Arial"/>
          <w:b/>
          <w:bCs/>
        </w:rPr>
        <w:t xml:space="preserve"> BL1 in different stages </w:t>
      </w:r>
      <w:r>
        <w:rPr>
          <w:rFonts w:hint="eastAsia" w:ascii="Arial" w:hAnsi="Arial" w:cs="Arial"/>
          <w:b/>
          <w:bCs/>
        </w:rPr>
        <w:t>of</w:t>
      </w:r>
      <w:r>
        <w:rPr>
          <w:rFonts w:ascii="Arial" w:hAnsi="Arial" w:cs="Arial"/>
          <w:b/>
          <w:bCs/>
        </w:rPr>
        <w:t xml:space="preserve"> folding. </w:t>
      </w:r>
      <w:r>
        <w:rPr>
          <w:rFonts w:hint="eastAsia" w:ascii="Arial" w:hAnsi="Arial" w:cs="Arial"/>
          <w:b/>
          <w:bCs/>
        </w:rPr>
        <w:t>a</w:t>
      </w:r>
      <w:r>
        <w:rPr>
          <w:rFonts w:ascii="Arial" w:hAnsi="Arial" w:cs="Arial"/>
          <w:b/>
          <w:bCs/>
        </w:rPr>
        <w:t xml:space="preserve"> </w:t>
      </w:r>
      <w:r>
        <w:rPr>
          <w:rFonts w:ascii="Arial" w:hAnsi="Arial" w:cs="Arial"/>
        </w:rPr>
        <w:t>Position</w:t>
      </w:r>
      <w:r>
        <w:rPr>
          <w:rFonts w:hint="eastAsia" w:ascii="Arial" w:hAnsi="Arial" w:cs="Arial"/>
        </w:rPr>
        <w:t xml:space="preserve"> and conformtion</w:t>
      </w:r>
      <w:r>
        <w:rPr>
          <w:rFonts w:ascii="Arial" w:hAnsi="Arial" w:cs="Arial"/>
        </w:rPr>
        <w:t xml:space="preserve"> of BL1 during the earlier folding stages.</w:t>
      </w:r>
      <w:r>
        <w:rPr>
          <w:rFonts w:hint="eastAsia" w:ascii="Arial" w:hAnsi="Arial" w:cs="Arial"/>
          <w:b/>
          <w:bCs/>
        </w:rPr>
        <w:t xml:space="preserve"> b </w:t>
      </w:r>
      <w:r>
        <w:rPr>
          <w:rFonts w:ascii="Arial" w:hAnsi="Arial" w:cs="Arial"/>
        </w:rPr>
        <w:t>Comparison of</w:t>
      </w:r>
      <w:r>
        <w:rPr>
          <w:rFonts w:ascii="Arial" w:hAnsi="Arial" w:cs="Arial"/>
          <w:b/>
          <w:bCs/>
        </w:rPr>
        <w:t xml:space="preserve"> </w:t>
      </w:r>
      <w:r>
        <w:rPr>
          <w:rFonts w:ascii="Arial" w:hAnsi="Arial" w:cs="Arial"/>
        </w:rPr>
        <w:t xml:space="preserve">binding free energy difference of between no separation (cluster 1) and the initial separation (cluster 2) of Y432/V1292 by FEP/HREX. </w:t>
      </w:r>
    </w:p>
    <w:p>
      <w:pPr>
        <w:rPr>
          <w:rFonts w:ascii="Arial" w:hAnsi="Arial" w:cs="Arial"/>
          <w:b/>
          <w:bCs/>
        </w:rPr>
      </w:pPr>
      <w:r>
        <w:rPr>
          <w:rFonts w:ascii="Arial" w:hAnsi="Arial" w:cs="Arial"/>
          <w:b/>
          <w:bCs/>
          <w:lang w:val="en-GB"/>
        </w:rPr>
        <w:drawing>
          <wp:inline distT="0" distB="0" distL="0" distR="0">
            <wp:extent cx="5274310" cy="4260215"/>
            <wp:effectExtent l="0" t="0" r="0" b="0"/>
            <wp:docPr id="213500608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006083"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4260215"/>
                    </a:xfrm>
                    <a:prstGeom prst="rect">
                      <a:avLst/>
                    </a:prstGeom>
                  </pic:spPr>
                </pic:pic>
              </a:graphicData>
            </a:graphic>
          </wp:inline>
        </w:drawing>
      </w:r>
    </w:p>
    <w:p>
      <w:pPr>
        <w:widowControl/>
        <w:rPr>
          <w:rFonts w:ascii="宋体" w:hAnsi="宋体" w:eastAsia="宋体" w:cs="宋体"/>
          <w:szCs w:val="21"/>
          <w:lang w:bidi="ar"/>
        </w:rPr>
      </w:pPr>
      <w:r>
        <w:rPr>
          <w:rFonts w:ascii="Arial" w:hAnsi="Arial" w:cs="Arial"/>
          <w:b/>
          <w:bCs/>
          <w:szCs w:val="21"/>
        </w:rPr>
        <w:t>Supplementary Fig. 1</w:t>
      </w:r>
      <w:r>
        <w:rPr>
          <w:rFonts w:hint="eastAsia" w:ascii="Arial" w:hAnsi="Arial" w:cs="Arial"/>
          <w:b/>
          <w:bCs/>
          <w:szCs w:val="21"/>
        </w:rPr>
        <w:t>4</w:t>
      </w:r>
      <w:r>
        <w:rPr>
          <w:rFonts w:ascii="Arial" w:hAnsi="Arial" w:cs="Arial"/>
          <w:b/>
          <w:bCs/>
          <w:szCs w:val="21"/>
        </w:rPr>
        <w:t xml:space="preserve"> Robustness of BamA in the self-folding process. a </w:t>
      </w:r>
      <w:r>
        <w:rPr>
          <w:rFonts w:ascii="Arial" w:hAnsi="Arial" w:cs="Arial"/>
          <w:szCs w:val="21"/>
        </w:rPr>
        <w:t xml:space="preserve">Sequence alignment of BL2 and BL3 from </w:t>
      </w:r>
      <w:r>
        <w:rPr>
          <w:rFonts w:ascii="Arial Italic" w:hAnsi="Arial Italic" w:cs="Arial Italic"/>
          <w:i/>
          <w:iCs/>
          <w:szCs w:val="21"/>
        </w:rPr>
        <w:t>Neisseria gonorrhoeae</w:t>
      </w:r>
      <w:r>
        <w:rPr>
          <w:rFonts w:ascii="Arial" w:hAnsi="Arial" w:cs="Arial"/>
          <w:szCs w:val="21"/>
        </w:rPr>
        <w:t xml:space="preserve"> (Ng), </w:t>
      </w:r>
      <w:r>
        <w:rPr>
          <w:rFonts w:ascii="Arial Italic" w:hAnsi="Arial Italic" w:cs="Arial Italic"/>
          <w:i/>
          <w:iCs/>
          <w:szCs w:val="21"/>
        </w:rPr>
        <w:t>Haemophilus ducreyi</w:t>
      </w:r>
      <w:r>
        <w:rPr>
          <w:rFonts w:ascii="Arial" w:hAnsi="Arial" w:cs="Arial"/>
          <w:szCs w:val="21"/>
        </w:rPr>
        <w:t xml:space="preserve"> (Hd), </w:t>
      </w:r>
      <w:r>
        <w:rPr>
          <w:rFonts w:ascii="Arial Italic" w:hAnsi="Arial Italic" w:cs="Arial Italic"/>
          <w:i/>
          <w:iCs/>
          <w:szCs w:val="21"/>
        </w:rPr>
        <w:t>Escherichia coli</w:t>
      </w:r>
      <w:r>
        <w:rPr>
          <w:rFonts w:ascii="Arial" w:hAnsi="Arial" w:cs="Arial"/>
          <w:szCs w:val="21"/>
        </w:rPr>
        <w:t xml:space="preserve"> (Ec) and </w:t>
      </w:r>
      <w:r>
        <w:rPr>
          <w:rFonts w:ascii="Arial Italic" w:hAnsi="Arial Italic" w:cs="Arial Italic"/>
          <w:i/>
          <w:iCs/>
          <w:szCs w:val="21"/>
        </w:rPr>
        <w:t>Salmonella enterica</w:t>
      </w:r>
      <w:r>
        <w:rPr>
          <w:rFonts w:ascii="Arial" w:hAnsi="Arial" w:cs="Arial"/>
          <w:szCs w:val="21"/>
        </w:rPr>
        <w:t xml:space="preserve"> (Se). Hydrophobic, aromatic and polar amino acids are colored in light green, light purple and light orange, respectively.</w:t>
      </w:r>
      <w:r>
        <w:rPr>
          <w:rFonts w:ascii="Arial" w:hAnsi="Arial" w:cs="Arial"/>
          <w:b/>
          <w:bCs/>
          <w:szCs w:val="21"/>
        </w:rPr>
        <w:t xml:space="preserve"> b-c </w:t>
      </w:r>
      <w:r>
        <w:rPr>
          <w:rFonts w:ascii="Arial" w:hAnsi="Arial" w:cs="Arial"/>
          <w:szCs w:val="21"/>
        </w:rPr>
        <w:t>Snapshots of BL3 and interfaces of BL2 and BL3, with the hybrid barrel shown by translucent cartoons, amino acids with changed conformations shown by sticks.</w:t>
      </w:r>
      <w:r>
        <w:rPr>
          <w:rFonts w:ascii="Arial" w:hAnsi="Arial" w:cs="Arial"/>
          <w:b/>
          <w:bCs/>
          <w:szCs w:val="21"/>
        </w:rPr>
        <w:t xml:space="preserve"> d </w:t>
      </w:r>
      <w:r>
        <w:rPr>
          <w:rFonts w:ascii="Arial" w:hAnsi="Arial" w:eastAsia="宋体" w:cs="Arial"/>
          <w:szCs w:val="21"/>
          <w:lang w:bidi="ar"/>
        </w:rPr>
        <w:t xml:space="preserve">Cell viability assays with mutants mutated according to </w:t>
      </w:r>
      <w:r>
        <w:rPr>
          <w:rFonts w:ascii="Arial Bold" w:hAnsi="Arial Bold" w:eastAsia="宋体" w:cs="Arial Bold"/>
          <w:b/>
          <w:bCs/>
          <w:szCs w:val="21"/>
          <w:lang w:bidi="ar"/>
        </w:rPr>
        <w:t>b-c</w:t>
      </w:r>
      <w:r>
        <w:rPr>
          <w:rFonts w:ascii="Arial" w:hAnsi="Arial" w:eastAsia="宋体" w:cs="Arial"/>
          <w:szCs w:val="21"/>
          <w:lang w:bidi="ar"/>
        </w:rPr>
        <w:t>. Each was performed at least in triplicate with representative images shown.</w:t>
      </w:r>
      <w:r>
        <w:rPr>
          <w:rFonts w:ascii="宋体" w:hAnsi="宋体" w:eastAsia="宋体" w:cs="宋体"/>
          <w:szCs w:val="21"/>
          <w:lang w:bidi="ar"/>
        </w:rPr>
        <w:t xml:space="preserve"> </w:t>
      </w:r>
    </w:p>
    <w:p>
      <w:pPr>
        <w:widowControl/>
        <w:rPr>
          <w:rFonts w:hint="eastAsia" w:ascii="宋体" w:hAnsi="宋体" w:eastAsia="宋体" w:cs="宋体"/>
          <w:szCs w:val="21"/>
          <w:lang w:eastAsia="zh-CN" w:bidi="ar"/>
        </w:rPr>
      </w:pPr>
      <w:r>
        <w:rPr>
          <w:rFonts w:hint="eastAsia" w:ascii="宋体" w:hAnsi="宋体" w:eastAsia="宋体" w:cs="宋体"/>
          <w:szCs w:val="21"/>
          <w:lang w:eastAsia="zh-CN" w:bidi="ar"/>
        </w:rPr>
        <w:drawing>
          <wp:inline distT="0" distB="0" distL="114300" distR="114300">
            <wp:extent cx="5261610" cy="3385820"/>
            <wp:effectExtent l="0" t="0" r="21590" b="17780"/>
            <wp:docPr id="1" name="Picture 1" descr="Screen Shot 2023-09-24 at 8.25.33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creen Shot 2023-09-24 at 8.25.33 PM"/>
                    <pic:cNvPicPr>
                      <a:picLocks noChangeAspect="1"/>
                    </pic:cNvPicPr>
                  </pic:nvPicPr>
                  <pic:blipFill>
                    <a:blip r:embed="rId20"/>
                    <a:stretch>
                      <a:fillRect/>
                    </a:stretch>
                  </pic:blipFill>
                  <pic:spPr>
                    <a:xfrm>
                      <a:off x="0" y="0"/>
                      <a:ext cx="5261610" cy="3385820"/>
                    </a:xfrm>
                    <a:prstGeom prst="rect">
                      <a:avLst/>
                    </a:prstGeom>
                  </pic:spPr>
                </pic:pic>
              </a:graphicData>
            </a:graphic>
          </wp:inline>
        </w:drawing>
      </w:r>
      <w:bookmarkStart w:id="0" w:name="_GoBack"/>
      <w:bookmarkEnd w:id="0"/>
    </w:p>
    <w:p>
      <w:pPr>
        <w:widowControl/>
        <w:rPr>
          <w:rFonts w:ascii="Arial" w:hAnsi="Arial" w:cs="Arial"/>
          <w:b/>
          <w:bCs/>
          <w:szCs w:val="21"/>
        </w:rPr>
      </w:pPr>
      <w:r>
        <w:rPr>
          <w:rFonts w:ascii="Arial" w:hAnsi="Arial" w:cs="Arial"/>
          <w:b/>
          <w:bCs/>
          <w:szCs w:val="21"/>
        </w:rPr>
        <w:t>Supplementary Fig. 1</w:t>
      </w:r>
      <w:r>
        <w:rPr>
          <w:rFonts w:hint="eastAsia" w:ascii="Arial" w:hAnsi="Arial" w:cs="Arial"/>
          <w:b/>
          <w:bCs/>
          <w:szCs w:val="21"/>
        </w:rPr>
        <w:t>5</w:t>
      </w:r>
      <w:r>
        <w:rPr>
          <w:rFonts w:ascii="Arial" w:hAnsi="Arial" w:cs="Arial"/>
          <w:b/>
          <w:bCs/>
          <w:szCs w:val="21"/>
        </w:rPr>
        <w:t xml:space="preserve"> </w:t>
      </w:r>
      <w:r>
        <w:rPr>
          <w:rFonts w:hint="eastAsia" w:ascii="Arial" w:hAnsi="Arial" w:cs="Arial"/>
          <w:b/>
          <w:bCs/>
          <w:sz w:val="20"/>
          <w:szCs w:val="20"/>
        </w:rPr>
        <w:t>S</w:t>
      </w:r>
      <w:r>
        <w:rPr>
          <w:rFonts w:ascii="Arial" w:hAnsi="Arial" w:cs="Arial"/>
          <w:b/>
          <w:bCs/>
          <w:sz w:val="20"/>
          <w:szCs w:val="20"/>
        </w:rPr>
        <w:t>peculative free energy landscape of the late-stage folding.</w:t>
      </w:r>
      <w:r>
        <w:rPr>
          <w:rFonts w:hint="eastAsia" w:ascii="Arial" w:hAnsi="Arial" w:cs="Arial"/>
          <w:b/>
          <w:bCs/>
          <w:szCs w:val="21"/>
        </w:rPr>
        <w:t xml:space="preserve"> </w:t>
      </w:r>
      <w:r>
        <w:rPr>
          <w:rFonts w:hint="eastAsia" w:ascii="Arial" w:hAnsi="Arial" w:cs="Arial"/>
          <w:b/>
          <w:bCs/>
          <w:sz w:val="20"/>
          <w:szCs w:val="20"/>
        </w:rPr>
        <w:t>a</w:t>
      </w:r>
      <w:r>
        <w:rPr>
          <w:rFonts w:ascii="Arial" w:hAnsi="Arial" w:cs="Arial"/>
          <w:b/>
          <w:bCs/>
          <w:sz w:val="20"/>
          <w:szCs w:val="20"/>
        </w:rPr>
        <w:t xml:space="preserve"> </w:t>
      </w:r>
      <w:r>
        <w:rPr>
          <w:rFonts w:ascii="Arial" w:hAnsi="Arial" w:cs="Arial"/>
          <w:sz w:val="20"/>
          <w:szCs w:val="20"/>
        </w:rPr>
        <w:t>A speculative free energy landscape of the hybrid barrel with five BamA conformations and different EspP conformations. Two β-signal separation events occur at the transitional stage</w:t>
      </w:r>
      <w:r>
        <w:rPr>
          <w:rFonts w:hint="eastAsia" w:ascii="Arial" w:hAnsi="Arial" w:cs="Arial"/>
          <w:sz w:val="20"/>
          <w:szCs w:val="20"/>
        </w:rPr>
        <w:t>s</w:t>
      </w:r>
      <w:r>
        <w:rPr>
          <w:rFonts w:ascii="Arial" w:hAnsi="Arial" w:cs="Arial"/>
          <w:sz w:val="20"/>
          <w:szCs w:val="20"/>
        </w:rPr>
        <w:t xml:space="preserve"> of the process.</w:t>
      </w:r>
    </w:p>
    <w:p>
      <w:pPr>
        <w:widowControl/>
        <w:rPr>
          <w:rFonts w:ascii="Arial" w:hAnsi="Arial" w:cs="Arial"/>
          <w:b/>
          <w:bCs/>
          <w:szCs w:val="21"/>
        </w:rPr>
      </w:pPr>
    </w:p>
    <w:p>
      <w:pPr>
        <w:rPr>
          <w:rFonts w:ascii="Arial" w:hAnsi="Arial" w:cs="Arial"/>
          <w:b/>
          <w:bCs/>
        </w:rPr>
      </w:pPr>
      <w:r>
        <w:rPr>
          <w:rFonts w:ascii="Arial" w:hAnsi="Arial" w:cs="Arial"/>
          <w:b/>
          <w:bCs/>
          <w:lang w:val="en-GB"/>
        </w:rPr>
        <w:drawing>
          <wp:inline distT="0" distB="0" distL="0" distR="0">
            <wp:extent cx="5274310" cy="3790315"/>
            <wp:effectExtent l="0" t="0" r="0" b="0"/>
            <wp:docPr id="1437787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7874" name="Picture 15"/>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790315"/>
                    </a:xfrm>
                    <a:prstGeom prst="rect">
                      <a:avLst/>
                    </a:prstGeom>
                  </pic:spPr>
                </pic:pic>
              </a:graphicData>
            </a:graphic>
          </wp:inline>
        </w:drawing>
      </w:r>
    </w:p>
    <w:p>
      <w:pPr>
        <w:rPr>
          <w:rFonts w:ascii="Arial" w:hAnsi="Arial" w:cs="Arial"/>
          <w:b/>
          <w:bCs/>
          <w:szCs w:val="21"/>
        </w:rPr>
      </w:pPr>
      <w:r>
        <w:rPr>
          <w:rFonts w:ascii="Arial" w:hAnsi="Arial" w:cs="Arial"/>
          <w:b/>
          <w:bCs/>
          <w:szCs w:val="21"/>
        </w:rPr>
        <w:t>Supplementary Fig. 1</w:t>
      </w:r>
      <w:r>
        <w:rPr>
          <w:rFonts w:hint="eastAsia" w:ascii="Arial" w:hAnsi="Arial" w:cs="Arial"/>
          <w:b/>
          <w:bCs/>
          <w:szCs w:val="21"/>
        </w:rPr>
        <w:t>6</w:t>
      </w:r>
      <w:r>
        <w:rPr>
          <w:rFonts w:ascii="Arial" w:hAnsi="Arial" w:cs="Arial"/>
          <w:b/>
          <w:bCs/>
          <w:szCs w:val="21"/>
        </w:rPr>
        <w:t xml:space="preserve"> The partial solute selected at the interface between BamA and EspP for HREX simulations. </w:t>
      </w:r>
      <w:r>
        <w:rPr>
          <w:rFonts w:ascii="Arial" w:hAnsi="Arial" w:cs="Arial"/>
          <w:szCs w:val="21"/>
        </w:rPr>
        <w:t>The residues scaled with all atoms are shown by salmon sticks, and the residues scaled with only side chains are shown by light orange sticks.</w:t>
      </w:r>
    </w:p>
    <w:p>
      <w:pPr>
        <w:rPr>
          <w:rFonts w:ascii="Arial" w:hAnsi="Arial" w:cs="Arial"/>
          <w:b/>
          <w:bCs/>
        </w:rPr>
      </w:pPr>
      <w:r>
        <w:rPr>
          <w:rFonts w:ascii="Arial" w:hAnsi="Arial" w:cs="Arial"/>
          <w:b/>
          <w:bCs/>
        </w:rPr>
        <w:drawing>
          <wp:inline distT="0" distB="0" distL="0" distR="0">
            <wp:extent cx="5274310" cy="1952625"/>
            <wp:effectExtent l="0" t="0" r="0" b="3175"/>
            <wp:docPr id="17612150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215032" name="Picture 2"/>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1952625"/>
                    </a:xfrm>
                    <a:prstGeom prst="rect">
                      <a:avLst/>
                    </a:prstGeom>
                  </pic:spPr>
                </pic:pic>
              </a:graphicData>
            </a:graphic>
          </wp:inline>
        </w:drawing>
      </w:r>
    </w:p>
    <w:p>
      <w:pPr>
        <w:widowControl/>
        <w:rPr>
          <w:szCs w:val="21"/>
        </w:rPr>
      </w:pPr>
      <w:r>
        <w:rPr>
          <w:rFonts w:ascii="Arial" w:hAnsi="Arial" w:cs="Arial"/>
          <w:b/>
          <w:bCs/>
          <w:szCs w:val="21"/>
        </w:rPr>
        <w:t>Supplementary Fig. 1</w:t>
      </w:r>
      <w:r>
        <w:rPr>
          <w:rFonts w:hint="eastAsia" w:ascii="Arial" w:hAnsi="Arial" w:cs="Arial"/>
          <w:b/>
          <w:bCs/>
          <w:szCs w:val="21"/>
        </w:rPr>
        <w:t>7</w:t>
      </w:r>
      <w:r>
        <w:rPr>
          <w:rFonts w:ascii="Arial" w:hAnsi="Arial" w:cs="Arial"/>
          <w:b/>
          <w:bCs/>
          <w:szCs w:val="21"/>
        </w:rPr>
        <w:t xml:space="preserve"> Confirmation of the stability of FEP/HREX simulations. a </w:t>
      </w:r>
      <w:r>
        <w:rPr>
          <w:rFonts w:ascii="Arial" w:hAnsi="Arial" w:cs="Arial"/>
          <w:szCs w:val="21"/>
        </w:rPr>
        <w:t xml:space="preserve">Comparison of the complexes before the annihilation, after GTESG→GAAAG and after GAAAG→Dummy. </w:t>
      </w:r>
    </w:p>
    <w:p>
      <w:pPr>
        <w:rPr>
          <w:rFonts w:ascii="Arial" w:hAnsi="Arial" w:cs="Arial"/>
          <w:b/>
          <w:bCs/>
        </w:rPr>
      </w:pPr>
    </w:p>
    <w:p>
      <w:pPr>
        <w:rPr>
          <w:rFonts w:ascii="Arial" w:hAnsi="Arial" w:cs="Arial"/>
          <w:b/>
          <w:bCs/>
        </w:rPr>
      </w:pPr>
    </w:p>
    <w:p>
      <w:pPr>
        <w:rPr>
          <w:rFonts w:ascii="Arial" w:hAnsi="Arial" w:cs="Arial"/>
          <w:b/>
          <w:bCs/>
        </w:rPr>
      </w:pPr>
    </w:p>
    <w:p>
      <w:pPr>
        <w:rPr>
          <w:rFonts w:ascii="Arial" w:hAnsi="Arial" w:cs="Arial"/>
          <w:b/>
          <w:bCs/>
        </w:rPr>
      </w:pPr>
      <w:r>
        <w:rPr>
          <w:rFonts w:ascii="Arial" w:hAnsi="Arial" w:cs="Arial"/>
          <w:b/>
          <w:bCs/>
        </w:rPr>
        <w:t>Supplementary References</w:t>
      </w:r>
    </w:p>
    <w:p>
      <w:pPr>
        <w:pStyle w:val="5"/>
        <w:rPr>
          <w:rFonts w:ascii="Arial" w:hAnsi="Arial" w:cs="Arial"/>
        </w:rPr>
      </w:pPr>
      <w:r>
        <w:rPr>
          <w:rFonts w:ascii="Arial" w:hAnsi="Arial" w:cs="Arial"/>
          <w:b/>
          <w:bCs/>
        </w:rPr>
        <w:fldChar w:fldCharType="begin"/>
      </w:r>
      <w:r>
        <w:rPr>
          <w:rFonts w:ascii="Arial" w:hAnsi="Arial" w:cs="Arial"/>
          <w:b/>
          <w:bCs/>
        </w:rPr>
        <w:instrText xml:space="preserve"> ADDIN ZOTERO_BIBL {"uncited":[],"omitted":[],"custom":[]} CSL_BIBLIOGRAPHY </w:instrText>
      </w:r>
      <w:r>
        <w:rPr>
          <w:rFonts w:ascii="Arial" w:hAnsi="Arial" w:cs="Arial"/>
          <w:b/>
          <w:bCs/>
        </w:rPr>
        <w:fldChar w:fldCharType="separate"/>
      </w:r>
      <w:r>
        <w:rPr>
          <w:rFonts w:ascii="Arial" w:hAnsi="Arial" w:cs="Arial"/>
        </w:rPr>
        <w:t>1.</w:t>
      </w:r>
      <w:r>
        <w:rPr>
          <w:rFonts w:ascii="Arial" w:hAnsi="Arial" w:cs="Arial"/>
        </w:rPr>
        <w:tab/>
      </w:r>
      <w:r>
        <w:rPr>
          <w:rFonts w:ascii="Arial" w:hAnsi="Arial" w:cs="Arial"/>
        </w:rPr>
        <w:t xml:space="preserve">Stivala, A., Wybrow, M., Wirth, A., Whisstock, J. C. &amp; Stuckey, P. J. Automatic generation of protein structure cartoons with Pro-origami. </w:t>
      </w:r>
      <w:r>
        <w:rPr>
          <w:rFonts w:ascii="Arial" w:hAnsi="Arial" w:cs="Arial"/>
          <w:i/>
          <w:iCs/>
        </w:rPr>
        <w:t>Bioinformatics</w:t>
      </w:r>
      <w:r>
        <w:rPr>
          <w:rFonts w:ascii="Arial" w:hAnsi="Arial" w:cs="Arial"/>
        </w:rPr>
        <w:t xml:space="preserve"> </w:t>
      </w:r>
      <w:r>
        <w:rPr>
          <w:rFonts w:ascii="Arial" w:hAnsi="Arial" w:cs="Arial"/>
          <w:b/>
          <w:bCs/>
        </w:rPr>
        <w:t>27</w:t>
      </w:r>
      <w:r>
        <w:rPr>
          <w:rFonts w:ascii="Arial" w:hAnsi="Arial" w:cs="Arial"/>
        </w:rPr>
        <w:t>, 3315–3316 (2011).</w:t>
      </w:r>
    </w:p>
    <w:p>
      <w:pPr>
        <w:pStyle w:val="5"/>
        <w:rPr>
          <w:rFonts w:ascii="Arial" w:hAnsi="Arial" w:cs="Arial"/>
        </w:rPr>
      </w:pPr>
      <w:r>
        <w:rPr>
          <w:rFonts w:ascii="Arial" w:hAnsi="Arial" w:cs="Arial"/>
        </w:rPr>
        <w:t>2.</w:t>
      </w:r>
      <w:r>
        <w:rPr>
          <w:rFonts w:ascii="Arial" w:hAnsi="Arial" w:cs="Arial"/>
        </w:rPr>
        <w:tab/>
      </w:r>
      <w:r>
        <w:rPr>
          <w:rFonts w:ascii="Arial" w:hAnsi="Arial" w:cs="Arial"/>
        </w:rPr>
        <w:t xml:space="preserve">Frishman, D. &amp; Argos, P. Knowledge-based protein secondary structure assignment. </w:t>
      </w:r>
      <w:r>
        <w:rPr>
          <w:rFonts w:ascii="Arial" w:hAnsi="Arial" w:cs="Arial"/>
          <w:i/>
          <w:iCs/>
        </w:rPr>
        <w:t>Proteins: Structure, Function, and Bioinformatics</w:t>
      </w:r>
      <w:r>
        <w:rPr>
          <w:rFonts w:ascii="Arial" w:hAnsi="Arial" w:cs="Arial"/>
        </w:rPr>
        <w:t xml:space="preserve"> </w:t>
      </w:r>
      <w:r>
        <w:rPr>
          <w:rFonts w:ascii="Arial" w:hAnsi="Arial" w:cs="Arial"/>
          <w:b/>
          <w:bCs/>
        </w:rPr>
        <w:t>23</w:t>
      </w:r>
      <w:r>
        <w:rPr>
          <w:rFonts w:ascii="Arial" w:hAnsi="Arial" w:cs="Arial"/>
        </w:rPr>
        <w:t>, 566–579 (1995).</w:t>
      </w:r>
    </w:p>
    <w:p>
      <w:pPr>
        <w:pStyle w:val="5"/>
        <w:rPr>
          <w:rFonts w:ascii="Arial" w:hAnsi="Arial" w:cs="Arial"/>
        </w:rPr>
      </w:pPr>
      <w:r>
        <w:rPr>
          <w:rFonts w:ascii="Arial" w:hAnsi="Arial" w:cs="Arial"/>
        </w:rPr>
        <w:t>3.</w:t>
      </w:r>
      <w:r>
        <w:rPr>
          <w:rFonts w:ascii="Arial" w:hAnsi="Arial" w:cs="Arial"/>
        </w:rPr>
        <w:tab/>
      </w:r>
      <w:r>
        <w:rPr>
          <w:rFonts w:ascii="Arial" w:hAnsi="Arial" w:cs="Arial"/>
        </w:rPr>
        <w:t xml:space="preserve">Daura, X. </w:t>
      </w:r>
      <w:r>
        <w:rPr>
          <w:rFonts w:ascii="Arial" w:hAnsi="Arial" w:cs="Arial"/>
          <w:i/>
          <w:iCs/>
        </w:rPr>
        <w:t>et al.</w:t>
      </w:r>
      <w:r>
        <w:rPr>
          <w:rFonts w:ascii="Arial" w:hAnsi="Arial" w:cs="Arial"/>
        </w:rPr>
        <w:t xml:space="preserve"> Peptide Folding: When Simulation Meets Experiment. </w:t>
      </w:r>
      <w:r>
        <w:rPr>
          <w:rFonts w:ascii="Arial" w:hAnsi="Arial" w:cs="Arial"/>
          <w:i/>
          <w:iCs/>
        </w:rPr>
        <w:t>Angewandte Chemie International Edition</w:t>
      </w:r>
      <w:r>
        <w:rPr>
          <w:rFonts w:ascii="Arial" w:hAnsi="Arial" w:cs="Arial"/>
        </w:rPr>
        <w:t xml:space="preserve"> </w:t>
      </w:r>
      <w:r>
        <w:rPr>
          <w:rFonts w:ascii="Arial" w:hAnsi="Arial" w:cs="Arial"/>
          <w:b/>
          <w:bCs/>
        </w:rPr>
        <w:t>38</w:t>
      </w:r>
      <w:r>
        <w:rPr>
          <w:rFonts w:ascii="Arial" w:hAnsi="Arial" w:cs="Arial"/>
        </w:rPr>
        <w:t>, 236–240 (1999).</w:t>
      </w:r>
    </w:p>
    <w:p>
      <w:pPr>
        <w:pStyle w:val="5"/>
        <w:rPr>
          <w:rFonts w:ascii="Arial" w:hAnsi="Arial" w:cs="Arial"/>
        </w:rPr>
      </w:pPr>
      <w:r>
        <w:rPr>
          <w:rFonts w:ascii="Arial" w:hAnsi="Arial" w:cs="Arial"/>
        </w:rPr>
        <w:t>4.</w:t>
      </w:r>
      <w:r>
        <w:rPr>
          <w:rFonts w:ascii="Arial" w:hAnsi="Arial" w:cs="Arial"/>
        </w:rPr>
        <w:tab/>
      </w:r>
      <w:r>
        <w:rPr>
          <w:rFonts w:ascii="Arial" w:hAnsi="Arial" w:cs="Arial"/>
        </w:rPr>
        <w:t xml:space="preserve">The UniProt Consortium. UniProt: the Universal Protein Knowledgebase in 2023. </w:t>
      </w:r>
      <w:r>
        <w:rPr>
          <w:rFonts w:ascii="Arial" w:hAnsi="Arial" w:cs="Arial"/>
          <w:i/>
          <w:iCs/>
        </w:rPr>
        <w:t>Nucleic Acids Research</w:t>
      </w:r>
      <w:r>
        <w:rPr>
          <w:rFonts w:ascii="Arial" w:hAnsi="Arial" w:cs="Arial"/>
        </w:rPr>
        <w:t xml:space="preserve"> </w:t>
      </w:r>
      <w:r>
        <w:rPr>
          <w:rFonts w:ascii="Arial" w:hAnsi="Arial" w:cs="Arial"/>
          <w:b/>
          <w:bCs/>
        </w:rPr>
        <w:t>51</w:t>
      </w:r>
      <w:r>
        <w:rPr>
          <w:rFonts w:ascii="Arial" w:hAnsi="Arial" w:cs="Arial"/>
        </w:rPr>
        <w:t>, D523–D531 (2023).</w:t>
      </w:r>
    </w:p>
    <w:p>
      <w:pPr>
        <w:rPr>
          <w:rFonts w:ascii="Arial" w:hAnsi="Arial" w:cs="Arial"/>
          <w:b/>
          <w:bCs/>
        </w:rPr>
      </w:pPr>
      <w:r>
        <w:rPr>
          <w:rFonts w:ascii="Arial" w:hAnsi="Arial" w:cs="Arial"/>
          <w:b/>
          <w:bCs/>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Bold">
    <w:panose1 w:val="020B0604020202090204"/>
    <w:charset w:val="00"/>
    <w:family w:val="auto"/>
    <w:pitch w:val="default"/>
    <w:sig w:usb0="E0000AFF" w:usb1="00007843" w:usb2="00000001" w:usb3="00000000" w:csb0="400001BF" w:csb1="DFF70000"/>
  </w:font>
  <w:font w:name="Arial Regular">
    <w:panose1 w:val="020B0604020202090204"/>
    <w:charset w:val="00"/>
    <w:family w:val="auto"/>
    <w:pitch w:val="default"/>
    <w:sig w:usb0="E0000AFF" w:usb1="00007843" w:usb2="00000001" w:usb3="00000000" w:csb0="400001BF" w:csb1="DFF70000"/>
  </w:font>
  <w:font w:name="Arial Italic">
    <w:panose1 w:val="020B0604020202090204"/>
    <w:charset w:val="00"/>
    <w:family w:val="auto"/>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embedSystemFonts/>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EB26E5"/>
    <w:rsid w:val="00032391"/>
    <w:rsid w:val="00054B3D"/>
    <w:rsid w:val="00086589"/>
    <w:rsid w:val="000E3754"/>
    <w:rsid w:val="00145336"/>
    <w:rsid w:val="00145A51"/>
    <w:rsid w:val="00146E1B"/>
    <w:rsid w:val="001709AF"/>
    <w:rsid w:val="001F12AE"/>
    <w:rsid w:val="001F531C"/>
    <w:rsid w:val="002121E2"/>
    <w:rsid w:val="002260C5"/>
    <w:rsid w:val="002C133D"/>
    <w:rsid w:val="003911A3"/>
    <w:rsid w:val="003B6B17"/>
    <w:rsid w:val="00451F27"/>
    <w:rsid w:val="0047775E"/>
    <w:rsid w:val="00480D77"/>
    <w:rsid w:val="00504388"/>
    <w:rsid w:val="005315A0"/>
    <w:rsid w:val="00536DF1"/>
    <w:rsid w:val="00550092"/>
    <w:rsid w:val="00562F5C"/>
    <w:rsid w:val="005677B2"/>
    <w:rsid w:val="00606F9B"/>
    <w:rsid w:val="00657054"/>
    <w:rsid w:val="006D6A57"/>
    <w:rsid w:val="00710D6C"/>
    <w:rsid w:val="00744A70"/>
    <w:rsid w:val="007651FB"/>
    <w:rsid w:val="007B78F2"/>
    <w:rsid w:val="007B7CC7"/>
    <w:rsid w:val="007C1CA3"/>
    <w:rsid w:val="00831F5C"/>
    <w:rsid w:val="00833A0C"/>
    <w:rsid w:val="008D1AA4"/>
    <w:rsid w:val="008D76BD"/>
    <w:rsid w:val="0090325F"/>
    <w:rsid w:val="00920543"/>
    <w:rsid w:val="009243DA"/>
    <w:rsid w:val="009E35D8"/>
    <w:rsid w:val="00A3647C"/>
    <w:rsid w:val="00A41F2F"/>
    <w:rsid w:val="00B06629"/>
    <w:rsid w:val="00B5202F"/>
    <w:rsid w:val="00B57148"/>
    <w:rsid w:val="00B80203"/>
    <w:rsid w:val="00B80C22"/>
    <w:rsid w:val="00C00680"/>
    <w:rsid w:val="00C238D4"/>
    <w:rsid w:val="00C25A22"/>
    <w:rsid w:val="00C952E3"/>
    <w:rsid w:val="00CD1410"/>
    <w:rsid w:val="00CE6F4D"/>
    <w:rsid w:val="00D17E21"/>
    <w:rsid w:val="00D31314"/>
    <w:rsid w:val="00D672EC"/>
    <w:rsid w:val="00DE5080"/>
    <w:rsid w:val="00E401BA"/>
    <w:rsid w:val="00E85CAC"/>
    <w:rsid w:val="00FA340C"/>
    <w:rsid w:val="00FE0679"/>
    <w:rsid w:val="165F5942"/>
    <w:rsid w:val="1EBF0D02"/>
    <w:rsid w:val="376B748E"/>
    <w:rsid w:val="3BF71959"/>
    <w:rsid w:val="3EAF2B3F"/>
    <w:rsid w:val="43E50416"/>
    <w:rsid w:val="470F0CA5"/>
    <w:rsid w:val="47FFAB97"/>
    <w:rsid w:val="4C7735A6"/>
    <w:rsid w:val="53FE3B59"/>
    <w:rsid w:val="6E5FEA40"/>
    <w:rsid w:val="6ECE32B8"/>
    <w:rsid w:val="73EDC83A"/>
    <w:rsid w:val="73F34D79"/>
    <w:rsid w:val="75BFA81A"/>
    <w:rsid w:val="7774F029"/>
    <w:rsid w:val="7C7F163D"/>
    <w:rsid w:val="7EF709EA"/>
    <w:rsid w:val="7F7F344A"/>
    <w:rsid w:val="7FE84DA4"/>
    <w:rsid w:val="7FF7CEF6"/>
    <w:rsid w:val="7FFE23CD"/>
    <w:rsid w:val="9F8A2B77"/>
    <w:rsid w:val="BFEB26E5"/>
    <w:rsid w:val="BFFF4F62"/>
    <w:rsid w:val="D57720F1"/>
    <w:rsid w:val="D6DB504B"/>
    <w:rsid w:val="D77D8ECA"/>
    <w:rsid w:val="DDFFCC53"/>
    <w:rsid w:val="DFB5BFB4"/>
    <w:rsid w:val="DFDB12CF"/>
    <w:rsid w:val="DFFF60C2"/>
    <w:rsid w:val="E1FF9C41"/>
    <w:rsid w:val="E5DD417A"/>
    <w:rsid w:val="EB7F04E7"/>
    <w:rsid w:val="EBDF30D4"/>
    <w:rsid w:val="EBEB48E9"/>
    <w:rsid w:val="EDE37CAF"/>
    <w:rsid w:val="EF77F298"/>
    <w:rsid w:val="F5AB509E"/>
    <w:rsid w:val="FBFEEEE7"/>
    <w:rsid w:val="FED99A3B"/>
    <w:rsid w:val="FF13193B"/>
    <w:rsid w:val="FF8F150F"/>
    <w:rsid w:val="FF9D4008"/>
    <w:rsid w:val="FFF558A1"/>
    <w:rsid w:val="FFFE73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basedOn w:val="2"/>
    <w:qFormat/>
    <w:uiPriority w:val="0"/>
    <w:rPr>
      <w:sz w:val="16"/>
      <w:szCs w:val="16"/>
    </w:rPr>
  </w:style>
  <w:style w:type="paragraph" w:customStyle="1" w:styleId="5">
    <w:name w:val="Bibliography1"/>
    <w:basedOn w:val="1"/>
    <w:next w:val="1"/>
    <w:unhideWhenUsed/>
    <w:qFormat/>
    <w:uiPriority w:val="37"/>
    <w:pPr>
      <w:tabs>
        <w:tab w:val="left" w:pos="260"/>
      </w:tabs>
      <w:spacing w:line="480" w:lineRule="auto"/>
      <w:ind w:left="264" w:hanging="264"/>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3" Type="http://schemas.openxmlformats.org/officeDocument/2006/relationships/fontTable" Target="fontTable.xml"/><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2329</Words>
  <Characters>13279</Characters>
  <Lines>110</Lines>
  <Paragraphs>31</Paragraphs>
  <TotalTime>46</TotalTime>
  <ScaleCrop>false</ScaleCrop>
  <LinksUpToDate>false</LinksUpToDate>
  <CharactersWithSpaces>15577</CharactersWithSpaces>
  <Application>WPS Office_6.2.0.8299_F1E327BC-269C-435d-A152-05C5408002CA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2023-06-20T07:13:00Z</dcterms:created>
  <dc:creator>谢腾</dc:creator>
  <cp:lastModifiedBy>谢腾</cp:lastModifiedBy>
  <dcterms:modified xsi:type="dcterms:W3CDTF">2023-09-24T20:25:55Z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1033-6.2.0.8299</vt:lpwstr>
  </property>
  <property fmtid="{D5CDD505-2E9C-101B-9397-08002B2CF9AE}" pid="3" name="ICV">
    <vt:lpwstr>005433A8946D1116BF2310659B51D5CE_43</vt:lpwstr>
  </property>
  <property fmtid="{D5CDD505-2E9C-101B-9397-08002B2CF9AE}" pid="4" name="ZOTERO_PREF_1">
    <vt:lpwstr>&lt;data data-version="3" zotero-version="6.0.26"&gt;&lt;session id="SHMQCvue"/&gt;&lt;style id="http://www.zotero.org/styles/nature" hasBibliography="1" bibliographyStyleHasBeenSet="1"/&gt;&lt;prefs&gt;&lt;pref name="fieldType" value="Field"/&gt;&lt;/prefs&gt;&lt;/data&gt;</vt:lpwstr>
  </property>
</Properties>
</file>