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 w:after="120" w:line="36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>Supplementary materials</w:t>
      </w:r>
    </w:p>
    <w:bookmarkEnd w:id="0"/>
    <w:p>
      <w:pPr>
        <w:spacing w:after="1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Table S1.</w:t>
      </w:r>
      <w:r>
        <w:rPr>
          <w:rFonts w:ascii="Times New Roman" w:hAnsi="Times New Roman"/>
          <w:sz w:val="20"/>
          <w:szCs w:val="20"/>
        </w:rPr>
        <w:t xml:space="preserve"> The significant differences in means of </w:t>
      </w:r>
      <w:r>
        <w:rPr>
          <w:rFonts w:hint="eastAsia" w:ascii="Times New Roman" w:hAnsi="Times New Roman"/>
          <w:sz w:val="20"/>
          <w:szCs w:val="20"/>
        </w:rPr>
        <w:t>grey and white matter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hint="eastAsia" w:ascii="Times New Roman" w:hAnsi="Times New Roman"/>
          <w:sz w:val="20"/>
          <w:szCs w:val="20"/>
        </w:rPr>
        <w:t>surface</w:t>
      </w:r>
      <w:r>
        <w:rPr>
          <w:rFonts w:ascii="Times New Roman" w:hAnsi="Times New Roman"/>
          <w:sz w:val="20"/>
          <w:szCs w:val="20"/>
        </w:rPr>
        <w:t xml:space="preserve"> area stats between the spinal muscular atrophy patients and study controls (SMA, HC)</w:t>
      </w:r>
    </w:p>
    <w:tbl>
      <w:tblPr>
        <w:tblStyle w:val="3"/>
        <w:tblW w:w="85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1"/>
        <w:gridCol w:w="2647"/>
        <w:gridCol w:w="1741"/>
        <w:gridCol w:w="1378"/>
        <w:gridCol w:w="13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1" w:type="dxa"/>
            <w:tcBorders>
              <w:left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Cerebral lobe</w:t>
            </w:r>
          </w:p>
        </w:tc>
        <w:tc>
          <w:tcPr>
            <w:tcW w:w="2647" w:type="dxa"/>
            <w:tcBorders>
              <w:left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Area</w:t>
            </w:r>
          </w:p>
        </w:tc>
        <w:tc>
          <w:tcPr>
            <w:tcW w:w="4491" w:type="dxa"/>
            <w:gridSpan w:val="3"/>
            <w:tcBorders>
              <w:left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Mean Su</w:t>
            </w:r>
            <w:r>
              <w:rPr>
                <w:rFonts w:hint="eastAsia" w:ascii="Times New Roman" w:hAnsi="Times New Roman"/>
                <w:sz w:val="20"/>
                <w:szCs w:val="20"/>
              </w:rPr>
              <w:t>rface</w:t>
            </w:r>
            <w:r>
              <w:rPr>
                <w:rFonts w:ascii="Times New Roman" w:hAnsi="Times New Roman"/>
                <w:sz w:val="20"/>
                <w:szCs w:val="20"/>
              </w:rPr>
              <w:t> Area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1" w:type="dxa"/>
            <w:tcBorders>
              <w:left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7" w:type="dxa"/>
            <w:tcBorders>
              <w:left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1" w:type="dxa"/>
            <w:tcBorders>
              <w:left w:val="nil"/>
              <w:right w:val="nil"/>
            </w:tcBorders>
          </w:tcPr>
          <w:p>
            <w:pPr>
              <w:spacing w:after="12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HC (Mean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SD)</w:t>
            </w:r>
          </w:p>
        </w:tc>
        <w:tc>
          <w:tcPr>
            <w:tcW w:w="1378" w:type="dxa"/>
            <w:tcBorders>
              <w:left w:val="nil"/>
              <w:right w:val="nil"/>
            </w:tcBorders>
          </w:tcPr>
          <w:p>
            <w:pPr>
              <w:spacing w:after="12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SMA (Mean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SD)</w:t>
            </w:r>
          </w:p>
        </w:tc>
        <w:tc>
          <w:tcPr>
            <w:tcW w:w="1372" w:type="dxa"/>
            <w:tcBorders>
              <w:left w:val="nil"/>
              <w:right w:val="nil"/>
            </w:tcBorders>
          </w:tcPr>
          <w:p>
            <w:pPr>
              <w:spacing w:after="12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FDR adj.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p</w:t>
            </w:r>
            <w:r>
              <w:rPr>
                <w:rFonts w:ascii="Times New Roman" w:hAnsi="Times New Roman"/>
                <w:sz w:val="20"/>
                <w:szCs w:val="20"/>
              </w:rPr>
              <w:t>-value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461" w:type="dxa"/>
            <w:vMerge w:val="restart"/>
            <w:tcBorders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Frontal lobe</w:t>
            </w:r>
          </w:p>
        </w:tc>
        <w:tc>
          <w:tcPr>
            <w:tcW w:w="2647" w:type="dxa"/>
            <w:tcBorders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lh_G_front_infOpercular</w:t>
            </w:r>
          </w:p>
        </w:tc>
        <w:tc>
          <w:tcPr>
            <w:tcW w:w="1741" w:type="dxa"/>
            <w:tcBorders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1150.66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289.87</w:t>
            </w:r>
          </w:p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8" w:type="dxa"/>
            <w:tcBorders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982.36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183.15</w:t>
            </w:r>
          </w:p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2" w:type="dxa"/>
            <w:tcBorders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46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rh_G_front_infOpercular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1193.89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290.12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1001.57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172.42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6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lh_G_precentral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1949.55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272.27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1769.81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243.64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rh_G_precentral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1971.50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273.12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1704.10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276.28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＜</w:t>
            </w:r>
            <w:r>
              <w:rPr>
                <w:rFonts w:ascii="Times New Roman" w:hAnsi="Times New Roman"/>
                <w:sz w:val="20"/>
                <w:szCs w:val="20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lh_Lat_FisantHorizont</w:t>
            </w:r>
          </w:p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226.50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39.77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193.40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39.73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rh_Lat_FisantHorizont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280.53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53.08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245.52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59.92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lh_S_precentralinfpart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1289.55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253.51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1134.55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223.37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rh_S_precentralinfpart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1372.13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282.26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1106.86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275.21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＜</w:t>
            </w:r>
            <w:r>
              <w:rPr>
                <w:rFonts w:ascii="Times New Roman" w:hAnsi="Times New Roman"/>
                <w:sz w:val="20"/>
                <w:szCs w:val="20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lh_G_front_infTriangul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989.71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242.15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814.12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193.47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lh_Lat_FisantVertical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275.84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81.29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221.55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54.15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lh_S_front_inf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1832.84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393.72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1568.00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355.81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Occipital lobe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lh_G_occipital_sup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1102.84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172.75</w:t>
            </w:r>
          </w:p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985.50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157.55</w:t>
            </w:r>
          </w:p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Parietal lobe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lh_G_pariet_infAngular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2305.45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427.06</w:t>
            </w:r>
          </w:p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2019.60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396.16</w:t>
            </w:r>
          </w:p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rh_G_pariet_infAngular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2570.21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485.77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2200.10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479.21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lh_G_pariet_infSupramar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2548.79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512.22</w:t>
            </w:r>
          </w:p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2200.60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473.57</w:t>
            </w:r>
          </w:p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rh_G_postcentral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1600.55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248.74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1402.88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232.79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rh_S_postcentral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1802.71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367.26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1585.14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346.25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Insular lobe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lh_S_circular_insula_sup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1182.08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123.39</w:t>
            </w:r>
          </w:p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1091.90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139.47</w:t>
            </w:r>
          </w:p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Temporal lobe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lh_S_temporal_sup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4776.89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952.81</w:t>
            </w:r>
          </w:p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4230.55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833.78</w:t>
            </w:r>
          </w:p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rh_S_temporal_sup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4953.55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1029.69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4276.60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909.58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rh_G_temporal_inf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2026.79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358.60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1796.98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359.60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Central sulcus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rh_S_central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2103.68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260.25</w:t>
            </w:r>
          </w:p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1854.67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310.14</w:t>
            </w:r>
          </w:p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＜</w:t>
            </w:r>
            <w:r>
              <w:rPr>
                <w:rFonts w:ascii="Times New Roman" w:hAnsi="Times New Roman"/>
                <w:sz w:val="20"/>
                <w:szCs w:val="20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Total White Superficial Area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lh_White Superficial Area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93657.47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9021.01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87247.29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11208.98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1" w:type="dxa"/>
            <w:vMerge w:val="continue"/>
            <w:tcBorders>
              <w:top w:val="nil"/>
              <w:left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rh_White Superficial Area</w:t>
            </w:r>
          </w:p>
        </w:tc>
        <w:tc>
          <w:tcPr>
            <w:tcW w:w="1741" w:type="dxa"/>
            <w:tcBorders>
              <w:top w:val="nil"/>
              <w:left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92987.83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9284.72</w:t>
            </w:r>
          </w:p>
        </w:tc>
        <w:tc>
          <w:tcPr>
            <w:tcW w:w="1378" w:type="dxa"/>
            <w:tcBorders>
              <w:top w:val="nil"/>
              <w:left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86394.24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11948.22</w:t>
            </w:r>
          </w:p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0.028</w:t>
            </w:r>
          </w:p>
        </w:tc>
      </w:tr>
    </w:tbl>
    <w:p>
      <w:pPr>
        <w:spacing w:after="1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FDR false discovery ratio, adj adjusted. </w:t>
      </w:r>
      <w:r>
        <w:rPr>
          <w:rFonts w:ascii="Times New Roman" w:hAnsi="Times New Roman"/>
          <w:i/>
          <w:iCs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 xml:space="preserve"> values adjusted for false discovery ratio with the Benjamini</w:t>
      </w:r>
      <w:r>
        <w:rPr>
          <w:rFonts w:hint="eastAsia"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Hochberg method; the above </w:t>
      </w:r>
      <w:r>
        <w:rPr>
          <w:rFonts w:ascii="Times New Roman" w:hAnsi="Times New Roman"/>
          <w:i/>
          <w:iCs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 xml:space="preserve"> values were all statistically significant.</w:t>
      </w:r>
    </w:p>
    <w:p>
      <w:pPr>
        <w:spacing w:after="120"/>
        <w:rPr>
          <w:rFonts w:ascii="Times New Roman" w:hAnsi="Times New Roman"/>
          <w:sz w:val="20"/>
          <w:szCs w:val="20"/>
        </w:rPr>
      </w:pPr>
    </w:p>
    <w:p>
      <w:pPr>
        <w:spacing w:after="120"/>
        <w:rPr>
          <w:rFonts w:ascii="Times New Roman" w:hAnsi="Times New Roman"/>
          <w:sz w:val="20"/>
          <w:szCs w:val="20"/>
        </w:rPr>
      </w:pPr>
    </w:p>
    <w:p>
      <w:pPr>
        <w:spacing w:after="120"/>
        <w:rPr>
          <w:rFonts w:ascii="Times New Roman" w:hAnsi="Times New Roman"/>
          <w:sz w:val="20"/>
          <w:szCs w:val="20"/>
        </w:rPr>
      </w:pPr>
    </w:p>
    <w:p>
      <w:pPr>
        <w:spacing w:after="120"/>
        <w:rPr>
          <w:rFonts w:ascii="Times New Roman" w:hAnsi="Times New Roman"/>
          <w:sz w:val="20"/>
          <w:szCs w:val="20"/>
        </w:rPr>
      </w:pPr>
    </w:p>
    <w:p>
      <w:pPr>
        <w:spacing w:after="120"/>
        <w:rPr>
          <w:rFonts w:ascii="Times New Roman" w:hAnsi="Times New Roman"/>
          <w:sz w:val="20"/>
          <w:szCs w:val="20"/>
        </w:rPr>
      </w:pPr>
    </w:p>
    <w:p>
      <w:pPr>
        <w:spacing w:after="120"/>
        <w:rPr>
          <w:rFonts w:ascii="Times New Roman" w:hAnsi="Times New Roman"/>
          <w:sz w:val="20"/>
          <w:szCs w:val="20"/>
        </w:rPr>
      </w:pPr>
    </w:p>
    <w:p>
      <w:pPr>
        <w:spacing w:after="120"/>
        <w:rPr>
          <w:rFonts w:ascii="Times New Roman" w:hAnsi="Times New Roman"/>
          <w:sz w:val="20"/>
          <w:szCs w:val="20"/>
        </w:rPr>
      </w:pPr>
    </w:p>
    <w:p>
      <w:pPr>
        <w:spacing w:after="120"/>
        <w:rPr>
          <w:rFonts w:ascii="Times New Roman" w:hAnsi="Times New Roman"/>
          <w:sz w:val="20"/>
          <w:szCs w:val="20"/>
        </w:rPr>
      </w:pPr>
    </w:p>
    <w:p>
      <w:pPr>
        <w:spacing w:after="120"/>
        <w:rPr>
          <w:rFonts w:ascii="Times New Roman" w:hAnsi="Times New Roman"/>
          <w:sz w:val="20"/>
          <w:szCs w:val="20"/>
        </w:rPr>
      </w:pPr>
    </w:p>
    <w:p>
      <w:pPr>
        <w:spacing w:after="120"/>
        <w:rPr>
          <w:rFonts w:ascii="Times New Roman" w:hAnsi="Times New Roman"/>
          <w:sz w:val="20"/>
          <w:szCs w:val="20"/>
        </w:rPr>
      </w:pPr>
    </w:p>
    <w:p>
      <w:pPr>
        <w:spacing w:after="120"/>
        <w:rPr>
          <w:rFonts w:ascii="Times New Roman" w:hAnsi="Times New Roman"/>
          <w:sz w:val="20"/>
          <w:szCs w:val="20"/>
        </w:rPr>
      </w:pPr>
    </w:p>
    <w:p>
      <w:pPr>
        <w:spacing w:after="120"/>
        <w:rPr>
          <w:rFonts w:ascii="Times New Roman" w:hAnsi="Times New Roman"/>
          <w:sz w:val="20"/>
          <w:szCs w:val="20"/>
        </w:rPr>
      </w:pPr>
    </w:p>
    <w:p>
      <w:pPr>
        <w:spacing w:after="120"/>
        <w:rPr>
          <w:rFonts w:ascii="Times New Roman" w:hAnsi="Times New Roman"/>
          <w:sz w:val="20"/>
          <w:szCs w:val="20"/>
        </w:rPr>
      </w:pPr>
    </w:p>
    <w:p>
      <w:pPr>
        <w:spacing w:after="120"/>
        <w:rPr>
          <w:rFonts w:ascii="Times New Roman" w:hAnsi="Times New Roman"/>
          <w:sz w:val="20"/>
          <w:szCs w:val="20"/>
        </w:rPr>
      </w:pPr>
    </w:p>
    <w:p>
      <w:pPr>
        <w:spacing w:after="120"/>
        <w:rPr>
          <w:rFonts w:ascii="Times New Roman" w:hAnsi="Times New Roman"/>
          <w:sz w:val="20"/>
          <w:szCs w:val="20"/>
        </w:rPr>
      </w:pPr>
    </w:p>
    <w:p>
      <w:pPr>
        <w:spacing w:after="120"/>
        <w:rPr>
          <w:rFonts w:ascii="Times New Roman" w:hAnsi="Times New Roman"/>
          <w:sz w:val="20"/>
          <w:szCs w:val="20"/>
        </w:rPr>
      </w:pPr>
    </w:p>
    <w:p>
      <w:pPr>
        <w:spacing w:after="120"/>
        <w:rPr>
          <w:rFonts w:ascii="Times New Roman" w:hAnsi="Times New Roman"/>
          <w:sz w:val="20"/>
          <w:szCs w:val="20"/>
        </w:rPr>
      </w:pPr>
    </w:p>
    <w:p>
      <w:pPr>
        <w:spacing w:after="120"/>
        <w:rPr>
          <w:rFonts w:ascii="Times New Roman" w:hAnsi="Times New Roman"/>
          <w:sz w:val="20"/>
          <w:szCs w:val="20"/>
        </w:rPr>
      </w:pPr>
    </w:p>
    <w:p>
      <w:pPr>
        <w:spacing w:after="120"/>
        <w:rPr>
          <w:rFonts w:ascii="Times New Roman" w:hAnsi="Times New Roman"/>
          <w:sz w:val="20"/>
          <w:szCs w:val="20"/>
        </w:rPr>
      </w:pPr>
    </w:p>
    <w:p>
      <w:pPr>
        <w:spacing w:after="120"/>
        <w:rPr>
          <w:rFonts w:ascii="Times New Roman" w:hAnsi="Times New Roman"/>
          <w:sz w:val="20"/>
          <w:szCs w:val="20"/>
        </w:rPr>
      </w:pPr>
    </w:p>
    <w:p>
      <w:pPr>
        <w:spacing w:after="120"/>
        <w:rPr>
          <w:rFonts w:ascii="Times New Roman" w:hAnsi="Times New Roman"/>
          <w:sz w:val="20"/>
          <w:szCs w:val="20"/>
        </w:rPr>
      </w:pPr>
    </w:p>
    <w:p>
      <w:pPr>
        <w:spacing w:after="120"/>
        <w:rPr>
          <w:rFonts w:ascii="Times New Roman" w:hAnsi="Times New Roman"/>
          <w:sz w:val="20"/>
          <w:szCs w:val="20"/>
        </w:rPr>
      </w:pPr>
    </w:p>
    <w:p>
      <w:pPr>
        <w:spacing w:after="120"/>
        <w:rPr>
          <w:rFonts w:ascii="Times New Roman" w:hAnsi="Times New Roman"/>
          <w:sz w:val="20"/>
          <w:szCs w:val="20"/>
        </w:rPr>
      </w:pPr>
    </w:p>
    <w:p>
      <w:pPr>
        <w:spacing w:after="120"/>
        <w:rPr>
          <w:rFonts w:ascii="Times New Roman" w:hAnsi="Times New Roman"/>
          <w:sz w:val="20"/>
          <w:szCs w:val="20"/>
        </w:rPr>
      </w:pPr>
    </w:p>
    <w:p>
      <w:pPr>
        <w:spacing w:after="1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Table S2. </w:t>
      </w:r>
      <w:r>
        <w:rPr>
          <w:rFonts w:ascii="Times New Roman" w:hAnsi="Times New Roman"/>
          <w:sz w:val="20"/>
          <w:szCs w:val="20"/>
        </w:rPr>
        <w:t>The significant differences in means of cortical thickness stats between the spinal muscular atrophy patients and study controls (SMA, HC)</w:t>
      </w:r>
    </w:p>
    <w:p>
      <w:pPr>
        <w:spacing w:after="120"/>
        <w:rPr>
          <w:rFonts w:ascii="Times New Roman" w:hAnsi="Times New Roman"/>
          <w:sz w:val="20"/>
          <w:szCs w:val="20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9"/>
        <w:gridCol w:w="2692"/>
        <w:gridCol w:w="1539"/>
        <w:gridCol w:w="1694"/>
        <w:gridCol w:w="8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tcBorders>
              <w:left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Cerebral lobes</w:t>
            </w:r>
          </w:p>
        </w:tc>
        <w:tc>
          <w:tcPr>
            <w:tcW w:w="3428" w:type="dxa"/>
            <w:tcBorders>
              <w:left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Area</w:t>
            </w:r>
          </w:p>
        </w:tc>
        <w:tc>
          <w:tcPr>
            <w:tcW w:w="3339" w:type="dxa"/>
            <w:gridSpan w:val="3"/>
            <w:tcBorders>
              <w:left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Mean Thickness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8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HC(Mean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SD)</w:t>
            </w:r>
          </w:p>
        </w:tc>
        <w:tc>
          <w:tcPr>
            <w:tcW w:w="1158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SMA(Mean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SD)</w:t>
            </w:r>
          </w:p>
        </w:tc>
        <w:tc>
          <w:tcPr>
            <w:tcW w:w="1023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FDR adj.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p</w:t>
            </w:r>
            <w:r>
              <w:rPr>
                <w:rFonts w:ascii="Times New Roman" w:hAnsi="Times New Roman"/>
                <w:sz w:val="20"/>
                <w:szCs w:val="20"/>
              </w:rPr>
              <w:t>-value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Frontal lobe</w:t>
            </w:r>
          </w:p>
        </w:tc>
        <w:tc>
          <w:tcPr>
            <w:tcW w:w="342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lh_G_front_infOpercular</w:t>
            </w:r>
          </w:p>
        </w:tc>
        <w:tc>
          <w:tcPr>
            <w:tcW w:w="115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2.75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0.25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2.90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0.22</w:t>
            </w: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rh_G_front_infOpercular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2.65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0.31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2.88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0.20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＜</w:t>
            </w:r>
            <w:r>
              <w:rPr>
                <w:rFonts w:ascii="Times New Roman" w:hAnsi="Times New Roman"/>
                <w:sz w:val="20"/>
                <w:szCs w:val="20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lh_G_front_infTriangul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2.65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0.30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2.89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0.21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＜</w:t>
            </w:r>
            <w:r>
              <w:rPr>
                <w:rFonts w:ascii="Times New Roman" w:hAnsi="Times New Roman"/>
                <w:sz w:val="20"/>
                <w:szCs w:val="20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rh_G_front_infTriangul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2.59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0.36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2.84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0.26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lh_G_precentral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2.65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0.32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2.81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0.23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rh_G_rectus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2.67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0.24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2.85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0.21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rh_G_and_S_cingulMidPost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2.95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0.16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2.80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0.20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Occipital lobe</w:t>
            </w: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lh_G_occipital_middle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2.38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0.29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2.70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0.26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＜</w:t>
            </w:r>
            <w:r>
              <w:rPr>
                <w:rFonts w:ascii="Times New Roman" w:hAnsi="Times New Roman"/>
                <w:sz w:val="20"/>
                <w:szCs w:val="20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rh_G_occipital_middle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2.47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0.33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2.70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0.30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lh_G_and_S_occipital_inf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2.42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0.22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2.58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0.21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lh_Pole_occipital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1.80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0.15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1.93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0.24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lh_G_occipital_sup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2.18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0.23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2.32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0.20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Parietal lobe</w:t>
            </w: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lh_G_pariet_infAngular</w:t>
            </w:r>
          </w:p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2.44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0.35</w:t>
            </w:r>
          </w:p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2.71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0.34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rh_G_pariet_infAngular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2.32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0.37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2.64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0.33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＜</w:t>
            </w:r>
            <w:r>
              <w:rPr>
                <w:rFonts w:ascii="Times New Roman" w:hAnsi="Times New Roman"/>
                <w:sz w:val="20"/>
                <w:szCs w:val="20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lh_G_and_S_subcentral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2.59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0.24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2.89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0.26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rh_G_pariet_infSupramar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2.32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0.39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2.67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0.37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＜</w:t>
            </w:r>
            <w:r>
              <w:rPr>
                <w:rFonts w:ascii="Times New Roman" w:hAnsi="Times New Roman"/>
                <w:sz w:val="20"/>
                <w:szCs w:val="20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Temporal lobe</w:t>
            </w: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lh_G_temp_supLateral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2.71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0.43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3.01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0.30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rh_G_temp_supLateral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2.81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0.44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3.04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0.35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lh_G_temporal_inf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2.67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0.37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2.95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0.31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rh_G_temporal_inf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2.68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0.39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3.04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0.31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＜</w:t>
            </w:r>
            <w:r>
              <w:rPr>
                <w:rFonts w:ascii="Times New Roman" w:hAnsi="Times New Roman"/>
                <w:sz w:val="20"/>
                <w:szCs w:val="20"/>
              </w:rPr>
              <w:t>0.001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lh_G_temporal_middle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2.58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0.53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2.99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0.44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rh_G_temporal_middle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2.61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0.52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3.01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0.39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＜</w:t>
            </w:r>
            <w:r>
              <w:rPr>
                <w:rFonts w:ascii="Times New Roman" w:hAnsi="Times New Roman"/>
                <w:sz w:val="20"/>
                <w:szCs w:val="20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Occipito-Temporal Sulcus </w:t>
            </w: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lh_S_octemp_lat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2.48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0.21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2.59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0.18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Total White Matter Thickness</w:t>
            </w: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lh_MeanThickness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2.54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0.11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2.61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0.10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vMerge w:val="continue"/>
            <w:tcBorders>
              <w:top w:val="nil"/>
              <w:left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8" w:type="dxa"/>
            <w:tcBorders>
              <w:top w:val="nil"/>
              <w:left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rh_MeanThickness</w:t>
            </w:r>
          </w:p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2.52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0.13</w:t>
            </w:r>
          </w:p>
        </w:tc>
        <w:tc>
          <w:tcPr>
            <w:tcW w:w="1158" w:type="dxa"/>
            <w:tcBorders>
              <w:top w:val="nil"/>
              <w:left w:val="nil"/>
              <w:right w:val="nil"/>
            </w:tcBorders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2.59</w:t>
            </w:r>
            <w:r>
              <w:rPr>
                <w:rFonts w:hint="eastAsia" w:ascii="Times New Roman" w:hAnsi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</w:rPr>
              <w:t>0.11</w:t>
            </w:r>
          </w:p>
        </w:tc>
        <w:tc>
          <w:tcPr>
            <w:tcW w:w="1023" w:type="dxa"/>
            <w:tcBorders>
              <w:top w:val="nil"/>
              <w:left w:val="nil"/>
              <w:right w:val="nil"/>
            </w:tcBorders>
          </w:tcPr>
          <w:p>
            <w:pPr>
              <w:spacing w:after="120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0.019</w:t>
            </w:r>
          </w:p>
        </w:tc>
      </w:tr>
    </w:tbl>
    <w:p>
      <w:pPr>
        <w:spacing w:after="1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FDR false discovery ratio, adj adjusted. </w:t>
      </w:r>
      <w:r>
        <w:rPr>
          <w:rFonts w:ascii="Times New Roman" w:hAnsi="Times New Roman"/>
          <w:i/>
          <w:iCs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 xml:space="preserve"> values adjusted for false discovery ratio with the Benjamini</w:t>
      </w:r>
      <w:r>
        <w:rPr>
          <w:rFonts w:hint="eastAsia"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Hochberg method; the above </w:t>
      </w:r>
      <w:r>
        <w:rPr>
          <w:rFonts w:ascii="Times New Roman" w:hAnsi="Times New Roman"/>
          <w:i/>
          <w:iCs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 xml:space="preserve"> values are all statistically significant.</w:t>
      </w:r>
    </w:p>
    <w:p>
      <w:pPr>
        <w:spacing w:before="240" w:after="120" w:line="360" w:lineRule="auto"/>
        <w:rPr>
          <w:rFonts w:ascii="Times New Roman" w:hAnsi="Times New Roman" w:eastAsiaTheme="minorEastAsia"/>
          <w:sz w:val="20"/>
          <w:szCs w:val="20"/>
        </w:rPr>
      </w:pPr>
    </w:p>
    <w:p>
      <w:pPr>
        <w:spacing w:before="240" w:after="120" w:line="360" w:lineRule="auto"/>
        <w:rPr>
          <w:rFonts w:ascii="Times New Roman" w:hAnsi="Times New Roman"/>
          <w:sz w:val="20"/>
          <w:szCs w:val="2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RjNzYyZGUzOTljMWFiYmQ0ZTJlMTYzYTBiM2ViOWIifQ=="/>
  </w:docVars>
  <w:rsids>
    <w:rsidRoot w:val="1A990132"/>
    <w:rsid w:val="1A990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571</Words>
  <Characters>3248</Characters>
  <Lines>0</Lines>
  <Paragraphs>0</Paragraphs>
  <TotalTime>0</TotalTime>
  <ScaleCrop>false</ScaleCrop>
  <LinksUpToDate>false</LinksUpToDate>
  <CharactersWithSpaces>3377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2023-08-10T13:26:00Z</dcterms:created>
  <dc:creator>]其[實~</dc:creator>
  <cp:lastModifiedBy>]其[實~</cp:lastModifiedBy>
  <dcterms:modified xsi:type="dcterms:W3CDTF">2023-08-10T13:26:31Z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1A926043214E413688FBD1ACB5736B92_11</vt:lpwstr>
  </property>
</Properties>
</file>