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6A243" w14:textId="77777777" w:rsidR="0017533C" w:rsidRDefault="00000000">
      <w:pPr>
        <w:spacing w:after="0" w:line="360" w:lineRule="auto"/>
        <w:rPr>
          <w:rFonts w:ascii="Calibri" w:eastAsia="Calibri" w:hAnsi="Calibri" w:cs="Calibri"/>
          <w:b/>
          <w:sz w:val="28"/>
          <w:szCs w:val="28"/>
        </w:rPr>
      </w:pPr>
      <w:r>
        <w:rPr>
          <w:rFonts w:ascii="Calibri" w:eastAsia="Calibri" w:hAnsi="Calibri" w:cs="Calibri"/>
          <w:b/>
          <w:sz w:val="28"/>
          <w:szCs w:val="28"/>
        </w:rPr>
        <w:t xml:space="preserve">Cancer driver genes and opportunities for precision oncology revealed by whole genome sequencing 10,478 </w:t>
      </w:r>
      <w:proofErr w:type="gramStart"/>
      <w:r>
        <w:rPr>
          <w:rFonts w:ascii="Calibri" w:eastAsia="Calibri" w:hAnsi="Calibri" w:cs="Calibri"/>
          <w:b/>
          <w:sz w:val="28"/>
          <w:szCs w:val="28"/>
        </w:rPr>
        <w:t>cancers</w:t>
      </w:r>
      <w:proofErr w:type="gramEnd"/>
      <w:r>
        <w:rPr>
          <w:rFonts w:ascii="Calibri" w:eastAsia="Calibri" w:hAnsi="Calibri" w:cs="Calibri"/>
          <w:b/>
          <w:sz w:val="28"/>
          <w:szCs w:val="28"/>
        </w:rPr>
        <w:t xml:space="preserve"> </w:t>
      </w:r>
    </w:p>
    <w:p w14:paraId="586B9E55" w14:textId="77777777" w:rsidR="0017533C" w:rsidRDefault="00000000">
      <w:pPr>
        <w:rPr>
          <w:rFonts w:ascii="Calibri" w:eastAsia="Calibri" w:hAnsi="Calibri" w:cs="Calibri"/>
        </w:rPr>
        <w:sectPr w:rsidR="0017533C">
          <w:pgSz w:w="11906" w:h="16838"/>
          <w:pgMar w:top="1440" w:right="1440" w:bottom="1440" w:left="1440" w:header="708" w:footer="708" w:gutter="0"/>
          <w:pgNumType w:start="1"/>
          <w:cols w:space="720"/>
        </w:sectPr>
      </w:pPr>
      <w:r>
        <w:rPr>
          <w:rFonts w:ascii="Calibri" w:eastAsia="Calibri" w:hAnsi="Calibri" w:cs="Calibri"/>
        </w:rPr>
        <w:t>Supplementary Figures</w:t>
      </w:r>
    </w:p>
    <w:p w14:paraId="33A61359" w14:textId="77777777" w:rsidR="0017533C" w:rsidRDefault="0017533C">
      <w:pPr>
        <w:rPr>
          <w:rFonts w:ascii="Calibri" w:eastAsia="Calibri" w:hAnsi="Calibri" w:cs="Calibri"/>
        </w:rPr>
      </w:pPr>
    </w:p>
    <w:p w14:paraId="05410977" w14:textId="77777777" w:rsidR="0017533C" w:rsidRDefault="00000000">
      <w:pPr>
        <w:rPr>
          <w:rFonts w:ascii="Calibri" w:eastAsia="Calibri" w:hAnsi="Calibri" w:cs="Calibri"/>
        </w:rPr>
      </w:pPr>
      <w:r>
        <w:rPr>
          <w:rFonts w:ascii="Calibri" w:eastAsia="Calibri" w:hAnsi="Calibri" w:cs="Calibri"/>
          <w:noProof/>
        </w:rPr>
        <w:drawing>
          <wp:inline distT="114300" distB="114300" distL="114300" distR="114300" wp14:anchorId="2DA029E4" wp14:editId="7473DC07">
            <wp:extent cx="5705475" cy="4267200"/>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
                    <a:srcRect t="1366" r="991"/>
                    <a:stretch>
                      <a:fillRect/>
                    </a:stretch>
                  </pic:blipFill>
                  <pic:spPr>
                    <a:xfrm>
                      <a:off x="0" y="0"/>
                      <a:ext cx="5705475" cy="4267200"/>
                    </a:xfrm>
                    <a:prstGeom prst="rect">
                      <a:avLst/>
                    </a:prstGeom>
                    <a:ln/>
                  </pic:spPr>
                </pic:pic>
              </a:graphicData>
            </a:graphic>
          </wp:inline>
        </w:drawing>
      </w:r>
    </w:p>
    <w:p w14:paraId="2B14BC53" w14:textId="77777777" w:rsidR="0017533C" w:rsidRDefault="00000000">
      <w:pPr>
        <w:jc w:val="both"/>
        <w:rPr>
          <w:rFonts w:ascii="Calibri" w:eastAsia="Calibri" w:hAnsi="Calibri" w:cs="Calibri"/>
        </w:rPr>
      </w:pPr>
      <w:r>
        <w:rPr>
          <w:rFonts w:ascii="Calibri" w:eastAsia="Calibri" w:hAnsi="Calibri" w:cs="Calibri"/>
          <w:b/>
        </w:rPr>
        <w:t>Supplementary Figure 1. Comparison of number of samples per tumour type in the pan-cancer cohort compared to all cancer diagnosed in England in 2019.</w:t>
      </w:r>
    </w:p>
    <w:p w14:paraId="5589886E" w14:textId="77777777" w:rsidR="0017533C" w:rsidRDefault="0017533C">
      <w:pPr>
        <w:rPr>
          <w:rFonts w:ascii="Calibri" w:eastAsia="Calibri" w:hAnsi="Calibri" w:cs="Calibri"/>
        </w:rPr>
      </w:pPr>
    </w:p>
    <w:p w14:paraId="1843BA5B" w14:textId="77777777" w:rsidR="0017533C" w:rsidRDefault="00000000">
      <w:pPr>
        <w:rPr>
          <w:rFonts w:ascii="Calibri" w:eastAsia="Calibri" w:hAnsi="Calibri" w:cs="Calibri"/>
        </w:rPr>
      </w:pPr>
      <w:r>
        <w:rPr>
          <w:rFonts w:ascii="Calibri" w:eastAsia="Calibri" w:hAnsi="Calibri" w:cs="Calibri"/>
          <w:noProof/>
        </w:rPr>
        <w:lastRenderedPageBreak/>
        <w:drawing>
          <wp:inline distT="114300" distB="114300" distL="114300" distR="114300" wp14:anchorId="1BCCEE55" wp14:editId="1FDFFB0A">
            <wp:extent cx="8863200" cy="4394200"/>
            <wp:effectExtent l="0" t="0" r="0" b="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
                    <a:srcRect/>
                    <a:stretch>
                      <a:fillRect/>
                    </a:stretch>
                  </pic:blipFill>
                  <pic:spPr>
                    <a:xfrm>
                      <a:off x="0" y="0"/>
                      <a:ext cx="8863200" cy="4394200"/>
                    </a:xfrm>
                    <a:prstGeom prst="rect">
                      <a:avLst/>
                    </a:prstGeom>
                    <a:ln/>
                  </pic:spPr>
                </pic:pic>
              </a:graphicData>
            </a:graphic>
          </wp:inline>
        </w:drawing>
      </w:r>
    </w:p>
    <w:p w14:paraId="7950F917" w14:textId="77777777" w:rsidR="0017533C" w:rsidRDefault="00000000">
      <w:pPr>
        <w:jc w:val="both"/>
        <w:rPr>
          <w:rFonts w:ascii="Calibri" w:eastAsia="Calibri" w:hAnsi="Calibri" w:cs="Calibri"/>
        </w:rPr>
        <w:sectPr w:rsidR="0017533C">
          <w:pgSz w:w="16838" w:h="11906" w:orient="landscape"/>
          <w:pgMar w:top="1440" w:right="1440" w:bottom="1440" w:left="1440" w:header="708" w:footer="708" w:gutter="0"/>
          <w:cols w:space="720"/>
        </w:sectPr>
      </w:pPr>
      <w:r>
        <w:rPr>
          <w:rFonts w:ascii="Calibri" w:eastAsia="Calibri" w:hAnsi="Calibri" w:cs="Calibri"/>
          <w:b/>
        </w:rPr>
        <w:t>Supplementary Figure 2. Mutation burden of tumours from each tumour type.</w:t>
      </w:r>
      <w:r>
        <w:rPr>
          <w:rFonts w:ascii="Calibri" w:eastAsia="Calibri" w:hAnsi="Calibri" w:cs="Calibri"/>
        </w:rPr>
        <w:t xml:space="preserve"> The number of samples contributing to each tumour type are shown above the plot. SNV, single nucleotide variant.</w:t>
      </w:r>
    </w:p>
    <w:p w14:paraId="3270E4DD" w14:textId="77777777" w:rsidR="0017533C" w:rsidRDefault="00000000">
      <w:pPr>
        <w:jc w:val="both"/>
        <w:rPr>
          <w:rFonts w:ascii="Calibri" w:eastAsia="Calibri" w:hAnsi="Calibri" w:cs="Calibri"/>
        </w:rPr>
      </w:pPr>
      <w:r>
        <w:rPr>
          <w:rFonts w:ascii="Calibri" w:eastAsia="Calibri" w:hAnsi="Calibri" w:cs="Calibri"/>
          <w:noProof/>
        </w:rPr>
        <w:lastRenderedPageBreak/>
        <w:drawing>
          <wp:inline distT="114300" distB="114300" distL="114300" distR="114300" wp14:anchorId="6EAE5F09" wp14:editId="3280C326">
            <wp:extent cx="5731200" cy="7912100"/>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
                    <a:srcRect/>
                    <a:stretch>
                      <a:fillRect/>
                    </a:stretch>
                  </pic:blipFill>
                  <pic:spPr>
                    <a:xfrm>
                      <a:off x="0" y="0"/>
                      <a:ext cx="5731200" cy="7912100"/>
                    </a:xfrm>
                    <a:prstGeom prst="rect">
                      <a:avLst/>
                    </a:prstGeom>
                    <a:ln/>
                  </pic:spPr>
                </pic:pic>
              </a:graphicData>
            </a:graphic>
          </wp:inline>
        </w:drawing>
      </w:r>
    </w:p>
    <w:p w14:paraId="3008AF5A" w14:textId="77777777" w:rsidR="0017533C" w:rsidRDefault="00000000">
      <w:pPr>
        <w:jc w:val="both"/>
        <w:rPr>
          <w:rFonts w:ascii="Calibri" w:eastAsia="Calibri" w:hAnsi="Calibri" w:cs="Calibri"/>
        </w:rPr>
        <w:sectPr w:rsidR="0017533C">
          <w:pgSz w:w="11906" w:h="16838"/>
          <w:pgMar w:top="1440" w:right="1440" w:bottom="1440" w:left="1440" w:header="708" w:footer="708" w:gutter="0"/>
          <w:cols w:space="720"/>
        </w:sectPr>
      </w:pPr>
      <w:r>
        <w:rPr>
          <w:rFonts w:ascii="Calibri" w:eastAsia="Calibri" w:hAnsi="Calibri" w:cs="Calibri"/>
          <w:b/>
        </w:rPr>
        <w:t xml:space="preserve">Supplementary Figure 3: Driver mutation plots and </w:t>
      </w:r>
      <w:proofErr w:type="spellStart"/>
      <w:r>
        <w:rPr>
          <w:rFonts w:ascii="Calibri" w:eastAsia="Calibri" w:hAnsi="Calibri" w:cs="Calibri"/>
          <w:b/>
        </w:rPr>
        <w:t>pfam</w:t>
      </w:r>
      <w:proofErr w:type="spellEnd"/>
      <w:r>
        <w:rPr>
          <w:rFonts w:ascii="Calibri" w:eastAsia="Calibri" w:hAnsi="Calibri" w:cs="Calibri"/>
          <w:b/>
        </w:rPr>
        <w:t xml:space="preserve"> domain overlap. </w:t>
      </w:r>
      <w:r>
        <w:rPr>
          <w:rFonts w:ascii="Calibri" w:eastAsia="Calibri" w:hAnsi="Calibri" w:cs="Calibri"/>
        </w:rPr>
        <w:t>a) Lung adenocarcinoma in EGFR; b) GBM IDH wildtype in EGFR; c) Uterine adenocarcinoma in PIK3CA; d) Breast ductal carcinoma in PIK3CA</w:t>
      </w:r>
    </w:p>
    <w:p w14:paraId="583BEAF5" w14:textId="77777777" w:rsidR="0017533C" w:rsidRDefault="00000000">
      <w:pPr>
        <w:rPr>
          <w:rFonts w:ascii="Calibri" w:eastAsia="Calibri" w:hAnsi="Calibri" w:cs="Calibri"/>
        </w:rPr>
      </w:pPr>
      <w:r>
        <w:rPr>
          <w:rFonts w:ascii="Calibri" w:eastAsia="Calibri" w:hAnsi="Calibri" w:cs="Calibri"/>
          <w:noProof/>
        </w:rPr>
        <w:lastRenderedPageBreak/>
        <w:drawing>
          <wp:inline distT="114300" distB="114300" distL="114300" distR="114300" wp14:anchorId="10CB4B6B" wp14:editId="62190DB4">
            <wp:extent cx="8863200" cy="4953000"/>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8863200" cy="4953000"/>
                    </a:xfrm>
                    <a:prstGeom prst="rect">
                      <a:avLst/>
                    </a:prstGeom>
                    <a:ln/>
                  </pic:spPr>
                </pic:pic>
              </a:graphicData>
            </a:graphic>
          </wp:inline>
        </w:drawing>
      </w:r>
    </w:p>
    <w:p w14:paraId="0DB19BFD" w14:textId="77777777" w:rsidR="0017533C" w:rsidRDefault="00000000">
      <w:pPr>
        <w:jc w:val="both"/>
        <w:rPr>
          <w:rFonts w:ascii="Calibri" w:eastAsia="Calibri" w:hAnsi="Calibri" w:cs="Calibri"/>
          <w:b/>
        </w:rPr>
        <w:sectPr w:rsidR="0017533C">
          <w:pgSz w:w="16838" w:h="11906" w:orient="landscape"/>
          <w:pgMar w:top="1440" w:right="1440" w:bottom="1440" w:left="1440" w:header="708" w:footer="708" w:gutter="0"/>
          <w:cols w:space="720"/>
        </w:sectPr>
      </w:pPr>
      <w:r>
        <w:rPr>
          <w:rFonts w:ascii="Calibri" w:eastAsia="Calibri" w:hAnsi="Calibri" w:cs="Calibri"/>
          <w:b/>
        </w:rPr>
        <w:t xml:space="preserve">Supplementary Figure 4. Hierarchical clustering of tumour types based on </w:t>
      </w:r>
      <w:r>
        <w:rPr>
          <w:rFonts w:ascii="Calibri" w:eastAsia="Calibri" w:hAnsi="Calibri" w:cs="Calibri"/>
          <w:b/>
          <w:i/>
        </w:rPr>
        <w:t>P</w:t>
      </w:r>
      <w:r>
        <w:rPr>
          <w:rFonts w:ascii="Calibri" w:eastAsia="Calibri" w:hAnsi="Calibri" w:cs="Calibri"/>
          <w:b/>
        </w:rPr>
        <w:t>-value of driver genes across the 35 cohorts.</w:t>
      </w:r>
    </w:p>
    <w:p w14:paraId="71B9EA5C" w14:textId="77777777" w:rsidR="0017533C" w:rsidRDefault="00000000">
      <w:pPr>
        <w:rPr>
          <w:rFonts w:ascii="Calibri" w:eastAsia="Calibri" w:hAnsi="Calibri" w:cs="Calibri"/>
          <w:b/>
        </w:rPr>
      </w:pPr>
      <w:r>
        <w:rPr>
          <w:rFonts w:ascii="Calibri" w:eastAsia="Calibri" w:hAnsi="Calibri" w:cs="Calibri"/>
          <w:b/>
          <w:noProof/>
        </w:rPr>
        <w:lastRenderedPageBreak/>
        <w:drawing>
          <wp:inline distT="114300" distB="114300" distL="114300" distR="114300" wp14:anchorId="762F9751" wp14:editId="1ACCF1F8">
            <wp:extent cx="5916590" cy="4586288"/>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5916590" cy="4586288"/>
                    </a:xfrm>
                    <a:prstGeom prst="rect">
                      <a:avLst/>
                    </a:prstGeom>
                    <a:ln/>
                  </pic:spPr>
                </pic:pic>
              </a:graphicData>
            </a:graphic>
          </wp:inline>
        </w:drawing>
      </w:r>
    </w:p>
    <w:p w14:paraId="0460C722" w14:textId="77777777" w:rsidR="0017533C" w:rsidRDefault="0017533C">
      <w:pPr>
        <w:rPr>
          <w:rFonts w:ascii="Calibri" w:eastAsia="Calibri" w:hAnsi="Calibri" w:cs="Calibri"/>
          <w:b/>
        </w:rPr>
      </w:pPr>
    </w:p>
    <w:p w14:paraId="0FC412A2" w14:textId="77777777" w:rsidR="0017533C" w:rsidRDefault="00000000">
      <w:pPr>
        <w:jc w:val="both"/>
        <w:rPr>
          <w:rFonts w:ascii="Calibri" w:eastAsia="Calibri" w:hAnsi="Calibri" w:cs="Calibri"/>
        </w:rPr>
        <w:sectPr w:rsidR="0017533C">
          <w:pgSz w:w="16838" w:h="11906" w:orient="landscape"/>
          <w:pgMar w:top="1440" w:right="1440" w:bottom="1440" w:left="1440" w:header="708" w:footer="708" w:gutter="0"/>
          <w:cols w:space="720"/>
        </w:sectPr>
      </w:pPr>
      <w:r>
        <w:rPr>
          <w:rFonts w:ascii="Calibri" w:eastAsia="Calibri" w:hAnsi="Calibri" w:cs="Calibri"/>
          <w:b/>
        </w:rPr>
        <w:t>Supplementary Figure 5. Per-tumour distribution of oncogenic mutations in tumour specific cancer driver genes, across the 35 cancer types.</w:t>
      </w:r>
      <w:r>
        <w:rPr>
          <w:rFonts w:ascii="Calibri" w:eastAsia="Calibri" w:hAnsi="Calibri" w:cs="Calibri"/>
        </w:rPr>
        <w:t xml:space="preserve"> Analysis restricted to driver genes as predicted by </w:t>
      </w:r>
      <w:proofErr w:type="spellStart"/>
      <w:r>
        <w:rPr>
          <w:rFonts w:ascii="Calibri" w:eastAsia="Calibri" w:hAnsi="Calibri" w:cs="Calibri"/>
        </w:rPr>
        <w:t>IntOGen</w:t>
      </w:r>
      <w:proofErr w:type="spellEnd"/>
      <w:r>
        <w:rPr>
          <w:rFonts w:ascii="Calibri" w:eastAsia="Calibri" w:hAnsi="Calibri" w:cs="Calibri"/>
        </w:rPr>
        <w:t xml:space="preserve"> in the given cancer type.  Oncogenicity predicted using </w:t>
      </w:r>
      <w:proofErr w:type="spellStart"/>
      <w:r>
        <w:rPr>
          <w:rFonts w:ascii="Calibri" w:eastAsia="Calibri" w:hAnsi="Calibri" w:cs="Calibri"/>
        </w:rPr>
        <w:t>OncoKB</w:t>
      </w:r>
      <w:proofErr w:type="spellEnd"/>
      <w:r>
        <w:rPr>
          <w:rFonts w:ascii="Calibri" w:eastAsia="Calibri" w:hAnsi="Calibri" w:cs="Calibri"/>
        </w:rPr>
        <w:t>.</w:t>
      </w:r>
    </w:p>
    <w:p w14:paraId="700B9BED" w14:textId="77777777" w:rsidR="0017533C" w:rsidRDefault="00000000">
      <w:pPr>
        <w:jc w:val="both"/>
        <w:rPr>
          <w:rFonts w:ascii="Calibri" w:eastAsia="Calibri" w:hAnsi="Calibri" w:cs="Calibri"/>
        </w:rPr>
      </w:pPr>
      <w:r>
        <w:rPr>
          <w:rFonts w:ascii="Calibri" w:eastAsia="Calibri" w:hAnsi="Calibri" w:cs="Calibri"/>
          <w:noProof/>
        </w:rPr>
        <w:lastRenderedPageBreak/>
        <w:drawing>
          <wp:inline distT="114300" distB="114300" distL="114300" distR="114300" wp14:anchorId="436B6E04" wp14:editId="0B686EC4">
            <wp:extent cx="8863200" cy="51562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8863200" cy="5156200"/>
                    </a:xfrm>
                    <a:prstGeom prst="rect">
                      <a:avLst/>
                    </a:prstGeom>
                    <a:ln/>
                  </pic:spPr>
                </pic:pic>
              </a:graphicData>
            </a:graphic>
          </wp:inline>
        </w:drawing>
      </w:r>
    </w:p>
    <w:p w14:paraId="0869D374" w14:textId="77777777" w:rsidR="0017533C" w:rsidRDefault="00000000">
      <w:pPr>
        <w:jc w:val="both"/>
        <w:rPr>
          <w:rFonts w:ascii="Calibri" w:eastAsia="Calibri" w:hAnsi="Calibri" w:cs="Calibri"/>
        </w:rPr>
      </w:pPr>
      <w:r>
        <w:rPr>
          <w:rFonts w:ascii="Calibri" w:eastAsia="Calibri" w:hAnsi="Calibri" w:cs="Calibri"/>
          <w:b/>
        </w:rPr>
        <w:t xml:space="preserve">Supplementary Figure 6: Oncogenic clonal and </w:t>
      </w:r>
      <w:proofErr w:type="spellStart"/>
      <w:r>
        <w:rPr>
          <w:rFonts w:ascii="Calibri" w:eastAsia="Calibri" w:hAnsi="Calibri" w:cs="Calibri"/>
          <w:b/>
        </w:rPr>
        <w:t>subclonal</w:t>
      </w:r>
      <w:proofErr w:type="spellEnd"/>
      <w:r>
        <w:rPr>
          <w:rFonts w:ascii="Calibri" w:eastAsia="Calibri" w:hAnsi="Calibri" w:cs="Calibri"/>
          <w:b/>
        </w:rPr>
        <w:t xml:space="preserve"> mutations across candidate driver genes </w:t>
      </w:r>
      <w:proofErr w:type="spellStart"/>
      <w:r>
        <w:rPr>
          <w:rFonts w:ascii="Calibri" w:eastAsia="Calibri" w:hAnsi="Calibri" w:cs="Calibri"/>
          <w:b/>
        </w:rPr>
        <w:t>pancancer</w:t>
      </w:r>
      <w:proofErr w:type="spellEnd"/>
      <w:r>
        <w:rPr>
          <w:rFonts w:ascii="Calibri" w:eastAsia="Calibri" w:hAnsi="Calibri" w:cs="Calibri"/>
          <w:b/>
        </w:rPr>
        <w:t>.</w:t>
      </w:r>
      <w:r>
        <w:rPr>
          <w:rFonts w:ascii="Calibri" w:eastAsia="Calibri" w:hAnsi="Calibri" w:cs="Calibri"/>
        </w:rPr>
        <w:t xml:space="preserve"> </w:t>
      </w:r>
      <w:r>
        <w:br w:type="page"/>
      </w:r>
    </w:p>
    <w:p w14:paraId="5EE1C276" w14:textId="77777777" w:rsidR="0017533C" w:rsidRDefault="00000000">
      <w:pPr>
        <w:jc w:val="both"/>
        <w:rPr>
          <w:rFonts w:ascii="Calibri" w:eastAsia="Calibri" w:hAnsi="Calibri" w:cs="Calibri"/>
        </w:rPr>
      </w:pPr>
      <w:r>
        <w:rPr>
          <w:rFonts w:ascii="Calibri" w:eastAsia="Calibri" w:hAnsi="Calibri" w:cs="Calibri"/>
          <w:noProof/>
        </w:rPr>
        <w:lastRenderedPageBreak/>
        <w:drawing>
          <wp:inline distT="114300" distB="114300" distL="114300" distR="114300" wp14:anchorId="406E0A7A" wp14:editId="5894C9C7">
            <wp:extent cx="8863200" cy="508000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8863200" cy="5080000"/>
                    </a:xfrm>
                    <a:prstGeom prst="rect">
                      <a:avLst/>
                    </a:prstGeom>
                    <a:ln/>
                  </pic:spPr>
                </pic:pic>
              </a:graphicData>
            </a:graphic>
          </wp:inline>
        </w:drawing>
      </w:r>
    </w:p>
    <w:p w14:paraId="15EE00FC" w14:textId="77777777" w:rsidR="0017533C" w:rsidRDefault="00000000">
      <w:pPr>
        <w:jc w:val="both"/>
        <w:rPr>
          <w:rFonts w:ascii="Calibri" w:eastAsia="Calibri" w:hAnsi="Calibri" w:cs="Calibri"/>
        </w:rPr>
        <w:sectPr w:rsidR="0017533C">
          <w:pgSz w:w="16838" w:h="11906" w:orient="landscape"/>
          <w:pgMar w:top="1440" w:right="1440" w:bottom="1440" w:left="1440" w:header="708" w:footer="708" w:gutter="0"/>
          <w:cols w:space="720"/>
        </w:sectPr>
      </w:pPr>
      <w:r>
        <w:rPr>
          <w:rFonts w:ascii="Calibri" w:eastAsia="Calibri" w:hAnsi="Calibri" w:cs="Calibri"/>
          <w:b/>
        </w:rPr>
        <w:t xml:space="preserve">Supplementary Figure 7: Oncogenic clonal and </w:t>
      </w:r>
      <w:proofErr w:type="spellStart"/>
      <w:r>
        <w:rPr>
          <w:rFonts w:ascii="Calibri" w:eastAsia="Calibri" w:hAnsi="Calibri" w:cs="Calibri"/>
          <w:b/>
        </w:rPr>
        <w:t>subclonal</w:t>
      </w:r>
      <w:proofErr w:type="spellEnd"/>
      <w:r>
        <w:rPr>
          <w:rFonts w:ascii="Calibri" w:eastAsia="Calibri" w:hAnsi="Calibri" w:cs="Calibri"/>
          <w:b/>
        </w:rPr>
        <w:t xml:space="preserve"> mutations across candidate driver genes in: a) Meningioma; b) Large Cell lung cancer; c) Testicular germ cell tumour; d) Oligodendroglioma.</w:t>
      </w:r>
    </w:p>
    <w:p w14:paraId="66A88E66" w14:textId="77777777" w:rsidR="0017533C" w:rsidRDefault="0017533C">
      <w:pPr>
        <w:jc w:val="both"/>
        <w:rPr>
          <w:rFonts w:ascii="Calibri" w:eastAsia="Calibri" w:hAnsi="Calibri" w:cs="Calibri"/>
        </w:rPr>
      </w:pPr>
    </w:p>
    <w:p w14:paraId="6B6BCA80" w14:textId="77777777" w:rsidR="0017533C" w:rsidRDefault="00000000">
      <w:pPr>
        <w:jc w:val="both"/>
        <w:rPr>
          <w:rFonts w:ascii="Calibri" w:eastAsia="Calibri" w:hAnsi="Calibri" w:cs="Calibri"/>
        </w:rPr>
      </w:pPr>
      <w:r>
        <w:rPr>
          <w:rFonts w:ascii="Calibri" w:eastAsia="Calibri" w:hAnsi="Calibri" w:cs="Calibri"/>
          <w:noProof/>
        </w:rPr>
        <w:drawing>
          <wp:inline distT="114300" distB="114300" distL="114300" distR="114300" wp14:anchorId="5F0DC0DE" wp14:editId="2DACDBDE">
            <wp:extent cx="7107261" cy="4672013"/>
            <wp:effectExtent l="0" t="0" r="0" b="0"/>
            <wp:docPr id="1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7107261" cy="4672013"/>
                    </a:xfrm>
                    <a:prstGeom prst="rect">
                      <a:avLst/>
                    </a:prstGeom>
                    <a:ln/>
                  </pic:spPr>
                </pic:pic>
              </a:graphicData>
            </a:graphic>
          </wp:inline>
        </w:drawing>
      </w:r>
    </w:p>
    <w:p w14:paraId="21447C79" w14:textId="77777777" w:rsidR="0017533C" w:rsidRDefault="00000000">
      <w:pPr>
        <w:jc w:val="both"/>
        <w:rPr>
          <w:rFonts w:ascii="Calibri" w:eastAsia="Calibri" w:hAnsi="Calibri" w:cs="Calibri"/>
        </w:rPr>
      </w:pPr>
      <w:r>
        <w:rPr>
          <w:rFonts w:ascii="Calibri" w:eastAsia="Calibri" w:hAnsi="Calibri" w:cs="Calibri"/>
          <w:b/>
        </w:rPr>
        <w:t>Supplementary Figure 8. The rate of hotspot mutations in the 100kGP sample compared with panel sequencing in MSK IMPACT study.</w:t>
      </w:r>
      <w:r>
        <w:rPr>
          <w:rFonts w:ascii="Calibri" w:eastAsia="Calibri" w:hAnsi="Calibri" w:cs="Calibri"/>
        </w:rPr>
        <w:t xml:space="preserve"> The fraction of the samples with the hotspot mutation with 95% confidence intervals (binomial distribution with uniform prior).</w:t>
      </w:r>
    </w:p>
    <w:p w14:paraId="5B67FE0E" w14:textId="77777777" w:rsidR="0017533C" w:rsidRDefault="00000000">
      <w:pPr>
        <w:jc w:val="both"/>
        <w:rPr>
          <w:rFonts w:ascii="Calibri" w:eastAsia="Calibri" w:hAnsi="Calibri" w:cs="Calibri"/>
        </w:rPr>
      </w:pPr>
      <w:r>
        <w:rPr>
          <w:rFonts w:ascii="Calibri" w:eastAsia="Calibri" w:hAnsi="Calibri" w:cs="Calibri"/>
          <w:noProof/>
        </w:rPr>
        <w:lastRenderedPageBreak/>
        <w:drawing>
          <wp:inline distT="114300" distB="114300" distL="114300" distR="114300" wp14:anchorId="5B7B979B" wp14:editId="2F740BD9">
            <wp:extent cx="5786465" cy="4614863"/>
            <wp:effectExtent l="0" t="0" r="0" b="0"/>
            <wp:docPr id="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a:stretch>
                      <a:fillRect/>
                    </a:stretch>
                  </pic:blipFill>
                  <pic:spPr>
                    <a:xfrm>
                      <a:off x="0" y="0"/>
                      <a:ext cx="5786465" cy="4614863"/>
                    </a:xfrm>
                    <a:prstGeom prst="rect">
                      <a:avLst/>
                    </a:prstGeom>
                    <a:ln/>
                  </pic:spPr>
                </pic:pic>
              </a:graphicData>
            </a:graphic>
          </wp:inline>
        </w:drawing>
      </w:r>
    </w:p>
    <w:p w14:paraId="3F8A3F98" w14:textId="77777777" w:rsidR="0017533C" w:rsidRDefault="00000000">
      <w:pPr>
        <w:jc w:val="both"/>
        <w:rPr>
          <w:rFonts w:ascii="Calibri" w:eastAsia="Calibri" w:hAnsi="Calibri" w:cs="Calibri"/>
        </w:rPr>
      </w:pPr>
      <w:r>
        <w:rPr>
          <w:rFonts w:ascii="Calibri" w:eastAsia="Calibri" w:hAnsi="Calibri" w:cs="Calibri"/>
          <w:b/>
        </w:rPr>
        <w:t>Supplementary Figure 9. The rate of mutations in driver genes in the100kGP cohort compared to the MSK cohort.</w:t>
      </w:r>
      <w:r>
        <w:rPr>
          <w:rFonts w:ascii="Calibri" w:eastAsia="Calibri" w:hAnsi="Calibri" w:cs="Calibri"/>
        </w:rPr>
        <w:t xml:space="preserve"> The fraction of the samples with a hotspot mutation in the tumour group (95% confidence intervals for a binomial distribution with uniform prior). Each point corresponds to one of the 770 driver genes in tumour groups where the colour and point shape corresponds to the organ of the tumour group.</w:t>
      </w:r>
    </w:p>
    <w:p w14:paraId="35B68243" w14:textId="77777777" w:rsidR="0017533C" w:rsidRDefault="0017533C">
      <w:pPr>
        <w:jc w:val="both"/>
        <w:rPr>
          <w:rFonts w:ascii="Calibri" w:eastAsia="Calibri" w:hAnsi="Calibri" w:cs="Calibri"/>
        </w:rPr>
      </w:pPr>
    </w:p>
    <w:p w14:paraId="35B0083A" w14:textId="77777777" w:rsidR="0017533C" w:rsidRDefault="00000000">
      <w:pPr>
        <w:jc w:val="both"/>
        <w:rPr>
          <w:rFonts w:ascii="Calibri" w:eastAsia="Calibri" w:hAnsi="Calibri" w:cs="Calibri"/>
        </w:rPr>
      </w:pPr>
      <w:r>
        <w:rPr>
          <w:rFonts w:ascii="Calibri" w:eastAsia="Calibri" w:hAnsi="Calibri" w:cs="Calibri"/>
          <w:noProof/>
        </w:rPr>
        <w:lastRenderedPageBreak/>
        <w:drawing>
          <wp:inline distT="114300" distB="114300" distL="114300" distR="114300" wp14:anchorId="11F744F3" wp14:editId="561CCBD5">
            <wp:extent cx="5325276" cy="3300413"/>
            <wp:effectExtent l="0" t="0" r="0" b="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5325276" cy="3300413"/>
                    </a:xfrm>
                    <a:prstGeom prst="rect">
                      <a:avLst/>
                    </a:prstGeom>
                    <a:ln/>
                  </pic:spPr>
                </pic:pic>
              </a:graphicData>
            </a:graphic>
          </wp:inline>
        </w:drawing>
      </w:r>
    </w:p>
    <w:p w14:paraId="3D386247" w14:textId="77777777" w:rsidR="0017533C" w:rsidRDefault="00000000">
      <w:pPr>
        <w:jc w:val="both"/>
        <w:rPr>
          <w:rFonts w:ascii="Calibri" w:eastAsia="Calibri" w:hAnsi="Calibri" w:cs="Calibri"/>
        </w:rPr>
      </w:pPr>
      <w:r>
        <w:rPr>
          <w:rFonts w:ascii="Calibri" w:eastAsia="Calibri" w:hAnsi="Calibri" w:cs="Calibri"/>
          <w:b/>
        </w:rPr>
        <w:t xml:space="preserve">Supplementary Figure 10. Distribution of read counts supporting the alternate allele across all PASS mutations in all tumour samples. </w:t>
      </w:r>
      <w:r>
        <w:rPr>
          <w:rFonts w:ascii="Calibri" w:eastAsia="Calibri" w:hAnsi="Calibri" w:cs="Calibri"/>
        </w:rPr>
        <w:t xml:space="preserve">The steep </w:t>
      </w:r>
      <w:proofErr w:type="spellStart"/>
      <w:r>
        <w:rPr>
          <w:rFonts w:ascii="Calibri" w:eastAsia="Calibri" w:hAnsi="Calibri" w:cs="Calibri"/>
        </w:rPr>
        <w:t>dropoff</w:t>
      </w:r>
      <w:proofErr w:type="spellEnd"/>
      <w:r>
        <w:rPr>
          <w:rFonts w:ascii="Calibri" w:eastAsia="Calibri" w:hAnsi="Calibri" w:cs="Calibri"/>
        </w:rPr>
        <w:t xml:space="preserve"> in called mutations with fewer than 6 reads supporting the alternate allele suggests that a threshold of 6 is a reasonable proxy for selection criteria of </w:t>
      </w:r>
      <w:proofErr w:type="spellStart"/>
      <w:r>
        <w:rPr>
          <w:rFonts w:ascii="Calibri" w:eastAsia="Calibri" w:hAnsi="Calibri" w:cs="Calibri"/>
        </w:rPr>
        <w:t>Strelka</w:t>
      </w:r>
      <w:proofErr w:type="spellEnd"/>
      <w:r>
        <w:rPr>
          <w:rFonts w:ascii="Calibri" w:eastAsia="Calibri" w:hAnsi="Calibri" w:cs="Calibri"/>
        </w:rPr>
        <w:t xml:space="preserve"> variant calls.</w:t>
      </w:r>
    </w:p>
    <w:p w14:paraId="371F0307" w14:textId="77777777" w:rsidR="0017533C" w:rsidRDefault="0017533C">
      <w:pPr>
        <w:jc w:val="both"/>
        <w:rPr>
          <w:rFonts w:ascii="Calibri" w:eastAsia="Calibri" w:hAnsi="Calibri" w:cs="Calibri"/>
        </w:rPr>
      </w:pPr>
    </w:p>
    <w:p w14:paraId="3BC3F717" w14:textId="77777777" w:rsidR="0017533C" w:rsidRDefault="0017533C">
      <w:pPr>
        <w:jc w:val="both"/>
        <w:rPr>
          <w:rFonts w:ascii="Calibri" w:eastAsia="Calibri" w:hAnsi="Calibri" w:cs="Calibri"/>
        </w:rPr>
      </w:pPr>
    </w:p>
    <w:p w14:paraId="67EAF522" w14:textId="77777777" w:rsidR="0017533C" w:rsidRDefault="00000000">
      <w:pPr>
        <w:jc w:val="both"/>
        <w:rPr>
          <w:rFonts w:ascii="Calibri" w:eastAsia="Calibri" w:hAnsi="Calibri" w:cs="Calibri"/>
        </w:rPr>
      </w:pPr>
      <w:r>
        <w:rPr>
          <w:rFonts w:ascii="Calibri" w:eastAsia="Calibri" w:hAnsi="Calibri" w:cs="Calibri"/>
          <w:noProof/>
        </w:rPr>
        <w:lastRenderedPageBreak/>
        <w:drawing>
          <wp:inline distT="114300" distB="114300" distL="114300" distR="114300" wp14:anchorId="29C49501" wp14:editId="75950D0B">
            <wp:extent cx="4733322" cy="4795838"/>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4733322" cy="4795838"/>
                    </a:xfrm>
                    <a:prstGeom prst="rect">
                      <a:avLst/>
                    </a:prstGeom>
                    <a:ln/>
                  </pic:spPr>
                </pic:pic>
              </a:graphicData>
            </a:graphic>
          </wp:inline>
        </w:drawing>
      </w:r>
    </w:p>
    <w:p w14:paraId="3BCB1A01" w14:textId="77777777" w:rsidR="0017533C" w:rsidRDefault="00000000">
      <w:pPr>
        <w:jc w:val="both"/>
        <w:rPr>
          <w:rFonts w:ascii="Calibri" w:eastAsia="Calibri" w:hAnsi="Calibri" w:cs="Calibri"/>
        </w:rPr>
      </w:pPr>
      <w:r>
        <w:rPr>
          <w:rFonts w:ascii="Calibri" w:eastAsia="Calibri" w:hAnsi="Calibri" w:cs="Calibri"/>
          <w:b/>
        </w:rPr>
        <w:t xml:space="preserve">Supplementary Figure 11. The distribution average read coverage for each sample in the given tumour group for the given gene. </w:t>
      </w:r>
      <w:r>
        <w:rPr>
          <w:rFonts w:ascii="Calibri" w:eastAsia="Calibri" w:hAnsi="Calibri" w:cs="Calibri"/>
        </w:rPr>
        <w:t xml:space="preserve">Most genes such as PIK3CA and KRAS have greater than 100x coverage in </w:t>
      </w:r>
      <w:proofErr w:type="gramStart"/>
      <w:r>
        <w:rPr>
          <w:rFonts w:ascii="Calibri" w:eastAsia="Calibri" w:hAnsi="Calibri" w:cs="Calibri"/>
        </w:rPr>
        <w:t>the majority of</w:t>
      </w:r>
      <w:proofErr w:type="gramEnd"/>
      <w:r>
        <w:rPr>
          <w:rFonts w:ascii="Calibri" w:eastAsia="Calibri" w:hAnsi="Calibri" w:cs="Calibri"/>
        </w:rPr>
        <w:t xml:space="preserve"> samples and spread consistent with random Poisson noise. TP53 has significantly lower and more varied coverage between samples.</w:t>
      </w:r>
    </w:p>
    <w:p w14:paraId="79B16D7B" w14:textId="77777777" w:rsidR="0017533C" w:rsidRDefault="00000000">
      <w:pPr>
        <w:jc w:val="both"/>
        <w:rPr>
          <w:rFonts w:ascii="Calibri" w:eastAsia="Calibri" w:hAnsi="Calibri" w:cs="Calibri"/>
        </w:rPr>
      </w:pPr>
      <w:r>
        <w:rPr>
          <w:rFonts w:ascii="Calibri" w:eastAsia="Calibri" w:hAnsi="Calibri" w:cs="Calibri"/>
          <w:noProof/>
        </w:rPr>
        <w:lastRenderedPageBreak/>
        <w:drawing>
          <wp:inline distT="114300" distB="114300" distL="114300" distR="114300" wp14:anchorId="72225C59" wp14:editId="2B3DBE31">
            <wp:extent cx="8467235" cy="4329113"/>
            <wp:effectExtent l="0" t="0" r="0" b="0"/>
            <wp:docPr id="1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
                    <a:srcRect/>
                    <a:stretch>
                      <a:fillRect/>
                    </a:stretch>
                  </pic:blipFill>
                  <pic:spPr>
                    <a:xfrm>
                      <a:off x="0" y="0"/>
                      <a:ext cx="8467235" cy="4329113"/>
                    </a:xfrm>
                    <a:prstGeom prst="rect">
                      <a:avLst/>
                    </a:prstGeom>
                    <a:ln/>
                  </pic:spPr>
                </pic:pic>
              </a:graphicData>
            </a:graphic>
          </wp:inline>
        </w:drawing>
      </w:r>
    </w:p>
    <w:p w14:paraId="26C1EEB6" w14:textId="77777777" w:rsidR="0017533C" w:rsidRDefault="00000000">
      <w:pPr>
        <w:jc w:val="both"/>
        <w:rPr>
          <w:rFonts w:ascii="Calibri" w:eastAsia="Calibri" w:hAnsi="Calibri" w:cs="Calibri"/>
        </w:rPr>
      </w:pPr>
      <w:r>
        <w:rPr>
          <w:rFonts w:ascii="Calibri" w:eastAsia="Calibri" w:hAnsi="Calibri" w:cs="Calibri"/>
          <w:b/>
        </w:rPr>
        <w:t xml:space="preserve">Supplementary Figure 12. Distribution of mean sensitivity (top) and minimum sensitivity (bottom) across samples in the given tumour group for the given gene. </w:t>
      </w:r>
      <w:r>
        <w:rPr>
          <w:rFonts w:ascii="Calibri" w:eastAsia="Calibri" w:hAnsi="Calibri" w:cs="Calibri"/>
        </w:rPr>
        <w:t>The mean sensitivity is estimated as the Poisson probability that there will be at least 6 alternate allele reads given the purity and mean gene coverage for the sample while the minimum sensitivity is given the minimum coverage across the gene. Across 88% of genes and samples have greater than 99% mean sensitivity.</w:t>
      </w:r>
    </w:p>
    <w:p w14:paraId="78EF8CA9" w14:textId="77777777" w:rsidR="0017533C" w:rsidRDefault="00000000">
      <w:pPr>
        <w:jc w:val="both"/>
        <w:rPr>
          <w:rFonts w:ascii="Calibri" w:eastAsia="Calibri" w:hAnsi="Calibri" w:cs="Calibri"/>
        </w:rPr>
      </w:pPr>
      <w:r>
        <w:rPr>
          <w:rFonts w:ascii="Calibri" w:eastAsia="Calibri" w:hAnsi="Calibri" w:cs="Calibri"/>
          <w:noProof/>
        </w:rPr>
        <w:lastRenderedPageBreak/>
        <w:drawing>
          <wp:inline distT="114300" distB="114300" distL="114300" distR="114300" wp14:anchorId="7AB61B04" wp14:editId="373751A7">
            <wp:extent cx="8863200" cy="28829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8863200" cy="2882900"/>
                    </a:xfrm>
                    <a:prstGeom prst="rect">
                      <a:avLst/>
                    </a:prstGeom>
                    <a:ln/>
                  </pic:spPr>
                </pic:pic>
              </a:graphicData>
            </a:graphic>
          </wp:inline>
        </w:drawing>
      </w:r>
    </w:p>
    <w:p w14:paraId="18F439B7" w14:textId="77777777" w:rsidR="0017533C" w:rsidRDefault="00000000">
      <w:pPr>
        <w:jc w:val="both"/>
        <w:rPr>
          <w:rFonts w:ascii="Calibri" w:eastAsia="Calibri" w:hAnsi="Calibri" w:cs="Calibri"/>
        </w:rPr>
      </w:pPr>
      <w:r>
        <w:rPr>
          <w:rFonts w:ascii="Calibri" w:eastAsia="Calibri" w:hAnsi="Calibri" w:cs="Calibri"/>
          <w:noProof/>
        </w:rPr>
        <w:lastRenderedPageBreak/>
        <w:drawing>
          <wp:inline distT="114300" distB="114300" distL="114300" distR="114300" wp14:anchorId="60444E68" wp14:editId="3780C459">
            <wp:extent cx="8863200" cy="4457700"/>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8863200" cy="4457700"/>
                    </a:xfrm>
                    <a:prstGeom prst="rect">
                      <a:avLst/>
                    </a:prstGeom>
                    <a:ln/>
                  </pic:spPr>
                </pic:pic>
              </a:graphicData>
            </a:graphic>
          </wp:inline>
        </w:drawing>
      </w:r>
    </w:p>
    <w:p w14:paraId="6C56E0CB" w14:textId="77777777" w:rsidR="0017533C" w:rsidRDefault="00000000">
      <w:pPr>
        <w:jc w:val="both"/>
        <w:rPr>
          <w:rFonts w:ascii="Calibri" w:eastAsia="Calibri" w:hAnsi="Calibri" w:cs="Calibri"/>
        </w:rPr>
      </w:pPr>
      <w:r>
        <w:rPr>
          <w:rFonts w:ascii="Calibri" w:eastAsia="Calibri" w:hAnsi="Calibri" w:cs="Calibri"/>
          <w:b/>
        </w:rPr>
        <w:t xml:space="preserve">Supplementary Figure 13. Fraction of gene where the coverage is high enough that the sensitivity would be at least 50% (top) and 90% (bottom). </w:t>
      </w:r>
      <w:r>
        <w:rPr>
          <w:rFonts w:ascii="Calibri" w:eastAsia="Calibri" w:hAnsi="Calibri" w:cs="Calibri"/>
        </w:rPr>
        <w:t xml:space="preserve">The expected read count supporting alternate alleles is given by </w:t>
      </w:r>
      <m:oMath>
        <m:r>
          <w:rPr>
            <w:rFonts w:ascii="Calibri" w:eastAsia="Calibri" w:hAnsi="Calibri" w:cs="Calibri"/>
          </w:rPr>
          <m:t>0.5 ×coverage × purity</m:t>
        </m:r>
      </m:oMath>
      <w:r>
        <w:rPr>
          <w:rFonts w:ascii="Calibri" w:eastAsia="Calibri" w:hAnsi="Calibri" w:cs="Calibri"/>
        </w:rPr>
        <w:t>. 6 alternate reads would give approximately a 50% chance of detecting a variant and 9.27 reads corresponds to approximately 90%. In 90% of all genes and samples, over 98% of the gene has sufficient coverage and purity to have an expected alternate read count greater than 6.</w:t>
      </w:r>
    </w:p>
    <w:p w14:paraId="5BFAB83E" w14:textId="77777777" w:rsidR="0017533C" w:rsidRDefault="0017533C">
      <w:pPr>
        <w:jc w:val="both"/>
        <w:rPr>
          <w:rFonts w:ascii="Calibri" w:eastAsia="Calibri" w:hAnsi="Calibri" w:cs="Calibri"/>
        </w:rPr>
      </w:pPr>
    </w:p>
    <w:p w14:paraId="3C7AFCF6" w14:textId="77777777" w:rsidR="0017533C" w:rsidRDefault="00000000">
      <w:pPr>
        <w:jc w:val="both"/>
        <w:rPr>
          <w:rFonts w:ascii="Calibri" w:eastAsia="Calibri" w:hAnsi="Calibri" w:cs="Calibri"/>
        </w:rPr>
      </w:pPr>
      <w:r>
        <w:rPr>
          <w:rFonts w:ascii="Calibri" w:eastAsia="Calibri" w:hAnsi="Calibri" w:cs="Calibri"/>
          <w:noProof/>
        </w:rPr>
        <w:drawing>
          <wp:inline distT="114300" distB="114300" distL="114300" distR="114300" wp14:anchorId="61F958A1" wp14:editId="35CA1193">
            <wp:extent cx="8863200" cy="3086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8863200" cy="3086100"/>
                    </a:xfrm>
                    <a:prstGeom prst="rect">
                      <a:avLst/>
                    </a:prstGeom>
                    <a:ln/>
                  </pic:spPr>
                </pic:pic>
              </a:graphicData>
            </a:graphic>
          </wp:inline>
        </w:drawing>
      </w:r>
    </w:p>
    <w:p w14:paraId="55474C6C" w14:textId="77777777" w:rsidR="0017533C" w:rsidRDefault="00000000">
      <w:pPr>
        <w:jc w:val="both"/>
        <w:rPr>
          <w:rFonts w:ascii="Calibri" w:eastAsia="Calibri" w:hAnsi="Calibri" w:cs="Calibri"/>
        </w:rPr>
      </w:pPr>
      <w:r>
        <w:rPr>
          <w:rFonts w:ascii="Calibri" w:eastAsia="Calibri" w:hAnsi="Calibri" w:cs="Calibri"/>
          <w:b/>
        </w:rPr>
        <w:t>Supplementary Figure 14. The distribution of expected sensitivity to hotspot mutations across samples in the given tumour group.</w:t>
      </w:r>
      <w:r>
        <w:rPr>
          <w:rFonts w:ascii="Calibri" w:eastAsia="Calibri" w:hAnsi="Calibri" w:cs="Calibri"/>
        </w:rPr>
        <w:t xml:space="preserve"> The sensitivity is estimated based on the Poisson probability of there being at least 6 alternate allele reads given the coverage and sample purity. 88% of hotspots in samples have greater than 99% sensitivity. </w:t>
      </w:r>
    </w:p>
    <w:p w14:paraId="2B4BAA05" w14:textId="77777777" w:rsidR="0017533C" w:rsidRDefault="0017533C">
      <w:pPr>
        <w:jc w:val="both"/>
        <w:rPr>
          <w:rFonts w:ascii="Calibri" w:eastAsia="Calibri" w:hAnsi="Calibri" w:cs="Calibri"/>
        </w:rPr>
      </w:pPr>
    </w:p>
    <w:p w14:paraId="10C6530B" w14:textId="77777777" w:rsidR="0017533C" w:rsidRDefault="0017533C">
      <w:pPr>
        <w:jc w:val="both"/>
        <w:rPr>
          <w:rFonts w:ascii="Calibri" w:eastAsia="Calibri" w:hAnsi="Calibri" w:cs="Calibri"/>
        </w:rPr>
      </w:pPr>
    </w:p>
    <w:p w14:paraId="236C7C94" w14:textId="77777777" w:rsidR="0017533C" w:rsidRDefault="00000000">
      <w:pPr>
        <w:jc w:val="both"/>
        <w:rPr>
          <w:rFonts w:ascii="Calibri" w:eastAsia="Calibri" w:hAnsi="Calibri" w:cs="Calibri"/>
        </w:rPr>
      </w:pPr>
      <w:r>
        <w:rPr>
          <w:rFonts w:ascii="Calibri" w:eastAsia="Calibri" w:hAnsi="Calibri" w:cs="Calibri"/>
          <w:noProof/>
        </w:rPr>
        <w:lastRenderedPageBreak/>
        <w:drawing>
          <wp:inline distT="114300" distB="114300" distL="114300" distR="114300" wp14:anchorId="2410FC43" wp14:editId="3AAA513C">
            <wp:extent cx="8863200" cy="3467100"/>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8863200" cy="3467100"/>
                    </a:xfrm>
                    <a:prstGeom prst="rect">
                      <a:avLst/>
                    </a:prstGeom>
                    <a:ln/>
                  </pic:spPr>
                </pic:pic>
              </a:graphicData>
            </a:graphic>
          </wp:inline>
        </w:drawing>
      </w:r>
    </w:p>
    <w:p w14:paraId="13F3FA5B" w14:textId="77777777" w:rsidR="0017533C" w:rsidRDefault="00000000">
      <w:pPr>
        <w:jc w:val="both"/>
        <w:rPr>
          <w:rFonts w:ascii="Calibri" w:eastAsia="Calibri" w:hAnsi="Calibri" w:cs="Calibri"/>
        </w:rPr>
        <w:sectPr w:rsidR="0017533C">
          <w:pgSz w:w="16838" w:h="11906" w:orient="landscape"/>
          <w:pgMar w:top="1440" w:right="1440" w:bottom="1440" w:left="1440" w:header="708" w:footer="708" w:gutter="0"/>
          <w:cols w:space="720"/>
        </w:sectPr>
      </w:pPr>
      <w:r>
        <w:rPr>
          <w:rFonts w:ascii="Calibri" w:eastAsia="Calibri" w:hAnsi="Calibri" w:cs="Calibri"/>
          <w:b/>
        </w:rPr>
        <w:t>Supplementary Figure 15. Survival curves for Breast-</w:t>
      </w:r>
      <w:proofErr w:type="spellStart"/>
      <w:r>
        <w:rPr>
          <w:rFonts w:ascii="Calibri" w:eastAsia="Calibri" w:hAnsi="Calibri" w:cs="Calibri"/>
          <w:b/>
        </w:rPr>
        <w:t>DuctalCA</w:t>
      </w:r>
      <w:proofErr w:type="spellEnd"/>
      <w:r>
        <w:rPr>
          <w:rFonts w:ascii="Calibri" w:eastAsia="Calibri" w:hAnsi="Calibri" w:cs="Calibri"/>
          <w:b/>
        </w:rPr>
        <w:t xml:space="preserve"> and </w:t>
      </w:r>
      <w:proofErr w:type="spellStart"/>
      <w:r>
        <w:rPr>
          <w:rFonts w:ascii="Calibri" w:eastAsia="Calibri" w:hAnsi="Calibri" w:cs="Calibri"/>
          <w:b/>
        </w:rPr>
        <w:t>ColoRect-AdenoCA</w:t>
      </w:r>
      <w:proofErr w:type="spellEnd"/>
      <w:r>
        <w:rPr>
          <w:rFonts w:ascii="Calibri" w:eastAsia="Calibri" w:hAnsi="Calibri" w:cs="Calibri"/>
          <w:b/>
        </w:rPr>
        <w:t xml:space="preserve"> cohorts with oncogenic mutations to TP53 and KRAS respectively vs those without.</w:t>
      </w:r>
      <w:r>
        <w:rPr>
          <w:rFonts w:ascii="Calibri" w:eastAsia="Calibri" w:hAnsi="Calibri" w:cs="Calibri"/>
        </w:rPr>
        <w:t xml:space="preserve"> Log-rank </w:t>
      </w:r>
      <w:proofErr w:type="spellStart"/>
      <w:r>
        <w:rPr>
          <w:rFonts w:ascii="Calibri" w:eastAsia="Calibri" w:hAnsi="Calibri" w:cs="Calibri"/>
          <w:i/>
        </w:rPr>
        <w:t>P</w:t>
      </w:r>
      <w:r>
        <w:rPr>
          <w:rFonts w:ascii="Calibri" w:eastAsia="Calibri" w:hAnsi="Calibri" w:cs="Calibri"/>
        </w:rPr>
        <w:t>values</w:t>
      </w:r>
      <w:proofErr w:type="spellEnd"/>
      <w:r>
        <w:rPr>
          <w:rFonts w:ascii="Calibri" w:eastAsia="Calibri" w:hAnsi="Calibri" w:cs="Calibri"/>
        </w:rPr>
        <w:t xml:space="preserve"> are shown in the bottom right along with coefficients from Cox Proportional Hazard (CPH) tests controlling for age, </w:t>
      </w:r>
      <w:proofErr w:type="gramStart"/>
      <w:r>
        <w:rPr>
          <w:rFonts w:ascii="Calibri" w:eastAsia="Calibri" w:hAnsi="Calibri" w:cs="Calibri"/>
        </w:rPr>
        <w:t>sex</w:t>
      </w:r>
      <w:proofErr w:type="gramEnd"/>
      <w:r>
        <w:rPr>
          <w:rFonts w:ascii="Calibri" w:eastAsia="Calibri" w:hAnsi="Calibri" w:cs="Calibri"/>
        </w:rPr>
        <w:t xml:space="preserve"> and principal components of population.</w:t>
      </w:r>
    </w:p>
    <w:p w14:paraId="11D83E91" w14:textId="77777777" w:rsidR="0017533C" w:rsidRDefault="00000000">
      <w:pPr>
        <w:spacing w:after="160" w:line="256" w:lineRule="auto"/>
        <w:jc w:val="both"/>
        <w:rPr>
          <w:rFonts w:ascii="Calibri" w:eastAsia="Calibri" w:hAnsi="Calibri" w:cs="Calibri"/>
          <w:b/>
          <w:sz w:val="22"/>
          <w:szCs w:val="22"/>
        </w:rPr>
      </w:pPr>
      <w:r>
        <w:rPr>
          <w:rFonts w:ascii="Calibri" w:eastAsia="Calibri" w:hAnsi="Calibri" w:cs="Calibri"/>
          <w:b/>
          <w:sz w:val="22"/>
          <w:szCs w:val="22"/>
        </w:rPr>
        <w:lastRenderedPageBreak/>
        <w:t xml:space="preserve"> </w:t>
      </w:r>
      <w:r>
        <w:rPr>
          <w:rFonts w:ascii="Calibri" w:eastAsia="Calibri" w:hAnsi="Calibri" w:cs="Calibri"/>
          <w:b/>
          <w:noProof/>
          <w:sz w:val="22"/>
          <w:szCs w:val="22"/>
        </w:rPr>
        <w:drawing>
          <wp:inline distT="114300" distB="114300" distL="114300" distR="114300" wp14:anchorId="32FB3BCC" wp14:editId="6B31C225">
            <wp:extent cx="5731200" cy="36703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731200" cy="3670300"/>
                    </a:xfrm>
                    <a:prstGeom prst="rect">
                      <a:avLst/>
                    </a:prstGeom>
                    <a:ln/>
                  </pic:spPr>
                </pic:pic>
              </a:graphicData>
            </a:graphic>
          </wp:inline>
        </w:drawing>
      </w:r>
    </w:p>
    <w:p w14:paraId="2FE4FB6C" w14:textId="77777777" w:rsidR="0017533C" w:rsidRDefault="00000000">
      <w:pPr>
        <w:spacing w:after="160" w:line="256" w:lineRule="auto"/>
        <w:jc w:val="both"/>
        <w:rPr>
          <w:rFonts w:ascii="Calibri" w:eastAsia="Calibri" w:hAnsi="Calibri" w:cs="Calibri"/>
          <w:sz w:val="22"/>
          <w:szCs w:val="22"/>
        </w:rPr>
      </w:pPr>
      <w:r>
        <w:rPr>
          <w:rFonts w:ascii="Calibri" w:eastAsia="Calibri" w:hAnsi="Calibri" w:cs="Calibri"/>
          <w:b/>
          <w:sz w:val="22"/>
          <w:szCs w:val="22"/>
        </w:rPr>
        <w:t xml:space="preserve">Supplementary Figure 16: CNV calling pipeline overview. </w:t>
      </w:r>
      <w:r>
        <w:rPr>
          <w:rFonts w:ascii="Calibri" w:eastAsia="Calibri" w:hAnsi="Calibri" w:cs="Calibri"/>
          <w:sz w:val="22"/>
          <w:szCs w:val="22"/>
        </w:rPr>
        <w:t>BAM, binary sequence alignment map; VCF, variance call format; SNV, single nucleotide variant; VAF, variance allele frequency; WGD, whole genome duplication.</w:t>
      </w:r>
      <w:r>
        <w:br w:type="page"/>
      </w:r>
    </w:p>
    <w:p w14:paraId="54B2239A" w14:textId="77777777" w:rsidR="00281604" w:rsidRDefault="00000000">
      <w:pPr>
        <w:spacing w:after="160" w:line="256" w:lineRule="auto"/>
        <w:jc w:val="both"/>
        <w:rPr>
          <w:rFonts w:ascii="Calibri" w:eastAsia="Calibri" w:hAnsi="Calibri" w:cs="Calibri"/>
          <w:b/>
          <w:sz w:val="22"/>
          <w:szCs w:val="22"/>
        </w:rPr>
      </w:pPr>
      <w:r>
        <w:rPr>
          <w:rFonts w:ascii="Calibri" w:eastAsia="Calibri" w:hAnsi="Calibri" w:cs="Calibri"/>
          <w:noProof/>
          <w:sz w:val="22"/>
          <w:szCs w:val="22"/>
        </w:rPr>
        <w:lastRenderedPageBreak/>
        <w:drawing>
          <wp:inline distT="114300" distB="114300" distL="114300" distR="114300" wp14:anchorId="6EF1F8C1" wp14:editId="200429E8">
            <wp:extent cx="4445000" cy="80137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4445177" cy="8014020"/>
                    </a:xfrm>
                    <a:prstGeom prst="rect">
                      <a:avLst/>
                    </a:prstGeom>
                    <a:ln/>
                  </pic:spPr>
                </pic:pic>
              </a:graphicData>
            </a:graphic>
          </wp:inline>
        </w:drawing>
      </w:r>
    </w:p>
    <w:p w14:paraId="7E8E214B" w14:textId="5AC86406" w:rsidR="0017533C" w:rsidRDefault="00000000">
      <w:pPr>
        <w:spacing w:after="160" w:line="256" w:lineRule="auto"/>
        <w:jc w:val="both"/>
        <w:rPr>
          <w:rFonts w:ascii="Calibri" w:eastAsia="Calibri" w:hAnsi="Calibri" w:cs="Calibri"/>
        </w:rPr>
      </w:pPr>
      <w:r>
        <w:rPr>
          <w:rFonts w:ascii="Calibri" w:eastAsia="Calibri" w:hAnsi="Calibri" w:cs="Calibri"/>
          <w:b/>
          <w:sz w:val="22"/>
          <w:szCs w:val="22"/>
        </w:rPr>
        <w:t xml:space="preserve">Supplementary Figure 17: Overview of stage 2 of the CNV calling pipeline. </w:t>
      </w:r>
      <w:r>
        <w:rPr>
          <w:rFonts w:ascii="Calibri" w:eastAsia="Calibri" w:hAnsi="Calibri" w:cs="Calibri"/>
          <w:sz w:val="22"/>
          <w:szCs w:val="22"/>
        </w:rPr>
        <w:t>SNV, single nucleotide variant; VAF, variant allele frequency.</w:t>
      </w:r>
      <w:r>
        <w:rPr>
          <w:rFonts w:ascii="Calibri" w:eastAsia="Calibri" w:hAnsi="Calibri" w:cs="Calibri"/>
          <w:sz w:val="22"/>
          <w:szCs w:val="22"/>
        </w:rPr>
        <w:br/>
      </w:r>
    </w:p>
    <w:sectPr w:rsidR="0017533C">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3C"/>
    <w:rsid w:val="0017533C"/>
    <w:rsid w:val="00281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52A6B6"/>
  <w15:docId w15:val="{38A55DDD-6BFE-494D-A0FF-9BE2EFB5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712</Words>
  <Characters>4061</Characters>
  <Application>Microsoft Office Word</Application>
  <DocSecurity>0</DocSecurity>
  <Lines>33</Lines>
  <Paragraphs>9</Paragraphs>
  <ScaleCrop>false</ScaleCrop>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Sud, Amit</cp:lastModifiedBy>
  <cp:revision>2</cp:revision>
  <dcterms:created xsi:type="dcterms:W3CDTF">2023-09-25T13:13:00Z</dcterms:created>
  <dcterms:modified xsi:type="dcterms:W3CDTF">2023-09-25T13:14:00Z</dcterms:modified>
</cp:coreProperties>
</file>