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39EAE" w14:textId="3BCF855B" w:rsidR="009968F5" w:rsidRDefault="00D5352E">
      <w:r>
        <w:rPr>
          <w:noProof/>
        </w:rPr>
        <w:drawing>
          <wp:inline distT="0" distB="0" distL="0" distR="0" wp14:anchorId="28F7BE5C" wp14:editId="274CAEBE">
            <wp:extent cx="5943600" cy="5190490"/>
            <wp:effectExtent l="0" t="0" r="0" b="0"/>
            <wp:docPr id="2" name="Picture 2" descr="A picture containing text, writing implement, stationary, penc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writing implement, stationary, pencil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9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BC91B" w14:textId="0321E57C" w:rsidR="00D5352E" w:rsidRDefault="00D5352E">
      <w:r w:rsidRPr="00D5352E">
        <w:rPr>
          <w:b/>
          <w:bCs/>
        </w:rPr>
        <w:t>Supplementary Figure 4</w:t>
      </w:r>
      <w:r>
        <w:t xml:space="preserve">: </w:t>
      </w:r>
      <w:r w:rsidRPr="00D5352E">
        <w:t>Bar plot  comparing the number of up regulated and down regulated DEGs associated with CPs (Cuticular proteins),COEs (Carboxylesterases), CYPs (cytochrome P450s, GSTs (glutathione-S-transferases), and SGs (Salivary gland) proteins</w:t>
      </w:r>
    </w:p>
    <w:sectPr w:rsidR="00D535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302EB" w14:textId="77777777" w:rsidR="00F21CB8" w:rsidRDefault="00F21CB8" w:rsidP="00BF75A0">
      <w:pPr>
        <w:spacing w:after="0" w:line="240" w:lineRule="auto"/>
      </w:pPr>
      <w:r>
        <w:separator/>
      </w:r>
    </w:p>
  </w:endnote>
  <w:endnote w:type="continuationSeparator" w:id="0">
    <w:p w14:paraId="153DBB1A" w14:textId="77777777" w:rsidR="00F21CB8" w:rsidRDefault="00F21CB8" w:rsidP="00BF7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51406" w14:textId="77777777" w:rsidR="00F21CB8" w:rsidRDefault="00F21CB8" w:rsidP="00BF75A0">
      <w:pPr>
        <w:spacing w:after="0" w:line="240" w:lineRule="auto"/>
      </w:pPr>
      <w:r>
        <w:separator/>
      </w:r>
    </w:p>
  </w:footnote>
  <w:footnote w:type="continuationSeparator" w:id="0">
    <w:p w14:paraId="3C50C77D" w14:textId="77777777" w:rsidR="00F21CB8" w:rsidRDefault="00F21CB8" w:rsidP="00BF75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5A0"/>
    <w:rsid w:val="001B40C6"/>
    <w:rsid w:val="002461C8"/>
    <w:rsid w:val="00750FA0"/>
    <w:rsid w:val="009968F5"/>
    <w:rsid w:val="00BF75A0"/>
    <w:rsid w:val="00D5352E"/>
    <w:rsid w:val="00F2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9AF092"/>
  <w15:chartTrackingRefBased/>
  <w15:docId w15:val="{F79194E8-4D80-47EC-A747-D851BFC9C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Derilus, Dieunel (CDC/DDPHSIS/CGH/DPDM)</dc:creator>
  <cp:keywords/>
  <dc:description/>
  <cp:lastModifiedBy>Derilus, Dieunel (CDC/DDPHSIS/CGH/DPDM)</cp:lastModifiedBy>
  <cp:revision>3</cp:revision>
  <dcterms:created xsi:type="dcterms:W3CDTF">2023-06-04T18:46:00Z</dcterms:created>
  <dcterms:modified xsi:type="dcterms:W3CDTF">2023-06-04T18:55:00Z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af03ff0-41c5-4c41-b55e-fabb8fae94be_Enabled">
    <vt:lpwstr>true</vt:lpwstr>
  </property>
  <property fmtid="{D5CDD505-2E9C-101B-9397-08002B2CF9AE}" pid="3" name="MSIP_Label_8af03ff0-41c5-4c41-b55e-fabb8fae94be_SetDate">
    <vt:lpwstr>2023-06-04T18:52:50Z</vt:lpwstr>
  </property>
  <property fmtid="{D5CDD505-2E9C-101B-9397-08002B2CF9AE}" pid="4" name="MSIP_Label_8af03ff0-41c5-4c41-b55e-fabb8fae94be_Method">
    <vt:lpwstr>Privileged</vt:lpwstr>
  </property>
  <property fmtid="{D5CDD505-2E9C-101B-9397-08002B2CF9AE}" pid="5" name="MSIP_Label_8af03ff0-41c5-4c41-b55e-fabb8fae94be_Name">
    <vt:lpwstr>8af03ff0-41c5-4c41-b55e-fabb8fae94be</vt:lpwstr>
  </property>
  <property fmtid="{D5CDD505-2E9C-101B-9397-08002B2CF9AE}" pid="6" name="MSIP_Label_8af03ff0-41c5-4c41-b55e-fabb8fae94be_SiteId">
    <vt:lpwstr>9ce70869-60db-44fd-abe8-d2767077fc8f</vt:lpwstr>
  </property>
  <property fmtid="{D5CDD505-2E9C-101B-9397-08002B2CF9AE}" pid="7" name="MSIP_Label_8af03ff0-41c5-4c41-b55e-fabb8fae94be_ActionId">
    <vt:lpwstr>238d0220-0170-4623-9e60-71c309f2ef0a</vt:lpwstr>
  </property>
  <property fmtid="{D5CDD505-2E9C-101B-9397-08002B2CF9AE}" pid="8" name="MSIP_Label_8af03ff0-41c5-4c41-b55e-fabb8fae94be_ContentBits">
    <vt:lpwstr>0</vt:lpwstr>
  </property>
</Properties>
</file>