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B7F9C" w14:textId="056D4DCB" w:rsidR="00C34466" w:rsidRPr="005969A7" w:rsidRDefault="00C34466" w:rsidP="00BC54CA">
      <w:pPr>
        <w:spacing w:line="480" w:lineRule="auto"/>
        <w:rPr>
          <w:rFonts w:ascii="Arial" w:hAnsi="Arial" w:cs="Arial"/>
        </w:rPr>
      </w:pPr>
    </w:p>
    <w:p w14:paraId="2C8F910E" w14:textId="547B649B" w:rsidR="00AA691E" w:rsidRDefault="002914AD" w:rsidP="00BC54CA">
      <w:pPr>
        <w:shd w:val="clear" w:color="auto" w:fill="FFFFFF"/>
        <w:spacing w:line="480" w:lineRule="auto"/>
        <w:rPr>
          <w:rFonts w:ascii="Arial" w:hAnsi="Arial" w:cs="Arial"/>
          <w:b/>
          <w:bCs/>
          <w:sz w:val="24"/>
          <w:szCs w:val="24"/>
        </w:rPr>
      </w:pPr>
      <w:r w:rsidRPr="005969A7">
        <w:rPr>
          <w:rFonts w:ascii="Arial" w:hAnsi="Arial" w:cs="Arial"/>
          <w:b/>
          <w:bCs/>
          <w:sz w:val="24"/>
          <w:szCs w:val="24"/>
        </w:rPr>
        <w:t>Supplemental Figure legends</w:t>
      </w:r>
    </w:p>
    <w:p w14:paraId="37821F6B" w14:textId="6C633C6E" w:rsidR="002879CB" w:rsidRPr="005969A7" w:rsidRDefault="002914AD" w:rsidP="00BC54CA">
      <w:pPr>
        <w:shd w:val="clear" w:color="auto" w:fill="FFFFFF"/>
        <w:spacing w:line="480" w:lineRule="auto"/>
        <w:rPr>
          <w:rFonts w:ascii="Arial" w:hAnsi="Arial" w:cs="Arial"/>
        </w:rPr>
      </w:pPr>
      <w:r w:rsidRPr="005969A7">
        <w:rPr>
          <w:rFonts w:ascii="Arial" w:hAnsi="Arial" w:cs="Arial"/>
          <w:b/>
          <w:bCs/>
          <w:sz w:val="24"/>
          <w:szCs w:val="24"/>
        </w:rPr>
        <w:t>Supplemental Figure 1.</w:t>
      </w:r>
      <w:r w:rsidRPr="005969A7">
        <w:rPr>
          <w:rFonts w:ascii="Arial" w:hAnsi="Arial" w:cs="Arial"/>
        </w:rPr>
        <w:t xml:space="preserve"> </w:t>
      </w:r>
      <w:r w:rsidRPr="005969A7">
        <w:rPr>
          <w:rFonts w:ascii="Arial" w:hAnsi="Arial" w:cs="Arial"/>
          <w:sz w:val="24"/>
          <w:szCs w:val="24"/>
        </w:rPr>
        <w:t>Research design and flow chart. We analysed the faecal metagenomic sequences and faecal LC‒MS/MS metabolomics of 83 individuals from Luzhou, including 18 MEG</w:t>
      </w:r>
      <w:r>
        <w:rPr>
          <w:rFonts w:ascii="Arial" w:eastAsia="DengXian" w:hAnsi="Arial" w:cs="Arial"/>
          <w:sz w:val="24"/>
          <w:szCs w:val="24"/>
        </w:rPr>
        <w:t xml:space="preserve"> patients</w:t>
      </w:r>
      <w:r w:rsidRPr="005969A7">
        <w:rPr>
          <w:rFonts w:ascii="Arial" w:hAnsi="Arial" w:cs="Arial"/>
          <w:sz w:val="24"/>
          <w:szCs w:val="24"/>
        </w:rPr>
        <w:t>, 35 glioma patients, 12 BM</w:t>
      </w:r>
      <w:r>
        <w:rPr>
          <w:rFonts w:ascii="Arial" w:eastAsia="DengXian" w:hAnsi="Arial" w:cs="Arial"/>
          <w:sz w:val="24"/>
          <w:szCs w:val="24"/>
        </w:rPr>
        <w:t xml:space="preserve"> patients</w:t>
      </w:r>
      <w:r w:rsidRPr="005969A7">
        <w:rPr>
          <w:rFonts w:ascii="Arial" w:hAnsi="Arial" w:cs="Arial"/>
          <w:sz w:val="24"/>
          <w:szCs w:val="24"/>
        </w:rPr>
        <w:t xml:space="preserve">, and 18 HCs. In this cohort, our aim </w:t>
      </w:r>
      <w:r>
        <w:rPr>
          <w:rFonts w:ascii="Arial" w:eastAsia="DengXian" w:hAnsi="Arial" w:cs="Arial"/>
          <w:sz w:val="24"/>
          <w:szCs w:val="24"/>
        </w:rPr>
        <w:t>was</w:t>
      </w:r>
      <w:r w:rsidRPr="005969A7">
        <w:rPr>
          <w:rFonts w:ascii="Arial" w:hAnsi="Arial" w:cs="Arial"/>
          <w:sz w:val="24"/>
          <w:szCs w:val="24"/>
        </w:rPr>
        <w:t xml:space="preserve"> to </w:t>
      </w:r>
      <w:r>
        <w:rPr>
          <w:rFonts w:ascii="Arial" w:eastAsia="DengXian" w:hAnsi="Arial" w:cs="Arial"/>
          <w:sz w:val="24"/>
          <w:szCs w:val="24"/>
        </w:rPr>
        <w:t>characterize</w:t>
      </w:r>
      <w:r w:rsidRPr="005969A7">
        <w:rPr>
          <w:rFonts w:ascii="Arial" w:hAnsi="Arial" w:cs="Arial"/>
          <w:sz w:val="24"/>
          <w:szCs w:val="24"/>
        </w:rPr>
        <w:t xml:space="preserve"> the bacterial classification and metabolic characteristics of intestinal microorganisms in HCs and disease populations and to determine the relationship between different taxa, metabolites and bacte</w:t>
      </w:r>
      <w:r w:rsidRPr="005969A7">
        <w:rPr>
          <w:rFonts w:ascii="Arial" w:hAnsi="Arial" w:cs="Arial"/>
          <w:sz w:val="24"/>
          <w:szCs w:val="24"/>
        </w:rPr>
        <w:t>rial functions. HCs, healthy controls; MEG, meningioma; BM, brain metastasis.</w:t>
      </w:r>
    </w:p>
    <w:p w14:paraId="15FC1561" w14:textId="5B2392FE" w:rsidR="002879CB" w:rsidRPr="005969A7" w:rsidRDefault="002914AD" w:rsidP="00BC54CA">
      <w:pPr>
        <w:spacing w:line="480" w:lineRule="auto"/>
        <w:rPr>
          <w:rFonts w:ascii="Arial" w:hAnsi="Arial" w:cs="Arial"/>
          <w:sz w:val="24"/>
          <w:szCs w:val="24"/>
        </w:rPr>
      </w:pPr>
      <w:r w:rsidRPr="005969A7">
        <w:rPr>
          <w:rFonts w:ascii="Arial" w:hAnsi="Arial" w:cs="Arial"/>
          <w:b/>
          <w:bCs/>
          <w:sz w:val="24"/>
          <w:szCs w:val="24"/>
        </w:rPr>
        <w:t xml:space="preserve">Supplemental Figure 2. </w:t>
      </w:r>
      <w:r w:rsidRPr="005969A7">
        <w:rPr>
          <w:rFonts w:ascii="Arial" w:hAnsi="Arial" w:cs="Arial"/>
          <w:sz w:val="24"/>
          <w:szCs w:val="24"/>
        </w:rPr>
        <w:t xml:space="preserve">The α-diversity of the </w:t>
      </w:r>
      <w:r>
        <w:rPr>
          <w:rFonts w:ascii="Arial" w:eastAsia="DengXian" w:hAnsi="Arial" w:cs="Arial"/>
          <w:sz w:val="24"/>
          <w:szCs w:val="24"/>
        </w:rPr>
        <w:t>overall structures of the f</w:t>
      </w:r>
      <w:r w:rsidR="00172B26">
        <w:rPr>
          <w:rFonts w:ascii="Arial" w:eastAsia="DengXian" w:hAnsi="Arial" w:cs="Arial"/>
          <w:sz w:val="24"/>
          <w:szCs w:val="24"/>
        </w:rPr>
        <w:t>a</w:t>
      </w:r>
      <w:r>
        <w:rPr>
          <w:rFonts w:ascii="Arial" w:eastAsia="DengXian" w:hAnsi="Arial" w:cs="Arial"/>
          <w:sz w:val="24"/>
          <w:szCs w:val="24"/>
        </w:rPr>
        <w:t>ecal microbiota among the four groups depicted</w:t>
      </w:r>
      <w:r w:rsidRPr="005969A7">
        <w:rPr>
          <w:rFonts w:ascii="Arial" w:hAnsi="Arial" w:cs="Arial"/>
          <w:sz w:val="24"/>
          <w:szCs w:val="24"/>
        </w:rPr>
        <w:t xml:space="preserve"> according to Chao1 and ACE. HCs, healthy controls; MEG, m</w:t>
      </w:r>
      <w:r w:rsidRPr="005969A7">
        <w:rPr>
          <w:rFonts w:ascii="Arial" w:hAnsi="Arial" w:cs="Arial"/>
          <w:sz w:val="24"/>
          <w:szCs w:val="24"/>
        </w:rPr>
        <w:t>eningioma; BM, brain metastasis.</w:t>
      </w:r>
    </w:p>
    <w:p w14:paraId="02CCE4FC" w14:textId="50F9A468" w:rsidR="002879CB" w:rsidRPr="005969A7" w:rsidRDefault="002914AD" w:rsidP="00BC54CA">
      <w:pPr>
        <w:spacing w:line="480" w:lineRule="auto"/>
        <w:rPr>
          <w:rFonts w:ascii="Arial" w:hAnsi="Arial" w:cs="Arial"/>
          <w:sz w:val="24"/>
          <w:szCs w:val="24"/>
        </w:rPr>
      </w:pPr>
      <w:r w:rsidRPr="005969A7">
        <w:rPr>
          <w:rFonts w:ascii="Arial" w:hAnsi="Arial" w:cs="Arial"/>
          <w:b/>
          <w:bCs/>
          <w:sz w:val="24"/>
          <w:szCs w:val="24"/>
        </w:rPr>
        <w:t xml:space="preserve">Supplemental Figure 3. </w:t>
      </w:r>
      <w:r w:rsidRPr="005969A7">
        <w:rPr>
          <w:rFonts w:ascii="Arial" w:hAnsi="Arial" w:cs="Arial"/>
          <w:sz w:val="24"/>
          <w:szCs w:val="24"/>
        </w:rPr>
        <w:t xml:space="preserve">The differentially abundant species signatures in </w:t>
      </w:r>
      <w:r>
        <w:rPr>
          <w:rFonts w:ascii="Arial" w:eastAsia="DengXian" w:hAnsi="Arial" w:cs="Arial"/>
          <w:sz w:val="24"/>
          <w:szCs w:val="24"/>
        </w:rPr>
        <w:t xml:space="preserve">the </w:t>
      </w:r>
      <w:r w:rsidRPr="005969A7">
        <w:rPr>
          <w:rFonts w:ascii="Arial" w:hAnsi="Arial" w:cs="Arial"/>
          <w:sz w:val="24"/>
          <w:szCs w:val="24"/>
        </w:rPr>
        <w:t xml:space="preserve">MEG, glioma, BM and </w:t>
      </w:r>
      <w:r>
        <w:rPr>
          <w:rFonts w:ascii="Arial" w:eastAsia="DengXian" w:hAnsi="Arial" w:cs="Arial"/>
          <w:sz w:val="24"/>
          <w:szCs w:val="24"/>
        </w:rPr>
        <w:t>HC groups</w:t>
      </w:r>
      <w:r w:rsidRPr="005969A7">
        <w:rPr>
          <w:rFonts w:ascii="Arial" w:hAnsi="Arial" w:cs="Arial"/>
          <w:sz w:val="24"/>
          <w:szCs w:val="24"/>
        </w:rPr>
        <w:t xml:space="preserve"> were assessed by LDA coupled with effect size analysis (LEfSe) algorithms between</w:t>
      </w:r>
      <w:r>
        <w:rPr>
          <w:rFonts w:ascii="Arial" w:eastAsia="DengXian" w:hAnsi="Arial" w:cs="Arial"/>
          <w:sz w:val="24"/>
          <w:szCs w:val="24"/>
        </w:rPr>
        <w:t xml:space="preserve"> the</w:t>
      </w:r>
      <w:r w:rsidRPr="005969A7">
        <w:rPr>
          <w:rFonts w:ascii="Arial" w:hAnsi="Arial" w:cs="Arial"/>
          <w:sz w:val="24"/>
          <w:szCs w:val="24"/>
        </w:rPr>
        <w:t xml:space="preserve"> (A) MEG and </w:t>
      </w:r>
      <w:r>
        <w:rPr>
          <w:rFonts w:ascii="Arial" w:eastAsia="DengXian" w:hAnsi="Arial" w:cs="Arial"/>
          <w:sz w:val="24"/>
          <w:szCs w:val="24"/>
        </w:rPr>
        <w:t>HC groups</w:t>
      </w:r>
      <w:r w:rsidRPr="005969A7">
        <w:rPr>
          <w:rFonts w:ascii="Arial" w:hAnsi="Arial" w:cs="Arial"/>
          <w:sz w:val="24"/>
          <w:szCs w:val="24"/>
        </w:rPr>
        <w:t>, (B) gli</w:t>
      </w:r>
      <w:r w:rsidRPr="005969A7">
        <w:rPr>
          <w:rFonts w:ascii="Arial" w:hAnsi="Arial" w:cs="Arial"/>
          <w:sz w:val="24"/>
          <w:szCs w:val="24"/>
        </w:rPr>
        <w:t xml:space="preserve">oma and </w:t>
      </w:r>
      <w:r>
        <w:rPr>
          <w:rFonts w:ascii="Arial" w:eastAsia="DengXian" w:hAnsi="Arial" w:cs="Arial"/>
          <w:sz w:val="24"/>
          <w:szCs w:val="24"/>
        </w:rPr>
        <w:t xml:space="preserve">HC groups, and </w:t>
      </w:r>
      <w:r w:rsidRPr="005969A7">
        <w:rPr>
          <w:rFonts w:ascii="Arial" w:hAnsi="Arial" w:cs="Arial"/>
          <w:sz w:val="24"/>
          <w:szCs w:val="24"/>
        </w:rPr>
        <w:t xml:space="preserve">(C) BM and </w:t>
      </w:r>
      <w:r>
        <w:rPr>
          <w:rFonts w:ascii="Arial" w:eastAsia="DengXian" w:hAnsi="Arial" w:cs="Arial"/>
          <w:sz w:val="24"/>
          <w:szCs w:val="24"/>
        </w:rPr>
        <w:t>HC groups</w:t>
      </w:r>
      <w:r w:rsidRPr="005969A7">
        <w:rPr>
          <w:rFonts w:ascii="Arial" w:hAnsi="Arial" w:cs="Arial"/>
          <w:sz w:val="24"/>
          <w:szCs w:val="24"/>
        </w:rPr>
        <w:t>. A total of 30 species between</w:t>
      </w:r>
      <w:r>
        <w:rPr>
          <w:rFonts w:ascii="Arial" w:eastAsia="DengXian" w:hAnsi="Arial" w:cs="Arial"/>
          <w:sz w:val="24"/>
          <w:szCs w:val="24"/>
        </w:rPr>
        <w:t xml:space="preserve"> the</w:t>
      </w:r>
      <w:r w:rsidRPr="005969A7">
        <w:rPr>
          <w:rFonts w:ascii="Arial" w:hAnsi="Arial" w:cs="Arial"/>
          <w:sz w:val="24"/>
          <w:szCs w:val="24"/>
        </w:rPr>
        <w:t xml:space="preserve"> MEG and</w:t>
      </w:r>
      <w:r>
        <w:rPr>
          <w:rFonts w:ascii="Arial" w:eastAsia="DengXian" w:hAnsi="Arial" w:cs="Arial"/>
          <w:sz w:val="24"/>
          <w:szCs w:val="24"/>
        </w:rPr>
        <w:t xml:space="preserve"> HC groups</w:t>
      </w:r>
      <w:r w:rsidRPr="005969A7">
        <w:rPr>
          <w:rFonts w:ascii="Arial" w:hAnsi="Arial" w:cs="Arial"/>
          <w:sz w:val="24"/>
          <w:szCs w:val="24"/>
        </w:rPr>
        <w:t xml:space="preserve">, 36 species between </w:t>
      </w:r>
      <w:r>
        <w:rPr>
          <w:rFonts w:ascii="Arial" w:eastAsia="DengXian" w:hAnsi="Arial" w:cs="Arial"/>
          <w:sz w:val="24"/>
          <w:szCs w:val="24"/>
        </w:rPr>
        <w:t xml:space="preserve">the </w:t>
      </w:r>
      <w:r w:rsidRPr="005969A7">
        <w:rPr>
          <w:rFonts w:ascii="Arial" w:hAnsi="Arial" w:cs="Arial"/>
          <w:sz w:val="24"/>
          <w:szCs w:val="24"/>
        </w:rPr>
        <w:t xml:space="preserve">glioma and </w:t>
      </w:r>
      <w:r>
        <w:rPr>
          <w:rFonts w:ascii="Arial" w:eastAsia="DengXian" w:hAnsi="Arial" w:cs="Arial"/>
          <w:sz w:val="24"/>
          <w:szCs w:val="24"/>
        </w:rPr>
        <w:t>HC groups</w:t>
      </w:r>
      <w:r w:rsidRPr="005969A7">
        <w:rPr>
          <w:rFonts w:ascii="Arial" w:hAnsi="Arial" w:cs="Arial"/>
          <w:sz w:val="24"/>
          <w:szCs w:val="24"/>
        </w:rPr>
        <w:t xml:space="preserve"> and 28 species between</w:t>
      </w:r>
      <w:r>
        <w:rPr>
          <w:rFonts w:ascii="Arial" w:eastAsia="DengXian" w:hAnsi="Arial" w:cs="Arial"/>
          <w:sz w:val="24"/>
          <w:szCs w:val="24"/>
        </w:rPr>
        <w:t xml:space="preserve"> the</w:t>
      </w:r>
      <w:r w:rsidRPr="005969A7">
        <w:rPr>
          <w:rFonts w:ascii="Arial" w:hAnsi="Arial" w:cs="Arial"/>
          <w:sz w:val="24"/>
          <w:szCs w:val="24"/>
        </w:rPr>
        <w:t xml:space="preserve"> BM and </w:t>
      </w:r>
      <w:r>
        <w:rPr>
          <w:rFonts w:ascii="Arial" w:eastAsia="DengXian" w:hAnsi="Arial" w:cs="Arial"/>
          <w:sz w:val="24"/>
          <w:szCs w:val="24"/>
        </w:rPr>
        <w:t>HC groups</w:t>
      </w:r>
      <w:r w:rsidRPr="005969A7">
        <w:rPr>
          <w:rFonts w:ascii="Arial" w:hAnsi="Arial" w:cs="Arial"/>
          <w:sz w:val="24"/>
          <w:szCs w:val="24"/>
        </w:rPr>
        <w:t xml:space="preserve"> were identified as differentially abundant bacterial species with LDA </w:t>
      </w:r>
      <w:r>
        <w:rPr>
          <w:rFonts w:ascii="Arial" w:eastAsia="DengXian" w:hAnsi="Arial" w:cs="Arial"/>
          <w:sz w:val="24"/>
          <w:szCs w:val="24"/>
        </w:rPr>
        <w:t>scores</w:t>
      </w:r>
      <w:r w:rsidRPr="005969A7">
        <w:rPr>
          <w:rFonts w:ascii="Arial" w:hAnsi="Arial" w:cs="Arial"/>
          <w:sz w:val="24"/>
          <w:szCs w:val="24"/>
        </w:rPr>
        <w:t xml:space="preserve"> &gt;2.0 and </w:t>
      </w:r>
      <w:r w:rsidRPr="005969A7">
        <w:rPr>
          <w:rFonts w:ascii="Arial" w:hAnsi="Arial" w:cs="Arial"/>
          <w:i/>
          <w:iCs/>
          <w:sz w:val="24"/>
          <w:szCs w:val="24"/>
        </w:rPr>
        <w:t>p</w:t>
      </w:r>
      <w:r w:rsidRPr="005969A7">
        <w:rPr>
          <w:rFonts w:ascii="Arial" w:hAnsi="Arial" w:cs="Arial"/>
          <w:sz w:val="24"/>
          <w:szCs w:val="24"/>
        </w:rPr>
        <w:t>&lt;0.05. HCs, healthy controls; MEG, meningioma; BM, brain metastasis.</w:t>
      </w:r>
    </w:p>
    <w:p w14:paraId="09795A9D" w14:textId="5A49F85E" w:rsidR="002879CB" w:rsidRPr="005969A7" w:rsidRDefault="002914AD" w:rsidP="00BC54CA">
      <w:pPr>
        <w:spacing w:line="480" w:lineRule="auto"/>
        <w:rPr>
          <w:rFonts w:ascii="Arial" w:hAnsi="Arial" w:cs="Arial"/>
          <w:b/>
          <w:bCs/>
          <w:sz w:val="24"/>
          <w:szCs w:val="24"/>
        </w:rPr>
      </w:pPr>
      <w:r w:rsidRPr="005969A7">
        <w:rPr>
          <w:rFonts w:ascii="Arial" w:hAnsi="Arial" w:cs="Arial"/>
          <w:b/>
          <w:bCs/>
          <w:sz w:val="24"/>
          <w:szCs w:val="24"/>
        </w:rPr>
        <w:t>Supplemental Figure 4.</w:t>
      </w:r>
      <w:r w:rsidRPr="005969A7">
        <w:rPr>
          <w:rFonts w:ascii="Arial" w:hAnsi="Arial" w:cs="Arial"/>
          <w:sz w:val="24"/>
          <w:szCs w:val="24"/>
        </w:rPr>
        <w:t xml:space="preserve"> Supplemental Figure 4: Significantly altered bacteria </w:t>
      </w:r>
      <w:r w:rsidRPr="005969A7">
        <w:rPr>
          <w:rFonts w:ascii="Arial" w:hAnsi="Arial" w:cs="Arial"/>
          <w:sz w:val="24"/>
          <w:szCs w:val="24"/>
        </w:rPr>
        <w:lastRenderedPageBreak/>
        <w:t xml:space="preserve">between the three disease groups. </w:t>
      </w:r>
      <w:r>
        <w:rPr>
          <w:rFonts w:ascii="Arial" w:eastAsia="DengXian" w:hAnsi="Arial" w:cs="Arial"/>
          <w:sz w:val="24"/>
          <w:szCs w:val="24"/>
        </w:rPr>
        <w:t>The box</w:t>
      </w:r>
      <w:r w:rsidRPr="005969A7">
        <w:rPr>
          <w:rFonts w:ascii="Arial" w:hAnsi="Arial" w:cs="Arial"/>
          <w:sz w:val="24"/>
          <w:szCs w:val="24"/>
        </w:rPr>
        <w:t xml:space="preserve"> plot </w:t>
      </w:r>
      <w:r>
        <w:rPr>
          <w:rFonts w:ascii="Arial" w:eastAsia="DengXian" w:hAnsi="Arial" w:cs="Arial"/>
          <w:sz w:val="24"/>
          <w:szCs w:val="24"/>
        </w:rPr>
        <w:t>shows</w:t>
      </w:r>
      <w:r w:rsidRPr="005969A7">
        <w:rPr>
          <w:rFonts w:ascii="Arial" w:hAnsi="Arial" w:cs="Arial"/>
          <w:sz w:val="24"/>
          <w:szCs w:val="24"/>
        </w:rPr>
        <w:t xml:space="preserve"> the relative abundance of representative</w:t>
      </w:r>
      <w:r w:rsidRPr="005969A7">
        <w:rPr>
          <w:rFonts w:ascii="Arial" w:hAnsi="Arial" w:cs="Arial"/>
          <w:sz w:val="24"/>
          <w:szCs w:val="24"/>
        </w:rPr>
        <w:t xml:space="preserve"> bacteria that were changed significantly in MEG, glioma and BM. Bacterial abundances are </w:t>
      </w:r>
      <w:r>
        <w:rPr>
          <w:rFonts w:ascii="Arial" w:eastAsia="DengXian" w:hAnsi="Arial" w:cs="Arial"/>
          <w:sz w:val="24"/>
          <w:szCs w:val="24"/>
        </w:rPr>
        <w:t>visualized</w:t>
      </w:r>
      <w:r w:rsidRPr="005969A7">
        <w:rPr>
          <w:rFonts w:ascii="Arial" w:hAnsi="Arial" w:cs="Arial"/>
          <w:sz w:val="24"/>
          <w:szCs w:val="24"/>
        </w:rPr>
        <w:t xml:space="preserve"> after log2 transformation. MEG, meningioma; BM, brain metastasis.</w:t>
      </w:r>
    </w:p>
    <w:p w14:paraId="0F95DBF5" w14:textId="3A19F022" w:rsidR="002879CB" w:rsidRPr="005969A7" w:rsidRDefault="002914AD" w:rsidP="00BC54CA">
      <w:pPr>
        <w:spacing w:line="480" w:lineRule="auto"/>
        <w:rPr>
          <w:rFonts w:ascii="Arial" w:hAnsi="Arial" w:cs="Arial"/>
          <w:b/>
          <w:sz w:val="24"/>
          <w:szCs w:val="24"/>
        </w:rPr>
      </w:pPr>
      <w:r w:rsidRPr="005969A7">
        <w:rPr>
          <w:rFonts w:ascii="Arial" w:hAnsi="Arial" w:cs="Arial"/>
          <w:b/>
          <w:bCs/>
          <w:sz w:val="24"/>
          <w:szCs w:val="24"/>
        </w:rPr>
        <w:t xml:space="preserve">Supplemental Figure 5. </w:t>
      </w:r>
      <w:r w:rsidRPr="005969A7">
        <w:rPr>
          <w:rFonts w:ascii="Arial" w:hAnsi="Arial" w:cs="Arial"/>
          <w:sz w:val="24"/>
          <w:szCs w:val="24"/>
        </w:rPr>
        <w:t>Comparison of the representative taxonomic abundance between MEG, glioma and BM vs. HCs. (A) Based on the Gram staining properties of the bacteria, the relative abundance of gram-negative bacteria increased significantly, while the gram-positive microbes d</w:t>
      </w:r>
      <w:r w:rsidRPr="005969A7">
        <w:rPr>
          <w:rFonts w:ascii="Arial" w:hAnsi="Arial" w:cs="Arial"/>
          <w:sz w:val="24"/>
          <w:szCs w:val="24"/>
        </w:rPr>
        <w:t xml:space="preserve">ecreased significantly in the MEG, glioma and BM (MEG vs. HCs: </w:t>
      </w:r>
      <w:r w:rsidRPr="005969A7">
        <w:rPr>
          <w:rFonts w:ascii="Arial" w:hAnsi="Arial" w:cs="Arial"/>
          <w:i/>
          <w:iCs/>
          <w:sz w:val="24"/>
          <w:szCs w:val="24"/>
        </w:rPr>
        <w:t>p</w:t>
      </w:r>
      <w:r w:rsidRPr="005969A7">
        <w:rPr>
          <w:rFonts w:ascii="Arial" w:hAnsi="Arial" w:cs="Arial"/>
          <w:sz w:val="24"/>
          <w:szCs w:val="24"/>
        </w:rPr>
        <w:t xml:space="preserve">=0.016; glioma vs. HCs: </w:t>
      </w:r>
      <w:r w:rsidRPr="005969A7">
        <w:rPr>
          <w:rFonts w:ascii="Arial" w:hAnsi="Arial" w:cs="Arial"/>
          <w:i/>
          <w:iCs/>
          <w:sz w:val="24"/>
          <w:szCs w:val="24"/>
        </w:rPr>
        <w:t>p</w:t>
      </w:r>
      <w:r w:rsidRPr="005969A7">
        <w:rPr>
          <w:rFonts w:ascii="Arial" w:hAnsi="Arial" w:cs="Arial"/>
          <w:sz w:val="24"/>
          <w:szCs w:val="24"/>
        </w:rPr>
        <w:t xml:space="preserve">=0.044; BM vs. HCs: </w:t>
      </w:r>
      <w:r w:rsidRPr="005969A7">
        <w:rPr>
          <w:rFonts w:ascii="Arial" w:hAnsi="Arial" w:cs="Arial"/>
          <w:i/>
          <w:iCs/>
          <w:sz w:val="24"/>
          <w:szCs w:val="24"/>
        </w:rPr>
        <w:t>p</w:t>
      </w:r>
      <w:r w:rsidRPr="005969A7">
        <w:rPr>
          <w:rFonts w:ascii="Arial" w:hAnsi="Arial" w:cs="Arial"/>
          <w:sz w:val="24"/>
          <w:szCs w:val="24"/>
        </w:rPr>
        <w:t xml:space="preserve">=0.020). (B) The relative abundance of </w:t>
      </w:r>
      <w:r w:rsidRPr="0074043D">
        <w:rPr>
          <w:rFonts w:ascii="Arial" w:hAnsi="Arial" w:cs="Arial"/>
          <w:i/>
          <w:iCs/>
          <w:sz w:val="24"/>
          <w:szCs w:val="24"/>
        </w:rPr>
        <w:t>Lachnospiraceae</w:t>
      </w:r>
      <w:r w:rsidRPr="005969A7">
        <w:rPr>
          <w:rFonts w:ascii="Arial" w:hAnsi="Arial" w:cs="Arial"/>
          <w:sz w:val="24"/>
          <w:szCs w:val="24"/>
        </w:rPr>
        <w:t xml:space="preserve"> was significantly reduced (MEG vs. HCs: </w:t>
      </w:r>
      <w:r w:rsidRPr="005969A7">
        <w:rPr>
          <w:rFonts w:ascii="Arial" w:hAnsi="Arial" w:cs="Arial"/>
          <w:i/>
          <w:iCs/>
          <w:sz w:val="24"/>
          <w:szCs w:val="24"/>
        </w:rPr>
        <w:t>p</w:t>
      </w:r>
      <w:r w:rsidRPr="005969A7">
        <w:rPr>
          <w:rFonts w:ascii="Arial" w:hAnsi="Arial" w:cs="Arial"/>
          <w:sz w:val="24"/>
          <w:szCs w:val="24"/>
        </w:rPr>
        <w:t xml:space="preserve">&lt;0.001; </w:t>
      </w:r>
      <w:r>
        <w:rPr>
          <w:rFonts w:ascii="Arial" w:eastAsia="DengXian" w:hAnsi="Arial" w:cs="Arial"/>
          <w:sz w:val="24"/>
          <w:szCs w:val="24"/>
        </w:rPr>
        <w:t>glioma</w:t>
      </w:r>
      <w:r w:rsidRPr="005969A7">
        <w:rPr>
          <w:rFonts w:ascii="Arial" w:hAnsi="Arial" w:cs="Arial"/>
          <w:sz w:val="24"/>
          <w:szCs w:val="24"/>
        </w:rPr>
        <w:t xml:space="preserve"> vs. HCs: </w:t>
      </w:r>
      <w:r w:rsidRPr="005969A7">
        <w:rPr>
          <w:rFonts w:ascii="Arial" w:hAnsi="Arial" w:cs="Arial"/>
          <w:i/>
          <w:iCs/>
          <w:sz w:val="24"/>
          <w:szCs w:val="24"/>
        </w:rPr>
        <w:t>p</w:t>
      </w:r>
      <w:r w:rsidRPr="005969A7">
        <w:rPr>
          <w:rFonts w:ascii="Arial" w:hAnsi="Arial" w:cs="Arial"/>
          <w:sz w:val="24"/>
          <w:szCs w:val="24"/>
        </w:rPr>
        <w:t xml:space="preserve">&lt;0.003; BM vs. HCs: </w:t>
      </w:r>
      <w:r w:rsidRPr="005969A7">
        <w:rPr>
          <w:rFonts w:ascii="Arial" w:hAnsi="Arial" w:cs="Arial"/>
          <w:i/>
          <w:iCs/>
          <w:sz w:val="24"/>
          <w:szCs w:val="24"/>
        </w:rPr>
        <w:t>p</w:t>
      </w:r>
      <w:r w:rsidRPr="005969A7">
        <w:rPr>
          <w:rFonts w:ascii="Arial" w:hAnsi="Arial" w:cs="Arial"/>
          <w:sz w:val="24"/>
          <w:szCs w:val="24"/>
        </w:rPr>
        <w:t>&lt;0.0</w:t>
      </w:r>
      <w:r w:rsidRPr="005969A7">
        <w:rPr>
          <w:rFonts w:ascii="Arial" w:hAnsi="Arial" w:cs="Arial"/>
          <w:sz w:val="24"/>
          <w:szCs w:val="24"/>
        </w:rPr>
        <w:t xml:space="preserve">13), while the relative abundance of </w:t>
      </w:r>
      <w:r w:rsidRPr="00280A7F">
        <w:rPr>
          <w:rFonts w:ascii="Arial" w:hAnsi="Arial" w:cs="Arial"/>
          <w:i/>
          <w:iCs/>
          <w:sz w:val="24"/>
          <w:szCs w:val="24"/>
        </w:rPr>
        <w:t>Enterobacteriaceae</w:t>
      </w:r>
      <w:r w:rsidRPr="005969A7">
        <w:rPr>
          <w:rFonts w:ascii="Arial" w:hAnsi="Arial" w:cs="Arial"/>
          <w:sz w:val="24"/>
          <w:szCs w:val="24"/>
        </w:rPr>
        <w:t xml:space="preserve"> was substantially enriched. (C) Of the 6 genera belonging to </w:t>
      </w:r>
      <w:r w:rsidRPr="0074043D">
        <w:rPr>
          <w:rFonts w:ascii="Arial" w:hAnsi="Arial" w:cs="Arial"/>
          <w:i/>
          <w:iCs/>
          <w:sz w:val="24"/>
          <w:szCs w:val="24"/>
        </w:rPr>
        <w:t>Lachnospiraceae</w:t>
      </w:r>
      <w:r w:rsidRPr="005969A7">
        <w:rPr>
          <w:rFonts w:ascii="Arial" w:hAnsi="Arial" w:cs="Arial"/>
          <w:sz w:val="24"/>
          <w:szCs w:val="24"/>
        </w:rPr>
        <w:t xml:space="preserve">, two genera were depleted, </w:t>
      </w:r>
      <w:r w:rsidRPr="005969A7">
        <w:rPr>
          <w:rFonts w:ascii="Arial" w:hAnsi="Arial" w:cs="Arial"/>
          <w:i/>
          <w:iCs/>
          <w:sz w:val="24"/>
          <w:szCs w:val="24"/>
        </w:rPr>
        <w:t>Dorea</w:t>
      </w:r>
      <w:r w:rsidRPr="005969A7">
        <w:rPr>
          <w:rFonts w:ascii="Arial" w:hAnsi="Arial" w:cs="Arial"/>
          <w:sz w:val="24"/>
          <w:szCs w:val="24"/>
        </w:rPr>
        <w:t xml:space="preserve"> was significantly depleted in all disease groups (MEG vs. HCs: </w:t>
      </w:r>
      <w:r w:rsidRPr="005969A7">
        <w:rPr>
          <w:rFonts w:ascii="Arial" w:hAnsi="Arial" w:cs="Arial"/>
          <w:i/>
          <w:iCs/>
          <w:sz w:val="24"/>
          <w:szCs w:val="24"/>
        </w:rPr>
        <w:t>p</w:t>
      </w:r>
      <w:r w:rsidRPr="005969A7">
        <w:rPr>
          <w:rFonts w:ascii="Arial" w:hAnsi="Arial" w:cs="Arial"/>
          <w:sz w:val="24"/>
          <w:szCs w:val="24"/>
        </w:rPr>
        <w:t xml:space="preserve">=0.001; glioma vs. HCs: </w:t>
      </w:r>
      <w:r w:rsidRPr="005969A7">
        <w:rPr>
          <w:rFonts w:ascii="Arial" w:hAnsi="Arial" w:cs="Arial"/>
          <w:i/>
          <w:iCs/>
          <w:sz w:val="24"/>
          <w:szCs w:val="24"/>
        </w:rPr>
        <w:t>p</w:t>
      </w:r>
      <w:r w:rsidRPr="005969A7">
        <w:rPr>
          <w:rFonts w:ascii="Arial" w:hAnsi="Arial" w:cs="Arial"/>
          <w:sz w:val="24"/>
          <w:szCs w:val="24"/>
        </w:rPr>
        <w:t>=</w:t>
      </w:r>
      <w:r w:rsidRPr="005969A7">
        <w:rPr>
          <w:rFonts w:ascii="Arial" w:hAnsi="Arial" w:cs="Arial"/>
          <w:sz w:val="24"/>
          <w:szCs w:val="24"/>
        </w:rPr>
        <w:t xml:space="preserve">0.037; BM vs. HCs: </w:t>
      </w:r>
      <w:r w:rsidRPr="005969A7">
        <w:rPr>
          <w:rFonts w:ascii="Arial" w:hAnsi="Arial" w:cs="Arial"/>
          <w:i/>
          <w:iCs/>
          <w:sz w:val="24"/>
          <w:szCs w:val="24"/>
        </w:rPr>
        <w:t>p</w:t>
      </w:r>
      <w:r w:rsidRPr="005969A7">
        <w:rPr>
          <w:rFonts w:ascii="Arial" w:hAnsi="Arial" w:cs="Arial"/>
          <w:sz w:val="24"/>
          <w:szCs w:val="24"/>
        </w:rPr>
        <w:t xml:space="preserve">=0.025), and </w:t>
      </w:r>
      <w:r w:rsidRPr="005969A7">
        <w:rPr>
          <w:rFonts w:ascii="Arial" w:hAnsi="Arial" w:cs="Arial"/>
          <w:i/>
          <w:iCs/>
          <w:sz w:val="24"/>
          <w:szCs w:val="24"/>
        </w:rPr>
        <w:t>Roseburia</w:t>
      </w:r>
      <w:r w:rsidRPr="005969A7">
        <w:rPr>
          <w:rFonts w:ascii="Arial" w:hAnsi="Arial" w:cs="Arial"/>
          <w:sz w:val="24"/>
          <w:szCs w:val="24"/>
        </w:rPr>
        <w:t xml:space="preserve"> was reduced significantly in the MEG (</w:t>
      </w:r>
      <w:r w:rsidRPr="005969A7">
        <w:rPr>
          <w:rFonts w:ascii="Arial" w:hAnsi="Arial" w:cs="Arial"/>
          <w:i/>
          <w:iCs/>
          <w:sz w:val="24"/>
          <w:szCs w:val="24"/>
        </w:rPr>
        <w:t>p</w:t>
      </w:r>
      <w:r w:rsidRPr="005969A7">
        <w:rPr>
          <w:rFonts w:ascii="Arial" w:hAnsi="Arial" w:cs="Arial"/>
          <w:sz w:val="24"/>
          <w:szCs w:val="24"/>
        </w:rPr>
        <w:t>=0.003) and glioma groups (</w:t>
      </w:r>
      <w:r w:rsidRPr="005969A7">
        <w:rPr>
          <w:rFonts w:ascii="Arial" w:hAnsi="Arial" w:cs="Arial"/>
          <w:i/>
          <w:iCs/>
          <w:sz w:val="24"/>
          <w:szCs w:val="24"/>
        </w:rPr>
        <w:t>p</w:t>
      </w:r>
      <w:r w:rsidRPr="005969A7">
        <w:rPr>
          <w:rFonts w:ascii="Arial" w:hAnsi="Arial" w:cs="Arial"/>
          <w:sz w:val="24"/>
          <w:szCs w:val="24"/>
        </w:rPr>
        <w:t xml:space="preserve">=0.001). (D) The three genera of </w:t>
      </w:r>
      <w:r w:rsidRPr="00280A7F">
        <w:rPr>
          <w:rFonts w:ascii="Arial" w:hAnsi="Arial" w:cs="Arial"/>
          <w:i/>
          <w:iCs/>
          <w:sz w:val="24"/>
          <w:szCs w:val="24"/>
        </w:rPr>
        <w:t>Enterobacteriaceae</w:t>
      </w:r>
      <w:r w:rsidRPr="005969A7">
        <w:rPr>
          <w:rFonts w:ascii="Arial" w:hAnsi="Arial" w:cs="Arial"/>
          <w:sz w:val="24"/>
          <w:szCs w:val="24"/>
        </w:rPr>
        <w:t xml:space="preserve">, including </w:t>
      </w:r>
      <w:r w:rsidRPr="005969A7">
        <w:rPr>
          <w:rFonts w:ascii="Arial" w:hAnsi="Arial" w:cs="Arial"/>
          <w:i/>
          <w:iCs/>
          <w:sz w:val="24"/>
          <w:szCs w:val="24"/>
        </w:rPr>
        <w:t>Escherichia</w:t>
      </w:r>
      <w:r w:rsidRPr="005969A7">
        <w:rPr>
          <w:rFonts w:ascii="Arial" w:hAnsi="Arial" w:cs="Arial"/>
          <w:sz w:val="24"/>
          <w:szCs w:val="24"/>
        </w:rPr>
        <w:t xml:space="preserve">, </w:t>
      </w:r>
      <w:r w:rsidRPr="005969A7">
        <w:rPr>
          <w:rFonts w:ascii="Arial" w:hAnsi="Arial" w:cs="Arial"/>
          <w:i/>
          <w:iCs/>
          <w:sz w:val="24"/>
          <w:szCs w:val="24"/>
        </w:rPr>
        <w:t>Klebsiella</w:t>
      </w:r>
      <w:r w:rsidRPr="005969A7">
        <w:rPr>
          <w:rFonts w:ascii="Arial" w:hAnsi="Arial" w:cs="Arial"/>
          <w:sz w:val="24"/>
          <w:szCs w:val="24"/>
        </w:rPr>
        <w:t xml:space="preserve"> and </w:t>
      </w:r>
      <w:r w:rsidRPr="005969A7">
        <w:rPr>
          <w:rFonts w:ascii="Arial" w:hAnsi="Arial" w:cs="Arial"/>
          <w:i/>
          <w:iCs/>
          <w:sz w:val="24"/>
          <w:szCs w:val="24"/>
        </w:rPr>
        <w:t>Enterobacter</w:t>
      </w:r>
      <w:r w:rsidRPr="005969A7">
        <w:rPr>
          <w:rFonts w:ascii="Arial" w:hAnsi="Arial" w:cs="Arial"/>
          <w:sz w:val="24"/>
          <w:szCs w:val="24"/>
        </w:rPr>
        <w:t>, were more abundant in the three disease g</w:t>
      </w:r>
      <w:r w:rsidRPr="005969A7">
        <w:rPr>
          <w:rFonts w:ascii="Arial" w:hAnsi="Arial" w:cs="Arial"/>
          <w:sz w:val="24"/>
          <w:szCs w:val="24"/>
        </w:rPr>
        <w:t xml:space="preserve">roups. The relative abundance of the genera is plotted on a logarithmic scale, and values of zero are assigned 1e-06. (Blue, HCs; </w:t>
      </w:r>
      <w:r>
        <w:rPr>
          <w:rFonts w:ascii="Arial" w:eastAsia="DengXian" w:hAnsi="Arial" w:cs="Arial"/>
          <w:sz w:val="24"/>
          <w:szCs w:val="24"/>
        </w:rPr>
        <w:t>orange</w:t>
      </w:r>
      <w:r w:rsidRPr="005969A7">
        <w:rPr>
          <w:rFonts w:ascii="Arial" w:hAnsi="Arial" w:cs="Arial"/>
          <w:sz w:val="24"/>
          <w:szCs w:val="24"/>
        </w:rPr>
        <w:t xml:space="preserve">, MEG; </w:t>
      </w:r>
      <w:r>
        <w:rPr>
          <w:rFonts w:ascii="Arial" w:eastAsia="DengXian" w:hAnsi="Arial" w:cs="Arial"/>
          <w:sz w:val="24"/>
          <w:szCs w:val="24"/>
        </w:rPr>
        <w:t>green</w:t>
      </w:r>
      <w:r w:rsidRPr="005969A7">
        <w:rPr>
          <w:rFonts w:ascii="Arial" w:hAnsi="Arial" w:cs="Arial"/>
          <w:sz w:val="24"/>
          <w:szCs w:val="24"/>
        </w:rPr>
        <w:t xml:space="preserve">, glioma; </w:t>
      </w:r>
      <w:r>
        <w:rPr>
          <w:rFonts w:ascii="Arial" w:eastAsia="DengXian" w:hAnsi="Arial" w:cs="Arial"/>
          <w:sz w:val="24"/>
          <w:szCs w:val="24"/>
        </w:rPr>
        <w:t>red</w:t>
      </w:r>
      <w:r w:rsidRPr="005969A7">
        <w:rPr>
          <w:rFonts w:ascii="Arial" w:hAnsi="Arial" w:cs="Arial"/>
          <w:sz w:val="24"/>
          <w:szCs w:val="24"/>
        </w:rPr>
        <w:t>, BM). *</w:t>
      </w:r>
      <w:r w:rsidRPr="005969A7">
        <w:rPr>
          <w:rFonts w:ascii="Arial" w:hAnsi="Arial" w:cs="Arial"/>
          <w:i/>
          <w:iCs/>
          <w:sz w:val="24"/>
          <w:szCs w:val="24"/>
        </w:rPr>
        <w:t>p</w:t>
      </w:r>
      <w:r w:rsidRPr="005969A7">
        <w:rPr>
          <w:rFonts w:ascii="Arial" w:hAnsi="Arial" w:cs="Arial"/>
          <w:sz w:val="24"/>
          <w:szCs w:val="24"/>
        </w:rPr>
        <w:t>&lt;0.05, **</w:t>
      </w:r>
      <w:r w:rsidRPr="005969A7">
        <w:rPr>
          <w:rFonts w:ascii="Arial" w:hAnsi="Arial" w:cs="Arial"/>
          <w:i/>
          <w:iCs/>
          <w:sz w:val="24"/>
          <w:szCs w:val="24"/>
        </w:rPr>
        <w:t>p</w:t>
      </w:r>
      <w:r w:rsidRPr="005969A7">
        <w:rPr>
          <w:rFonts w:ascii="Arial" w:hAnsi="Arial" w:cs="Arial"/>
          <w:sz w:val="24"/>
          <w:szCs w:val="24"/>
        </w:rPr>
        <w:t>&lt;0.01 and ***</w:t>
      </w:r>
      <w:r w:rsidRPr="005969A7">
        <w:rPr>
          <w:rFonts w:ascii="Arial" w:hAnsi="Arial" w:cs="Arial"/>
          <w:i/>
          <w:iCs/>
          <w:sz w:val="24"/>
          <w:szCs w:val="24"/>
        </w:rPr>
        <w:t>p</w:t>
      </w:r>
      <w:r w:rsidRPr="005969A7">
        <w:rPr>
          <w:rFonts w:ascii="Arial" w:hAnsi="Arial" w:cs="Arial"/>
          <w:sz w:val="24"/>
          <w:szCs w:val="24"/>
        </w:rPr>
        <w:t>&lt;0.001 compared to HCs. HCs, healthy controls; MEG, meningioma</w:t>
      </w:r>
      <w:r w:rsidRPr="005969A7">
        <w:rPr>
          <w:rFonts w:ascii="Arial" w:hAnsi="Arial" w:cs="Arial"/>
          <w:sz w:val="24"/>
          <w:szCs w:val="24"/>
        </w:rPr>
        <w:t xml:space="preserve">; BM, </w:t>
      </w:r>
      <w:r w:rsidRPr="005969A7">
        <w:rPr>
          <w:rFonts w:ascii="Arial" w:hAnsi="Arial" w:cs="Arial"/>
          <w:sz w:val="24"/>
          <w:szCs w:val="24"/>
        </w:rPr>
        <w:lastRenderedPageBreak/>
        <w:t>brain metastasis; G+, gram-positive bacteria; G-, gram-negative bacteria.</w:t>
      </w:r>
    </w:p>
    <w:p w14:paraId="032402D7" w14:textId="441D4464" w:rsidR="002879CB" w:rsidRPr="005969A7" w:rsidRDefault="002914AD" w:rsidP="00BC54CA">
      <w:pPr>
        <w:spacing w:line="480" w:lineRule="auto"/>
        <w:rPr>
          <w:rFonts w:ascii="Arial" w:hAnsi="Arial" w:cs="Arial"/>
          <w:b/>
          <w:sz w:val="24"/>
          <w:szCs w:val="24"/>
        </w:rPr>
      </w:pPr>
      <w:r w:rsidRPr="005969A7">
        <w:rPr>
          <w:rFonts w:ascii="Arial" w:hAnsi="Arial" w:cs="Arial"/>
          <w:b/>
          <w:bCs/>
          <w:sz w:val="24"/>
          <w:szCs w:val="24"/>
        </w:rPr>
        <w:t>Supplemental Figure 6.</w:t>
      </w:r>
      <w:r w:rsidRPr="005969A7">
        <w:rPr>
          <w:rFonts w:ascii="Arial" w:hAnsi="Arial" w:cs="Arial"/>
          <w:sz w:val="24"/>
          <w:szCs w:val="24"/>
        </w:rPr>
        <w:t xml:space="preserve"> Quantitative real-time PCR analysis of </w:t>
      </w:r>
      <w:r>
        <w:rPr>
          <w:rFonts w:ascii="Arial" w:eastAsia="DengXian" w:hAnsi="Arial" w:cs="Arial"/>
          <w:sz w:val="24"/>
          <w:szCs w:val="24"/>
        </w:rPr>
        <w:t xml:space="preserve">the </w:t>
      </w:r>
      <w:r w:rsidRPr="005969A7">
        <w:rPr>
          <w:rFonts w:ascii="Arial" w:hAnsi="Arial" w:cs="Arial"/>
          <w:i/>
          <w:iCs/>
          <w:sz w:val="24"/>
          <w:szCs w:val="24"/>
        </w:rPr>
        <w:t>Roseburia</w:t>
      </w:r>
      <w:r w:rsidRPr="005969A7">
        <w:rPr>
          <w:rFonts w:ascii="Arial" w:hAnsi="Arial" w:cs="Arial"/>
          <w:sz w:val="24"/>
          <w:szCs w:val="24"/>
        </w:rPr>
        <w:t xml:space="preserve"> genus and </w:t>
      </w:r>
      <w:r w:rsidRPr="005969A7">
        <w:rPr>
          <w:rFonts w:ascii="Arial" w:hAnsi="Arial" w:cs="Arial"/>
          <w:i/>
          <w:iCs/>
          <w:sz w:val="24"/>
          <w:szCs w:val="24"/>
        </w:rPr>
        <w:t>Escherichia</w:t>
      </w:r>
      <w:r w:rsidRPr="005969A7">
        <w:rPr>
          <w:rFonts w:ascii="Arial" w:hAnsi="Arial" w:cs="Arial"/>
          <w:sz w:val="24"/>
          <w:szCs w:val="24"/>
        </w:rPr>
        <w:t xml:space="preserve"> genus in all participants. Relative abundance of </w:t>
      </w:r>
      <w:r w:rsidRPr="005969A7">
        <w:rPr>
          <w:rFonts w:ascii="Arial" w:hAnsi="Arial" w:cs="Arial"/>
          <w:i/>
          <w:iCs/>
          <w:sz w:val="24"/>
          <w:szCs w:val="24"/>
        </w:rPr>
        <w:t>Roseburia</w:t>
      </w:r>
      <w:r w:rsidRPr="005969A7">
        <w:rPr>
          <w:rFonts w:ascii="Arial" w:hAnsi="Arial" w:cs="Arial"/>
          <w:sz w:val="24"/>
          <w:szCs w:val="24"/>
        </w:rPr>
        <w:t xml:space="preserve"> and </w:t>
      </w:r>
      <w:r w:rsidRPr="005969A7">
        <w:rPr>
          <w:rFonts w:ascii="Arial" w:hAnsi="Arial" w:cs="Arial"/>
          <w:i/>
          <w:iCs/>
          <w:sz w:val="24"/>
          <w:szCs w:val="24"/>
        </w:rPr>
        <w:t>Escherichia</w:t>
      </w:r>
      <w:r w:rsidRPr="005969A7">
        <w:rPr>
          <w:rFonts w:ascii="Arial" w:hAnsi="Arial" w:cs="Arial"/>
          <w:sz w:val="24"/>
          <w:szCs w:val="24"/>
        </w:rPr>
        <w:t xml:space="preserve"> between HCs and three disease groups as verified by qPCR. Note that </w:t>
      </w:r>
      <w:r w:rsidRPr="005969A7">
        <w:rPr>
          <w:rFonts w:ascii="Arial" w:hAnsi="Arial" w:cs="Arial"/>
          <w:i/>
          <w:iCs/>
          <w:sz w:val="24"/>
          <w:szCs w:val="24"/>
        </w:rPr>
        <w:t>Roseburia</w:t>
      </w:r>
      <w:r w:rsidRPr="005969A7">
        <w:rPr>
          <w:rFonts w:ascii="Arial" w:hAnsi="Arial" w:cs="Arial"/>
          <w:sz w:val="24"/>
          <w:szCs w:val="24"/>
        </w:rPr>
        <w:t xml:space="preserve"> were undetected in some samples. There </w:t>
      </w:r>
      <w:r>
        <w:rPr>
          <w:rFonts w:ascii="Arial" w:eastAsia="DengXian" w:hAnsi="Arial" w:cs="Arial"/>
          <w:sz w:val="24"/>
          <w:szCs w:val="24"/>
        </w:rPr>
        <w:t>were</w:t>
      </w:r>
      <w:r w:rsidRPr="005969A7">
        <w:rPr>
          <w:rFonts w:ascii="Arial" w:hAnsi="Arial" w:cs="Arial"/>
          <w:sz w:val="24"/>
          <w:szCs w:val="24"/>
        </w:rPr>
        <w:t xml:space="preserve"> 5,</w:t>
      </w:r>
      <w:r>
        <w:rPr>
          <w:rFonts w:ascii="Arial" w:eastAsia="DengXian" w:hAnsi="Arial" w:cs="Arial"/>
          <w:sz w:val="24"/>
          <w:szCs w:val="24"/>
        </w:rPr>
        <w:t xml:space="preserve"> 10 and</w:t>
      </w:r>
      <w:r w:rsidRPr="005969A7">
        <w:rPr>
          <w:rFonts w:ascii="Arial" w:hAnsi="Arial" w:cs="Arial"/>
          <w:sz w:val="24"/>
          <w:szCs w:val="24"/>
        </w:rPr>
        <w:t xml:space="preserve"> 7 undetected samples in MEG, glioma and BM</w:t>
      </w:r>
      <w:r>
        <w:rPr>
          <w:rFonts w:ascii="Arial" w:eastAsia="DengXian" w:hAnsi="Arial" w:cs="Arial"/>
          <w:sz w:val="24"/>
          <w:szCs w:val="24"/>
        </w:rPr>
        <w:t>,</w:t>
      </w:r>
      <w:r w:rsidRPr="005969A7">
        <w:rPr>
          <w:rFonts w:ascii="Arial" w:hAnsi="Arial" w:cs="Arial"/>
          <w:sz w:val="24"/>
          <w:szCs w:val="24"/>
        </w:rPr>
        <w:t xml:space="preserve"> resp</w:t>
      </w:r>
      <w:r w:rsidRPr="005969A7">
        <w:rPr>
          <w:rFonts w:ascii="Arial" w:hAnsi="Arial" w:cs="Arial"/>
          <w:sz w:val="24"/>
          <w:szCs w:val="24"/>
        </w:rPr>
        <w:t>ectively. *</w:t>
      </w:r>
      <w:r w:rsidRPr="005969A7">
        <w:rPr>
          <w:rFonts w:ascii="Arial" w:hAnsi="Arial" w:cs="Arial"/>
          <w:i/>
          <w:iCs/>
          <w:sz w:val="24"/>
          <w:szCs w:val="24"/>
        </w:rPr>
        <w:t>p</w:t>
      </w:r>
      <w:r w:rsidRPr="005969A7">
        <w:rPr>
          <w:rFonts w:ascii="Arial" w:hAnsi="Arial" w:cs="Arial"/>
          <w:sz w:val="24"/>
          <w:szCs w:val="24"/>
        </w:rPr>
        <w:t>&lt;0.05 compared to HCs. HCs, healthy controls; MEG, meningioma; BM, brain metastasis.</w:t>
      </w:r>
    </w:p>
    <w:p w14:paraId="178DA938" w14:textId="6A10CF0C" w:rsidR="002879CB" w:rsidRPr="005969A7" w:rsidRDefault="002914AD" w:rsidP="00BC54CA">
      <w:pPr>
        <w:spacing w:line="480" w:lineRule="auto"/>
        <w:rPr>
          <w:rFonts w:ascii="Arial" w:hAnsi="Arial" w:cs="Arial"/>
          <w:bCs/>
          <w:sz w:val="24"/>
          <w:szCs w:val="24"/>
        </w:rPr>
      </w:pPr>
      <w:r w:rsidRPr="005969A7">
        <w:rPr>
          <w:rFonts w:ascii="Arial" w:hAnsi="Arial" w:cs="Arial"/>
          <w:b/>
          <w:sz w:val="24"/>
          <w:szCs w:val="24"/>
        </w:rPr>
        <w:t xml:space="preserve">Supplemental Figure 7. </w:t>
      </w:r>
      <w:r w:rsidRPr="005969A7">
        <w:rPr>
          <w:rFonts w:ascii="Arial" w:hAnsi="Arial" w:cs="Arial"/>
          <w:bCs/>
          <w:sz w:val="24"/>
          <w:szCs w:val="24"/>
        </w:rPr>
        <w:t xml:space="preserve">Significantly changed metabolites between the three disease groups. </w:t>
      </w:r>
      <w:r>
        <w:rPr>
          <w:rFonts w:ascii="Arial" w:eastAsia="DengXian" w:hAnsi="Arial" w:cs="Arial"/>
          <w:bCs/>
          <w:sz w:val="24"/>
          <w:szCs w:val="24"/>
        </w:rPr>
        <w:t>The box</w:t>
      </w:r>
      <w:r w:rsidRPr="005969A7">
        <w:rPr>
          <w:rFonts w:ascii="Arial" w:hAnsi="Arial" w:cs="Arial"/>
          <w:bCs/>
          <w:sz w:val="24"/>
          <w:szCs w:val="24"/>
        </w:rPr>
        <w:t xml:space="preserve"> plot </w:t>
      </w:r>
      <w:r>
        <w:rPr>
          <w:rFonts w:ascii="Arial" w:eastAsia="DengXian" w:hAnsi="Arial" w:cs="Arial"/>
          <w:bCs/>
          <w:sz w:val="24"/>
          <w:szCs w:val="24"/>
        </w:rPr>
        <w:t>shows</w:t>
      </w:r>
      <w:r w:rsidRPr="005969A7">
        <w:rPr>
          <w:rFonts w:ascii="Arial" w:hAnsi="Arial" w:cs="Arial"/>
          <w:bCs/>
          <w:sz w:val="24"/>
          <w:szCs w:val="24"/>
        </w:rPr>
        <w:t xml:space="preserve"> the relative abundance of representative metaboli</w:t>
      </w:r>
      <w:r w:rsidRPr="005969A7">
        <w:rPr>
          <w:rFonts w:ascii="Arial" w:hAnsi="Arial" w:cs="Arial"/>
          <w:bCs/>
          <w:sz w:val="24"/>
          <w:szCs w:val="24"/>
        </w:rPr>
        <w:t>tes that were altered significantly in MEG, glioma and BM. Metabolite abundances are shown after log2 transformation. MEG, meningioma; BM, brain metastasis.</w:t>
      </w:r>
    </w:p>
    <w:p w14:paraId="30A18088" w14:textId="6D078E36" w:rsidR="002879CB" w:rsidRPr="005969A7" w:rsidRDefault="00A40C8A" w:rsidP="00BC54CA">
      <w:pPr>
        <w:spacing w:line="480" w:lineRule="auto"/>
        <w:rPr>
          <w:rFonts w:ascii="Arial" w:hAnsi="Arial" w:cs="Arial"/>
          <w:sz w:val="24"/>
          <w:szCs w:val="24"/>
        </w:rPr>
      </w:pPr>
      <w:r w:rsidRPr="005969A7">
        <w:rPr>
          <w:rFonts w:ascii="Arial" w:hAnsi="Arial" w:cs="Arial"/>
          <w:b/>
          <w:bCs/>
          <w:sz w:val="24"/>
          <w:szCs w:val="24"/>
        </w:rPr>
        <w:t>Supplemental Figure 8.</w:t>
      </w:r>
      <w:r w:rsidRPr="005969A7">
        <w:rPr>
          <w:rFonts w:ascii="Arial" w:hAnsi="Arial" w:cs="Arial"/>
          <w:sz w:val="24"/>
          <w:szCs w:val="24"/>
        </w:rPr>
        <w:t xml:space="preserve"> Forest plots of relative risk or protective effect based on random forest screening for bacteria and metabolites from the HCs and three different </w:t>
      </w:r>
      <w:r w:rsidR="00B53919">
        <w:rPr>
          <w:rFonts w:ascii="Arial" w:hAnsi="Arial" w:cs="Arial"/>
          <w:sz w:val="24"/>
          <w:szCs w:val="24"/>
        </w:rPr>
        <w:t>brain</w:t>
      </w:r>
      <w:r w:rsidRPr="005969A7">
        <w:rPr>
          <w:rFonts w:ascii="Arial" w:hAnsi="Arial" w:cs="Arial"/>
          <w:sz w:val="24"/>
          <w:szCs w:val="24"/>
        </w:rPr>
        <w:t xml:space="preserve"> tumors. (A) Forest plots of OR for MEG. (B) Forest plots of OR for glioma. (C) Forest plots of OR for BM. The squares and bars represent the OR and 95% CIs. OR, odds ratio; HCs, healthy controls; MEG, meningioma; BM, brain metastasis.</w:t>
      </w:r>
    </w:p>
    <w:p w14:paraId="3ECCB690" w14:textId="4A7366B9" w:rsidR="002879CB" w:rsidRPr="005969A7" w:rsidRDefault="002914AD" w:rsidP="00BC54CA">
      <w:pPr>
        <w:spacing w:line="480" w:lineRule="auto"/>
        <w:rPr>
          <w:rFonts w:ascii="Arial" w:hAnsi="Arial" w:cs="Arial"/>
          <w:b/>
          <w:sz w:val="24"/>
          <w:szCs w:val="24"/>
        </w:rPr>
      </w:pPr>
      <w:r w:rsidRPr="005969A7">
        <w:rPr>
          <w:rFonts w:ascii="Arial" w:hAnsi="Arial" w:cs="Arial"/>
          <w:b/>
          <w:bCs/>
          <w:sz w:val="24"/>
          <w:szCs w:val="24"/>
        </w:rPr>
        <w:t xml:space="preserve">Supplemental Figure 9. </w:t>
      </w:r>
      <w:r w:rsidRPr="005969A7">
        <w:rPr>
          <w:rFonts w:ascii="Arial" w:hAnsi="Arial" w:cs="Arial"/>
          <w:sz w:val="24"/>
          <w:szCs w:val="24"/>
        </w:rPr>
        <w:t xml:space="preserve">Faecal </w:t>
      </w:r>
      <w:r>
        <w:rPr>
          <w:rFonts w:ascii="Arial" w:eastAsia="DengXian" w:hAnsi="Arial" w:cs="Arial"/>
          <w:sz w:val="24"/>
          <w:szCs w:val="24"/>
        </w:rPr>
        <w:t>metabolome</w:t>
      </w:r>
      <w:r w:rsidRPr="005969A7">
        <w:rPr>
          <w:rFonts w:ascii="Arial" w:hAnsi="Arial" w:cs="Arial"/>
          <w:sz w:val="24"/>
          <w:szCs w:val="24"/>
        </w:rPr>
        <w:t xml:space="preserve"> changes in HCs and three disease groups. Volcano plots demonstrated metabolite chan</w:t>
      </w:r>
      <w:r w:rsidRPr="005969A7">
        <w:rPr>
          <w:rFonts w:ascii="Arial" w:hAnsi="Arial" w:cs="Arial"/>
          <w:sz w:val="24"/>
          <w:szCs w:val="24"/>
        </w:rPr>
        <w:t xml:space="preserve">ges (A) between HCs and MEG, (B) between HCs and glioma, and (C) between HCs and BM. </w:t>
      </w:r>
      <w:r w:rsidRPr="005969A7">
        <w:rPr>
          <w:rFonts w:ascii="Arial" w:hAnsi="Arial" w:cs="Arial"/>
          <w:sz w:val="24"/>
          <w:szCs w:val="24"/>
        </w:rPr>
        <w:lastRenderedPageBreak/>
        <w:t>The X-axis indicates the log2-transformed fold change of faecal metabolite abundances, and the Y-axis denotes log10-transformed Q-values (</w:t>
      </w:r>
      <w:r w:rsidRPr="005969A7">
        <w:rPr>
          <w:rFonts w:ascii="Arial" w:hAnsi="Arial" w:cs="Arial"/>
          <w:i/>
          <w:iCs/>
          <w:sz w:val="24"/>
          <w:szCs w:val="24"/>
        </w:rPr>
        <w:t xml:space="preserve">p </w:t>
      </w:r>
      <w:r w:rsidRPr="005969A7">
        <w:rPr>
          <w:rFonts w:ascii="Arial" w:hAnsi="Arial" w:cs="Arial"/>
          <w:sz w:val="24"/>
          <w:szCs w:val="24"/>
        </w:rPr>
        <w:t>value adjusted using the tail a</w:t>
      </w:r>
      <w:r w:rsidRPr="005969A7">
        <w:rPr>
          <w:rFonts w:ascii="Arial" w:hAnsi="Arial" w:cs="Arial"/>
          <w:sz w:val="24"/>
          <w:szCs w:val="24"/>
        </w:rPr>
        <w:t xml:space="preserve">rea-based FDR). The horizontal lines represent </w:t>
      </w:r>
      <w:r w:rsidRPr="005969A7">
        <w:rPr>
          <w:rFonts w:ascii="Arial" w:hAnsi="Arial" w:cs="Arial"/>
          <w:i/>
          <w:iCs/>
          <w:sz w:val="24"/>
          <w:szCs w:val="24"/>
        </w:rPr>
        <w:t>p</w:t>
      </w:r>
      <w:r w:rsidRPr="005969A7">
        <w:rPr>
          <w:rFonts w:ascii="Arial" w:hAnsi="Arial" w:cs="Arial"/>
          <w:sz w:val="24"/>
          <w:szCs w:val="24"/>
        </w:rPr>
        <w:t>&lt;0.05. HCs, healthy controls; MEG, meningioma; BM, brain metastasis.</w:t>
      </w:r>
    </w:p>
    <w:p w14:paraId="4E8489A4" w14:textId="5D32FF85" w:rsidR="002879CB" w:rsidRPr="005969A7" w:rsidRDefault="002914AD" w:rsidP="00BC54CA">
      <w:pPr>
        <w:spacing w:line="480" w:lineRule="auto"/>
        <w:rPr>
          <w:rFonts w:ascii="Arial" w:hAnsi="Arial" w:cs="Arial"/>
          <w:b/>
          <w:sz w:val="24"/>
          <w:szCs w:val="24"/>
        </w:rPr>
      </w:pPr>
      <w:r w:rsidRPr="005969A7">
        <w:rPr>
          <w:rFonts w:ascii="Arial" w:hAnsi="Arial" w:cs="Arial"/>
          <w:b/>
          <w:sz w:val="24"/>
          <w:szCs w:val="24"/>
        </w:rPr>
        <w:t xml:space="preserve">Supplemental Figure 10. </w:t>
      </w:r>
      <w:r w:rsidRPr="005969A7">
        <w:rPr>
          <w:rFonts w:ascii="Arial" w:hAnsi="Arial" w:cs="Arial"/>
          <w:bCs/>
          <w:sz w:val="24"/>
          <w:szCs w:val="24"/>
        </w:rPr>
        <w:t>The species as the signature for each disease group based on random forest models. Boxplots of the relative abundan</w:t>
      </w:r>
      <w:r w:rsidRPr="005969A7">
        <w:rPr>
          <w:rFonts w:ascii="Arial" w:hAnsi="Arial" w:cs="Arial"/>
          <w:bCs/>
          <w:sz w:val="24"/>
          <w:szCs w:val="24"/>
        </w:rPr>
        <w:t xml:space="preserve">ces of the species selected for the random forest model used to distinguish samples in the MEG (A), glioma (B), </w:t>
      </w:r>
      <w:r>
        <w:rPr>
          <w:rFonts w:ascii="Arial" w:eastAsia="DengXian" w:hAnsi="Arial" w:cs="Arial"/>
          <w:bCs/>
          <w:sz w:val="24"/>
          <w:szCs w:val="24"/>
        </w:rPr>
        <w:t xml:space="preserve">and </w:t>
      </w:r>
      <w:r w:rsidRPr="005969A7">
        <w:rPr>
          <w:rFonts w:ascii="Arial" w:hAnsi="Arial" w:cs="Arial"/>
          <w:bCs/>
          <w:sz w:val="24"/>
          <w:szCs w:val="24"/>
        </w:rPr>
        <w:t xml:space="preserve">BM (C) from those in the HCs. HCs, healthy controls; MEG, meningioma; BM, brain metastasis. </w:t>
      </w:r>
      <w:r w:rsidRPr="005969A7">
        <w:rPr>
          <w:rFonts w:ascii="SimSun" w:eastAsia="SimSun" w:hAnsi="SimSun" w:cs="SimSun" w:hint="eastAsia"/>
          <w:bCs/>
          <w:sz w:val="24"/>
          <w:szCs w:val="24"/>
          <w:vertAlign w:val="superscript"/>
        </w:rPr>
        <w:t>※</w:t>
      </w:r>
      <w:r w:rsidRPr="005969A7">
        <w:rPr>
          <w:rFonts w:ascii="Arial" w:hAnsi="Arial" w:cs="Arial"/>
          <w:bCs/>
          <w:sz w:val="24"/>
          <w:szCs w:val="24"/>
        </w:rPr>
        <w:t xml:space="preserve"> indicates that the special has been selected a</w:t>
      </w:r>
      <w:r w:rsidRPr="005969A7">
        <w:rPr>
          <w:rFonts w:ascii="Arial" w:hAnsi="Arial" w:cs="Arial"/>
          <w:bCs/>
          <w:sz w:val="24"/>
          <w:szCs w:val="24"/>
        </w:rPr>
        <w:t>s the signature for the corresponding group. HCs, healthy controls; MEG, meningioma; BM, brain metastasis.</w:t>
      </w:r>
    </w:p>
    <w:p w14:paraId="4DA13A22" w14:textId="0259D688" w:rsidR="002879CB" w:rsidRPr="005969A7" w:rsidRDefault="00A40C8A" w:rsidP="00BC54CA">
      <w:pPr>
        <w:spacing w:line="480" w:lineRule="auto"/>
        <w:rPr>
          <w:rFonts w:ascii="Arial" w:hAnsi="Arial" w:cs="Arial"/>
          <w:bCs/>
          <w:sz w:val="24"/>
          <w:szCs w:val="24"/>
        </w:rPr>
      </w:pPr>
      <w:r w:rsidRPr="005969A7">
        <w:rPr>
          <w:rFonts w:ascii="Arial" w:hAnsi="Arial" w:cs="Arial"/>
          <w:b/>
          <w:sz w:val="24"/>
          <w:szCs w:val="24"/>
        </w:rPr>
        <w:t>Supplemental Figure 11.</w:t>
      </w:r>
      <w:r w:rsidRPr="005969A7">
        <w:rPr>
          <w:rFonts w:ascii="Arial" w:hAnsi="Arial" w:cs="Arial"/>
          <w:bCs/>
          <w:sz w:val="24"/>
          <w:szCs w:val="24"/>
        </w:rPr>
        <w:t xml:space="preserve"> The metabolites as the signature for each disease group based on random forest models. Box plots of the relative abundances of the metabolites selected for the random forest model used to distinguish samples in the MEG (A), glioma (B),</w:t>
      </w:r>
      <w:r>
        <w:rPr>
          <w:rFonts w:ascii="Arial" w:eastAsia="DengXian" w:hAnsi="Arial" w:cs="Arial"/>
          <w:bCs/>
          <w:sz w:val="24"/>
          <w:szCs w:val="24"/>
        </w:rPr>
        <w:t xml:space="preserve"> and</w:t>
      </w:r>
      <w:r w:rsidRPr="005969A7">
        <w:rPr>
          <w:rFonts w:ascii="Arial" w:hAnsi="Arial" w:cs="Arial"/>
          <w:bCs/>
          <w:sz w:val="24"/>
          <w:szCs w:val="24"/>
        </w:rPr>
        <w:t xml:space="preserve"> BM (C) from those in the HCs. HCs, healthy controls; MEG, meningioma; BM, brain metastasis. </w:t>
      </w:r>
      <w:r w:rsidRPr="008018F9">
        <w:rPr>
          <w:rFonts w:ascii="SimSun" w:eastAsia="SimSun" w:hAnsi="SimSun" w:cs="SimSun" w:hint="eastAsia"/>
          <w:b/>
          <w:sz w:val="24"/>
          <w:szCs w:val="24"/>
          <w:vertAlign w:val="superscript"/>
        </w:rPr>
        <w:t>※</w:t>
      </w:r>
      <w:r w:rsidRPr="005969A7">
        <w:rPr>
          <w:rFonts w:ascii="Arial" w:hAnsi="Arial" w:cs="Arial"/>
          <w:bCs/>
          <w:sz w:val="24"/>
          <w:szCs w:val="24"/>
        </w:rPr>
        <w:t xml:space="preserve"> indicates that the metabolite has been selected as the signature for the corresponding group. HCs, healthy controls; MEG, meningioma; BM, brain metastasis.</w:t>
      </w:r>
    </w:p>
    <w:p w14:paraId="3D401739" w14:textId="7CEB40C8" w:rsidR="002879CB" w:rsidRPr="005969A7" w:rsidRDefault="002914AD" w:rsidP="00BC54CA">
      <w:pPr>
        <w:spacing w:line="480" w:lineRule="auto"/>
        <w:rPr>
          <w:rFonts w:ascii="Arial" w:hAnsi="Arial" w:cs="Arial"/>
          <w:b/>
          <w:bCs/>
          <w:sz w:val="24"/>
          <w:szCs w:val="24"/>
        </w:rPr>
      </w:pPr>
      <w:r w:rsidRPr="005969A7">
        <w:rPr>
          <w:rFonts w:ascii="Arial" w:hAnsi="Arial" w:cs="Arial"/>
          <w:b/>
          <w:bCs/>
          <w:sz w:val="24"/>
          <w:szCs w:val="24"/>
        </w:rPr>
        <w:t>Supplemental Table 1.</w:t>
      </w:r>
      <w:r w:rsidRPr="005969A7">
        <w:rPr>
          <w:rFonts w:ascii="Arial" w:hAnsi="Arial" w:cs="Arial"/>
          <w:b/>
          <w:bCs/>
          <w:sz w:val="24"/>
          <w:szCs w:val="24"/>
        </w:rPr>
        <w:t xml:space="preserve"> </w:t>
      </w:r>
      <w:r w:rsidRPr="005969A7">
        <w:rPr>
          <w:rFonts w:ascii="Arial" w:hAnsi="Arial" w:cs="Arial"/>
          <w:bCs/>
          <w:sz w:val="24"/>
          <w:szCs w:val="24"/>
        </w:rPr>
        <w:t>B</w:t>
      </w:r>
      <w:bookmarkStart w:id="0" w:name="OLE_LINK195"/>
      <w:r w:rsidRPr="005969A7">
        <w:rPr>
          <w:rFonts w:ascii="Arial" w:hAnsi="Arial" w:cs="Arial"/>
          <w:bCs/>
          <w:sz w:val="24"/>
          <w:szCs w:val="24"/>
        </w:rPr>
        <w:t xml:space="preserve">aseline </w:t>
      </w:r>
      <w:r>
        <w:rPr>
          <w:rFonts w:ascii="Arial" w:eastAsia="DengXian" w:hAnsi="Arial" w:cs="Arial"/>
          <w:bCs/>
          <w:sz w:val="24"/>
          <w:szCs w:val="24"/>
        </w:rPr>
        <w:t xml:space="preserve">characteristics of the </w:t>
      </w:r>
      <w:r w:rsidRPr="005969A7">
        <w:rPr>
          <w:rFonts w:ascii="Arial" w:hAnsi="Arial" w:cs="Arial"/>
          <w:bCs/>
          <w:sz w:val="24"/>
          <w:szCs w:val="24"/>
        </w:rPr>
        <w:t xml:space="preserve">healthy </w:t>
      </w:r>
      <w:r>
        <w:rPr>
          <w:rFonts w:ascii="Arial" w:eastAsia="DengXian" w:hAnsi="Arial" w:cs="Arial"/>
          <w:bCs/>
          <w:sz w:val="24"/>
          <w:szCs w:val="24"/>
        </w:rPr>
        <w:t>control</w:t>
      </w:r>
      <w:r w:rsidRPr="005969A7">
        <w:rPr>
          <w:rFonts w:ascii="Arial" w:hAnsi="Arial" w:cs="Arial"/>
          <w:bCs/>
          <w:sz w:val="24"/>
          <w:szCs w:val="24"/>
        </w:rPr>
        <w:t xml:space="preserve">, meningioma, </w:t>
      </w:r>
      <w:r>
        <w:rPr>
          <w:rFonts w:ascii="Arial" w:eastAsia="DengXian" w:hAnsi="Arial" w:cs="Arial"/>
          <w:bCs/>
          <w:sz w:val="24"/>
          <w:szCs w:val="24"/>
        </w:rPr>
        <w:t xml:space="preserve">glioma, and </w:t>
      </w:r>
      <w:r w:rsidRPr="005969A7">
        <w:rPr>
          <w:rFonts w:ascii="Arial" w:hAnsi="Arial" w:cs="Arial"/>
          <w:bCs/>
          <w:sz w:val="24"/>
          <w:szCs w:val="24"/>
        </w:rPr>
        <w:t>brain metastasis groups</w:t>
      </w:r>
    </w:p>
    <w:p w14:paraId="5EC7BC9F" w14:textId="1F975720"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 xml:space="preserve">Mean values are provided with standard deviation in parentheses, unless otherwise noted as n (%). </w:t>
      </w:r>
      <w:r w:rsidRPr="005969A7">
        <w:rPr>
          <w:rFonts w:ascii="Arial" w:hAnsi="Arial" w:cs="Arial"/>
          <w:kern w:val="0"/>
          <w:sz w:val="24"/>
          <w:szCs w:val="24"/>
        </w:rPr>
        <w:t xml:space="preserve">Abbreviations: </w:t>
      </w:r>
      <w:r w:rsidRPr="005969A7">
        <w:rPr>
          <w:rFonts w:ascii="Arial" w:hAnsi="Arial" w:cs="Arial"/>
          <w:sz w:val="24"/>
          <w:szCs w:val="24"/>
        </w:rPr>
        <w:t xml:space="preserve">HCs, healthy controls; MEG, </w:t>
      </w:r>
      <w:r w:rsidRPr="005969A7">
        <w:rPr>
          <w:rFonts w:ascii="Arial" w:hAnsi="Arial" w:cs="Arial"/>
          <w:sz w:val="24"/>
          <w:szCs w:val="24"/>
        </w:rPr>
        <w:lastRenderedPageBreak/>
        <w:t xml:space="preserve">meningioma; BM, brain metastasis, BMI, body mass index; WBCs, white blood cells; NEUs, neutrophils; LYMs, lymphocytes; MONs, monocytes; EOSs, eosinophils; BASs, basophils; GLU, blood glucose; ALT, alanine aminotransferase; AST, aspartate aminotransferase; </w:t>
      </w:r>
      <w:r w:rsidRPr="005969A7">
        <w:rPr>
          <w:rFonts w:ascii="Arial" w:hAnsi="Arial" w:cs="Arial"/>
          <w:sz w:val="24"/>
          <w:szCs w:val="24"/>
        </w:rPr>
        <w:t xml:space="preserve">TP, total protein; GLO, globulin; TBIL, total bilirubin; DBIL, direct bilirubin; IBIL, indirect bilirubin; TBA, total bile acid; GGT, G-glutamine transferase; ALP, alkaline phosphatase; HDL-C, </w:t>
      </w:r>
      <w:r>
        <w:rPr>
          <w:rFonts w:ascii="Arial" w:eastAsia="DengXian" w:hAnsi="Arial" w:cs="Arial"/>
          <w:sz w:val="24"/>
          <w:szCs w:val="24"/>
        </w:rPr>
        <w:t>high</w:t>
      </w:r>
      <w:r w:rsidRPr="005969A7">
        <w:rPr>
          <w:rFonts w:ascii="Arial" w:hAnsi="Arial" w:cs="Arial"/>
          <w:sz w:val="24"/>
          <w:szCs w:val="24"/>
        </w:rPr>
        <w:t xml:space="preserve">-density lipoprotein cholesterol; LDL-C, </w:t>
      </w:r>
      <w:r>
        <w:rPr>
          <w:rFonts w:ascii="Arial" w:eastAsia="DengXian" w:hAnsi="Arial" w:cs="Arial"/>
          <w:sz w:val="24"/>
          <w:szCs w:val="24"/>
        </w:rPr>
        <w:t>low</w:t>
      </w:r>
      <w:r w:rsidRPr="005969A7">
        <w:rPr>
          <w:rFonts w:ascii="Arial" w:hAnsi="Arial" w:cs="Arial"/>
          <w:sz w:val="24"/>
          <w:szCs w:val="24"/>
        </w:rPr>
        <w:t>-density lipopr</w:t>
      </w:r>
      <w:r w:rsidRPr="005969A7">
        <w:rPr>
          <w:rFonts w:ascii="Arial" w:hAnsi="Arial" w:cs="Arial"/>
          <w:sz w:val="24"/>
          <w:szCs w:val="24"/>
        </w:rPr>
        <w:t>otein cholesterol; TC, total cholesterol; TG, triglycerides. *</w:t>
      </w:r>
      <w:r w:rsidRPr="005969A7">
        <w:rPr>
          <w:rFonts w:ascii="Arial" w:hAnsi="Arial" w:cs="Arial"/>
          <w:i/>
          <w:iCs/>
          <w:sz w:val="24"/>
          <w:szCs w:val="24"/>
        </w:rPr>
        <w:t xml:space="preserve">p </w:t>
      </w:r>
      <w:r w:rsidRPr="005969A7">
        <w:rPr>
          <w:rFonts w:ascii="Arial" w:hAnsi="Arial" w:cs="Arial"/>
          <w:sz w:val="24"/>
          <w:szCs w:val="24"/>
        </w:rPr>
        <w:t>value determined by chi-square or F test from ANOVA. Superscripts indicate individual significant mean differences between α HCs vs MEG, β HCs vs glioma and δ HCs vs BM.</w:t>
      </w:r>
      <w:bookmarkEnd w:id="0"/>
    </w:p>
    <w:p w14:paraId="11CE2C10" w14:textId="3B4E3E3F" w:rsidR="002879CB" w:rsidRPr="005969A7" w:rsidRDefault="002914AD" w:rsidP="00BC54CA">
      <w:pPr>
        <w:spacing w:line="480" w:lineRule="auto"/>
        <w:rPr>
          <w:rFonts w:ascii="Arial" w:hAnsi="Arial" w:cs="Arial"/>
          <w:bCs/>
          <w:sz w:val="24"/>
          <w:szCs w:val="24"/>
        </w:rPr>
      </w:pPr>
      <w:r w:rsidRPr="005969A7">
        <w:rPr>
          <w:rFonts w:ascii="Arial" w:hAnsi="Arial" w:cs="Arial"/>
          <w:b/>
          <w:bCs/>
          <w:sz w:val="24"/>
          <w:szCs w:val="24"/>
        </w:rPr>
        <w:t>Supplemental Table 2.</w:t>
      </w:r>
      <w:r w:rsidRPr="005969A7">
        <w:rPr>
          <w:rFonts w:ascii="Arial" w:hAnsi="Arial" w:cs="Arial"/>
          <w:bCs/>
          <w:sz w:val="24"/>
          <w:szCs w:val="24"/>
        </w:rPr>
        <w:t xml:space="preserve"> </w:t>
      </w:r>
      <w:bookmarkStart w:id="1" w:name="OLE_LINK109"/>
      <w:r w:rsidRPr="005969A7">
        <w:rPr>
          <w:rFonts w:ascii="Arial" w:hAnsi="Arial" w:cs="Arial"/>
          <w:bCs/>
          <w:sz w:val="24"/>
          <w:szCs w:val="24"/>
        </w:rPr>
        <w:t>Me</w:t>
      </w:r>
      <w:bookmarkEnd w:id="1"/>
      <w:r w:rsidRPr="005969A7">
        <w:rPr>
          <w:rFonts w:ascii="Arial" w:hAnsi="Arial" w:cs="Arial"/>
          <w:bCs/>
          <w:sz w:val="24"/>
          <w:szCs w:val="24"/>
        </w:rPr>
        <w:t>tabolites and their abundances measured by f</w:t>
      </w:r>
      <w:r w:rsidR="00172B26">
        <w:rPr>
          <w:rFonts w:ascii="Arial" w:hAnsi="Arial" w:cs="Arial"/>
          <w:bCs/>
          <w:sz w:val="24"/>
          <w:szCs w:val="24"/>
        </w:rPr>
        <w:t>a</w:t>
      </w:r>
      <w:r w:rsidRPr="005969A7">
        <w:rPr>
          <w:rFonts w:ascii="Arial" w:hAnsi="Arial" w:cs="Arial"/>
          <w:bCs/>
          <w:sz w:val="24"/>
          <w:szCs w:val="24"/>
        </w:rPr>
        <w:t>ecal metabolomics in each group.</w:t>
      </w:r>
    </w:p>
    <w:p w14:paraId="2D7D216E" w14:textId="314F40BF"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 xml:space="preserve">Data are given as </w:t>
      </w:r>
      <w:r>
        <w:rPr>
          <w:rFonts w:ascii="Arial" w:eastAsia="DengXian" w:hAnsi="Arial" w:cs="Arial"/>
          <w:sz w:val="24"/>
          <w:szCs w:val="24"/>
        </w:rPr>
        <w:t xml:space="preserve">the </w:t>
      </w:r>
      <w:r w:rsidRPr="005969A7">
        <w:rPr>
          <w:rFonts w:ascii="Arial" w:hAnsi="Arial" w:cs="Arial"/>
          <w:sz w:val="24"/>
          <w:szCs w:val="24"/>
        </w:rPr>
        <w:t xml:space="preserve">median (P25, P75). Abbreviations: HCs, healthy controls; MEG, </w:t>
      </w:r>
      <w:r>
        <w:rPr>
          <w:rFonts w:ascii="Arial" w:eastAsia="DengXian" w:hAnsi="Arial" w:cs="Arial"/>
          <w:sz w:val="24"/>
          <w:szCs w:val="24"/>
        </w:rPr>
        <w:t>meningioma</w:t>
      </w:r>
      <w:r w:rsidRPr="005969A7">
        <w:rPr>
          <w:rFonts w:ascii="Arial" w:hAnsi="Arial" w:cs="Arial"/>
          <w:sz w:val="24"/>
          <w:szCs w:val="24"/>
        </w:rPr>
        <w:t>; BM, brain metastasis; Md: median.</w:t>
      </w:r>
    </w:p>
    <w:p w14:paraId="039E9181" w14:textId="77777777" w:rsidR="001C4DD4" w:rsidRPr="005969A7" w:rsidRDefault="001C4DD4" w:rsidP="00BC54CA">
      <w:pPr>
        <w:spacing w:line="480" w:lineRule="auto"/>
        <w:rPr>
          <w:rFonts w:ascii="Arial" w:hAnsi="Arial" w:cs="Arial"/>
          <w:b/>
          <w:sz w:val="24"/>
          <w:szCs w:val="24"/>
        </w:rPr>
      </w:pPr>
    </w:p>
    <w:p w14:paraId="0C8936E6" w14:textId="1400F408" w:rsidR="002879CB" w:rsidRPr="005969A7" w:rsidRDefault="002914AD" w:rsidP="00BC54CA">
      <w:pPr>
        <w:spacing w:line="480" w:lineRule="auto"/>
        <w:rPr>
          <w:rFonts w:ascii="Arial" w:hAnsi="Arial" w:cs="Arial"/>
          <w:b/>
          <w:sz w:val="24"/>
          <w:szCs w:val="24"/>
        </w:rPr>
      </w:pPr>
      <w:r w:rsidRPr="005969A7">
        <w:rPr>
          <w:rFonts w:ascii="Arial" w:hAnsi="Arial" w:cs="Arial"/>
          <w:b/>
          <w:sz w:val="24"/>
          <w:szCs w:val="24"/>
        </w:rPr>
        <w:t>Supplemental method 1</w:t>
      </w:r>
    </w:p>
    <w:p w14:paraId="070BBFE5" w14:textId="77777777" w:rsidR="002879CB" w:rsidRPr="005969A7" w:rsidRDefault="002914AD" w:rsidP="00BC54CA">
      <w:pPr>
        <w:spacing w:line="480" w:lineRule="auto"/>
        <w:rPr>
          <w:rFonts w:ascii="Arial" w:hAnsi="Arial" w:cs="Arial"/>
          <w:sz w:val="24"/>
          <w:szCs w:val="24"/>
        </w:rPr>
      </w:pPr>
      <w:bookmarkStart w:id="2" w:name="OLE_LINK346"/>
      <w:r w:rsidRPr="005969A7">
        <w:rPr>
          <w:rFonts w:ascii="Arial" w:hAnsi="Arial" w:cs="Arial"/>
          <w:sz w:val="24"/>
          <w:szCs w:val="24"/>
        </w:rPr>
        <w:t>Study population</w:t>
      </w:r>
    </w:p>
    <w:p w14:paraId="68CD7059"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Proposed inclusion criteria:</w:t>
      </w:r>
    </w:p>
    <w:p w14:paraId="2C5BF1CF" w14:textId="01CD206E"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(1) All participants completed the basic information collection and biological specimen collection.</w:t>
      </w:r>
    </w:p>
    <w:p w14:paraId="5E585F39"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(2) All participants had no history of antibiotic, probiotic, prebiotic, or synbiotic use within 2 months prior to the biologic</w:t>
      </w:r>
      <w:r w:rsidRPr="005969A7">
        <w:rPr>
          <w:rFonts w:ascii="Arial" w:hAnsi="Arial" w:cs="Arial"/>
          <w:sz w:val="24"/>
          <w:szCs w:val="24"/>
        </w:rPr>
        <w:t xml:space="preserve">al specimens were collected and </w:t>
      </w:r>
      <w:r>
        <w:rPr>
          <w:rFonts w:ascii="Arial" w:eastAsia="DengXian" w:hAnsi="Arial" w:cs="Arial"/>
          <w:sz w:val="24"/>
          <w:szCs w:val="24"/>
        </w:rPr>
        <w:t xml:space="preserve">had </w:t>
      </w:r>
      <w:r w:rsidRPr="005969A7">
        <w:rPr>
          <w:rFonts w:ascii="Arial" w:hAnsi="Arial" w:cs="Arial"/>
          <w:sz w:val="24"/>
          <w:szCs w:val="24"/>
        </w:rPr>
        <w:lastRenderedPageBreak/>
        <w:t>known active bacterial, fungal, or viral infections.</w:t>
      </w:r>
    </w:p>
    <w:p w14:paraId="7F4A036A"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(3) All participants had no history of radiotherapy or chemotherapy.</w:t>
      </w:r>
    </w:p>
    <w:p w14:paraId="5572076C"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(4) All participants had no history of digestive tract disease or operation.</w:t>
      </w:r>
    </w:p>
    <w:p w14:paraId="12939546"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 xml:space="preserve">(5) All participants </w:t>
      </w:r>
      <w:r w:rsidRPr="005969A7">
        <w:rPr>
          <w:rFonts w:ascii="Arial" w:hAnsi="Arial" w:cs="Arial"/>
          <w:sz w:val="24"/>
          <w:szCs w:val="24"/>
        </w:rPr>
        <w:t>had no history of central nervous system diseases.</w:t>
      </w:r>
    </w:p>
    <w:p w14:paraId="42D26C81"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(6) All participants had no history of hypertension, diabetes, viral hepatitis B, or cirrhosis.</w:t>
      </w:r>
    </w:p>
    <w:p w14:paraId="1D99750B" w14:textId="028E2251"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(7) Patients were diagnosed with glioma, meningioma or metastatic tumor by head imaging and were willing to undergo surgical treatment in our hospital.</w:t>
      </w:r>
    </w:p>
    <w:p w14:paraId="232BFB38"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Exclusion criteria:</w:t>
      </w:r>
    </w:p>
    <w:p w14:paraId="69514D1C"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(1) The following diseases were found in this time health check: hypertension. cardi</w:t>
      </w:r>
      <w:r w:rsidRPr="005969A7">
        <w:rPr>
          <w:rFonts w:ascii="Arial" w:hAnsi="Arial" w:cs="Arial"/>
          <w:sz w:val="24"/>
          <w:szCs w:val="24"/>
        </w:rPr>
        <w:t>ovascular disease; diabetes mellitus; liver cirrhosis; fatty liver disease.</w:t>
      </w:r>
    </w:p>
    <w:p w14:paraId="6F082D18"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(2) Patients who had not undergone surgical treatment.</w:t>
      </w:r>
    </w:p>
    <w:p w14:paraId="27B6F093" w14:textId="77777777"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Final inclusion criteria:</w:t>
      </w:r>
    </w:p>
    <w:p w14:paraId="3037FECF" w14:textId="424D82CB" w:rsidR="002879CB" w:rsidRPr="005969A7" w:rsidRDefault="002914AD" w:rsidP="00BC54CA">
      <w:pPr>
        <w:spacing w:line="480" w:lineRule="auto"/>
        <w:rPr>
          <w:rFonts w:ascii="Arial" w:hAnsi="Arial" w:cs="Arial"/>
          <w:sz w:val="24"/>
          <w:szCs w:val="24"/>
        </w:rPr>
      </w:pPr>
      <w:bookmarkStart w:id="3" w:name="OLE_LINK338"/>
      <w:bookmarkStart w:id="4" w:name="OLE_LINK339"/>
      <w:r w:rsidRPr="005969A7">
        <w:rPr>
          <w:rFonts w:ascii="Arial" w:hAnsi="Arial" w:cs="Arial"/>
          <w:sz w:val="24"/>
          <w:szCs w:val="24"/>
        </w:rPr>
        <w:t>(1) Participants who met the proposed inclusion criteria for the proposed group and passed the excl</w:t>
      </w:r>
      <w:r w:rsidRPr="005969A7">
        <w:rPr>
          <w:rFonts w:ascii="Arial" w:hAnsi="Arial" w:cs="Arial"/>
          <w:sz w:val="24"/>
          <w:szCs w:val="24"/>
        </w:rPr>
        <w:t>usion criteria.</w:t>
      </w:r>
    </w:p>
    <w:p w14:paraId="6F372902" w14:textId="2E4FD3C0"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(2)</w:t>
      </w:r>
      <w:bookmarkStart w:id="5" w:name="OLE_LINK342"/>
      <w:bookmarkStart w:id="6" w:name="OLE_LINK343"/>
      <w:r w:rsidRPr="005969A7">
        <w:rPr>
          <w:rFonts w:ascii="Arial" w:hAnsi="Arial" w:cs="Arial"/>
          <w:sz w:val="24"/>
          <w:szCs w:val="24"/>
        </w:rPr>
        <w:t xml:space="preserve"> The patients received surgical treatment in our hospital and were diagnosed with glioma, meningioma or lung cancer brain metastasis by postoperative </w:t>
      </w:r>
      <w:r>
        <w:rPr>
          <w:rFonts w:ascii="Arial" w:eastAsia="DengXian" w:hAnsi="Arial" w:cs="Arial"/>
          <w:sz w:val="24"/>
          <w:szCs w:val="24"/>
        </w:rPr>
        <w:t>pathology</w:t>
      </w:r>
      <w:r w:rsidRPr="005969A7">
        <w:rPr>
          <w:rFonts w:ascii="Arial" w:hAnsi="Arial" w:cs="Arial"/>
          <w:sz w:val="24"/>
          <w:szCs w:val="24"/>
        </w:rPr>
        <w:t>.</w:t>
      </w:r>
      <w:bookmarkEnd w:id="5"/>
      <w:bookmarkEnd w:id="6"/>
    </w:p>
    <w:p w14:paraId="322D1B74" w14:textId="6BD32C62" w:rsidR="002879CB" w:rsidRPr="005969A7" w:rsidRDefault="002914AD" w:rsidP="00BC54CA">
      <w:pPr>
        <w:spacing w:line="480" w:lineRule="auto"/>
        <w:rPr>
          <w:rFonts w:ascii="Arial" w:hAnsi="Arial" w:cs="Arial"/>
          <w:sz w:val="24"/>
          <w:szCs w:val="24"/>
        </w:rPr>
      </w:pPr>
      <w:r w:rsidRPr="005969A7">
        <w:rPr>
          <w:rFonts w:ascii="Arial" w:hAnsi="Arial" w:cs="Arial"/>
          <w:sz w:val="24"/>
          <w:szCs w:val="24"/>
        </w:rPr>
        <w:t xml:space="preserve">(3) The healthy controls </w:t>
      </w:r>
      <w:r>
        <w:rPr>
          <w:rFonts w:ascii="Arial" w:eastAsia="DengXian" w:hAnsi="Arial" w:cs="Arial"/>
          <w:sz w:val="24"/>
          <w:szCs w:val="24"/>
        </w:rPr>
        <w:t>were</w:t>
      </w:r>
      <w:r w:rsidRPr="005969A7">
        <w:rPr>
          <w:rFonts w:ascii="Arial" w:hAnsi="Arial" w:cs="Arial"/>
          <w:sz w:val="24"/>
          <w:szCs w:val="24"/>
        </w:rPr>
        <w:t xml:space="preserve"> family members and </w:t>
      </w:r>
      <w:r>
        <w:rPr>
          <w:rFonts w:ascii="Arial" w:eastAsia="DengXian" w:hAnsi="Arial" w:cs="Arial"/>
          <w:sz w:val="24"/>
          <w:szCs w:val="24"/>
        </w:rPr>
        <w:t>caregivers</w:t>
      </w:r>
      <w:r w:rsidRPr="005969A7">
        <w:rPr>
          <w:rFonts w:ascii="Arial" w:hAnsi="Arial" w:cs="Arial"/>
          <w:sz w:val="24"/>
          <w:szCs w:val="24"/>
        </w:rPr>
        <w:t xml:space="preserve"> who </w:t>
      </w:r>
      <w:r>
        <w:rPr>
          <w:rFonts w:ascii="Arial" w:eastAsia="DengXian" w:hAnsi="Arial" w:cs="Arial"/>
          <w:sz w:val="24"/>
          <w:szCs w:val="24"/>
        </w:rPr>
        <w:t xml:space="preserve">lived </w:t>
      </w:r>
      <w:r w:rsidRPr="005969A7">
        <w:rPr>
          <w:rFonts w:ascii="Arial" w:hAnsi="Arial" w:cs="Arial"/>
          <w:sz w:val="24"/>
          <w:szCs w:val="24"/>
        </w:rPr>
        <w:t>with t</w:t>
      </w:r>
      <w:r w:rsidRPr="005969A7">
        <w:rPr>
          <w:rFonts w:ascii="Arial" w:hAnsi="Arial" w:cs="Arial"/>
          <w:sz w:val="24"/>
          <w:szCs w:val="24"/>
        </w:rPr>
        <w:t>he patient.</w:t>
      </w:r>
      <w:bookmarkEnd w:id="2"/>
      <w:bookmarkEnd w:id="3"/>
      <w:bookmarkEnd w:id="4"/>
    </w:p>
    <w:p w14:paraId="453E3F6A" w14:textId="77777777" w:rsidR="002879CB" w:rsidRPr="005969A7" w:rsidRDefault="002914AD" w:rsidP="00BC54CA">
      <w:pPr>
        <w:spacing w:line="480" w:lineRule="auto"/>
        <w:rPr>
          <w:rFonts w:ascii="Arial" w:hAnsi="Arial" w:cs="Arial"/>
          <w:sz w:val="24"/>
          <w:szCs w:val="24"/>
        </w:rPr>
      </w:pPr>
      <w:r w:rsidRPr="005969A7">
        <w:rPr>
          <w:rFonts w:ascii="Arial" w:eastAsia="DengXian" w:hAnsi="Arial" w:cs="Arial"/>
          <w:b/>
          <w:bCs/>
          <w:sz w:val="24"/>
          <w:szCs w:val="24"/>
        </w:rPr>
        <w:t xml:space="preserve">Supplemental method 2 </w:t>
      </w:r>
      <w:r w:rsidRPr="005969A7">
        <w:rPr>
          <w:rFonts w:ascii="Arial" w:hAnsi="Arial" w:cs="Arial"/>
          <w:sz w:val="24"/>
          <w:szCs w:val="24"/>
        </w:rPr>
        <w:t xml:space="preserve">Quantitative real-time PCR analysis of </w:t>
      </w:r>
      <w:r>
        <w:rPr>
          <w:rFonts w:ascii="Arial" w:eastAsia="DengXian" w:hAnsi="Arial" w:cs="Arial"/>
          <w:sz w:val="24"/>
          <w:szCs w:val="24"/>
        </w:rPr>
        <w:t xml:space="preserve">the </w:t>
      </w:r>
      <w:r w:rsidRPr="005969A7">
        <w:rPr>
          <w:rFonts w:ascii="Arial" w:hAnsi="Arial" w:cs="Arial"/>
          <w:i/>
          <w:iCs/>
          <w:sz w:val="24"/>
          <w:szCs w:val="24"/>
        </w:rPr>
        <w:t>Roseburia</w:t>
      </w:r>
      <w:r w:rsidRPr="005969A7">
        <w:rPr>
          <w:rFonts w:ascii="Arial" w:hAnsi="Arial" w:cs="Arial"/>
          <w:sz w:val="24"/>
          <w:szCs w:val="24"/>
        </w:rPr>
        <w:t xml:space="preserve"> genus and </w:t>
      </w:r>
      <w:r w:rsidRPr="005969A7">
        <w:rPr>
          <w:rFonts w:ascii="Arial" w:hAnsi="Arial" w:cs="Arial"/>
          <w:i/>
          <w:iCs/>
          <w:sz w:val="24"/>
          <w:szCs w:val="24"/>
        </w:rPr>
        <w:t>Escherichia</w:t>
      </w:r>
      <w:r w:rsidRPr="005969A7">
        <w:rPr>
          <w:rFonts w:ascii="Arial" w:hAnsi="Arial" w:cs="Arial"/>
          <w:sz w:val="24"/>
          <w:szCs w:val="24"/>
        </w:rPr>
        <w:t xml:space="preserve"> genus in all participants.</w:t>
      </w:r>
    </w:p>
    <w:p w14:paraId="00139250" w14:textId="3365E227" w:rsidR="002879CB" w:rsidRPr="005969A7" w:rsidRDefault="002914AD" w:rsidP="00BC54CA">
      <w:pPr>
        <w:spacing w:line="480" w:lineRule="auto"/>
        <w:ind w:firstLineChars="100" w:firstLine="240"/>
        <w:rPr>
          <w:rFonts w:ascii="Arial" w:hAnsi="Arial" w:cs="Arial"/>
          <w:sz w:val="24"/>
          <w:szCs w:val="24"/>
        </w:rPr>
      </w:pPr>
      <w:r w:rsidRPr="005969A7">
        <w:rPr>
          <w:rFonts w:ascii="Arial" w:hAnsi="Arial" w:cs="Arial"/>
          <w:sz w:val="24"/>
          <w:szCs w:val="24"/>
        </w:rPr>
        <w:lastRenderedPageBreak/>
        <w:t xml:space="preserve">Faecal microbial DNA was extracted from each sample using the QIAamp® Fast DNA Stool Mini Kit (QIAGEN, Hilden, Germany) </w:t>
      </w:r>
      <w:r w:rsidRPr="005969A7">
        <w:rPr>
          <w:rFonts w:ascii="Arial" w:hAnsi="Arial" w:cs="Arial"/>
          <w:sz w:val="24"/>
          <w:szCs w:val="24"/>
        </w:rPr>
        <w:t>following the manufacturer’s instructions. Real-time PCR assays were performed using an Applied Biosystems ViiA 7TM Real-Time PCR System (Applied Biosystems, Foster City, CA, USA). The abundance of the total bacterial community (16S rRNA gene) and the gene</w:t>
      </w:r>
      <w:r w:rsidRPr="005969A7">
        <w:rPr>
          <w:rFonts w:ascii="Arial" w:hAnsi="Arial" w:cs="Arial"/>
          <w:sz w:val="24"/>
          <w:szCs w:val="24"/>
        </w:rPr>
        <w:t xml:space="preserve">ra of the </w:t>
      </w:r>
      <w:r w:rsidRPr="005969A7">
        <w:rPr>
          <w:rFonts w:ascii="Arial" w:hAnsi="Arial" w:cs="Arial"/>
          <w:i/>
          <w:iCs/>
          <w:sz w:val="24"/>
          <w:szCs w:val="24"/>
        </w:rPr>
        <w:t>Roseburia</w:t>
      </w:r>
      <w:r w:rsidRPr="005969A7">
        <w:rPr>
          <w:rFonts w:ascii="Arial" w:hAnsi="Arial" w:cs="Arial"/>
          <w:sz w:val="24"/>
          <w:szCs w:val="24"/>
        </w:rPr>
        <w:t xml:space="preserve"> and </w:t>
      </w:r>
      <w:r w:rsidRPr="005969A7">
        <w:rPr>
          <w:rFonts w:ascii="Arial" w:hAnsi="Arial" w:cs="Arial"/>
          <w:i/>
          <w:iCs/>
          <w:sz w:val="24"/>
          <w:szCs w:val="24"/>
        </w:rPr>
        <w:t>Escherichia</w:t>
      </w:r>
      <w:r w:rsidRPr="005969A7">
        <w:rPr>
          <w:rFonts w:ascii="Arial" w:hAnsi="Arial" w:cs="Arial"/>
          <w:sz w:val="24"/>
          <w:szCs w:val="24"/>
        </w:rPr>
        <w:t xml:space="preserve"> communities (16S rRNA gene) in the faecal samples was determined. Real-time PCR was performed for each extraction in triplicate, and the average values were then transformed to Log of gene copies per gram of dry faeces. </w:t>
      </w:r>
      <w:r w:rsidRPr="005969A7">
        <w:rPr>
          <w:rFonts w:ascii="Arial" w:hAnsi="Arial" w:cs="Arial"/>
          <w:sz w:val="24"/>
          <w:szCs w:val="24"/>
        </w:rPr>
        <w:t>The following table summarizes the primers and real-time PCR conditions.</w:t>
      </w:r>
    </w:p>
    <w:p w14:paraId="09E0C183" w14:textId="77777777" w:rsidR="002879CB" w:rsidRPr="005969A7" w:rsidRDefault="002914AD" w:rsidP="00BC54CA">
      <w:pPr>
        <w:widowControl/>
        <w:spacing w:line="480" w:lineRule="auto"/>
        <w:ind w:leftChars="-1" w:left="-1" w:rightChars="-162" w:right="-340" w:hanging="1"/>
        <w:rPr>
          <w:rFonts w:ascii="Arial" w:eastAsia="DengXian" w:hAnsi="Arial" w:cs="Arial"/>
          <w:kern w:val="0"/>
          <w:sz w:val="22"/>
        </w:rPr>
      </w:pPr>
      <w:r w:rsidRPr="005969A7">
        <w:rPr>
          <w:rFonts w:ascii="Arial" w:eastAsia="DengXian" w:hAnsi="Arial" w:cs="Arial"/>
          <w:kern w:val="0"/>
          <w:sz w:val="22"/>
        </w:rPr>
        <w:t>Description of the primer sets and amplification conditions for the quantitative real-time PCR assays.</w:t>
      </w:r>
    </w:p>
    <w:tbl>
      <w:tblPr>
        <w:tblW w:w="10030" w:type="dxa"/>
        <w:jc w:val="center"/>
        <w:tblLook w:val="04A0" w:firstRow="1" w:lastRow="0" w:firstColumn="1" w:lastColumn="0" w:noHBand="0" w:noVBand="1"/>
      </w:tblPr>
      <w:tblGrid>
        <w:gridCol w:w="2108"/>
        <w:gridCol w:w="742"/>
        <w:gridCol w:w="1419"/>
        <w:gridCol w:w="3320"/>
        <w:gridCol w:w="1840"/>
        <w:gridCol w:w="1349"/>
      </w:tblGrid>
      <w:tr w:rsidR="00522A36" w14:paraId="1D475082" w14:textId="77777777" w:rsidTr="000E2DD6">
        <w:trPr>
          <w:trHeight w:val="612"/>
          <w:jc w:val="center"/>
        </w:trPr>
        <w:tc>
          <w:tcPr>
            <w:tcW w:w="1360" w:type="dxa"/>
            <w:tcBorders>
              <w:top w:val="single" w:sz="4" w:space="0" w:color="auto"/>
              <w:left w:val="nil"/>
              <w:bottom w:val="nil"/>
              <w:right w:val="nil"/>
            </w:tcBorders>
            <w:shd w:val="clear" w:color="auto" w:fill="auto"/>
            <w:vAlign w:val="center"/>
            <w:hideMark/>
          </w:tcPr>
          <w:p w14:paraId="0E6C65C8" w14:textId="77777777" w:rsidR="002879CB" w:rsidRPr="005969A7" w:rsidRDefault="002914AD" w:rsidP="00BC54CA">
            <w:pPr>
              <w:widowControl/>
              <w:spacing w:line="480" w:lineRule="auto"/>
              <w:rPr>
                <w:rFonts w:ascii="Arial" w:eastAsia="DengXian" w:hAnsi="Arial" w:cs="Arial"/>
                <w:b/>
                <w:bCs/>
                <w:kern w:val="0"/>
                <w:szCs w:val="21"/>
              </w:rPr>
            </w:pPr>
            <w:r w:rsidRPr="005969A7">
              <w:rPr>
                <w:rFonts w:ascii="Arial" w:eastAsia="DengXian" w:hAnsi="Arial" w:cs="Arial"/>
                <w:b/>
                <w:bCs/>
                <w:kern w:val="0"/>
                <w:szCs w:val="21"/>
              </w:rPr>
              <w:t>Bacteria</w:t>
            </w:r>
          </w:p>
        </w:tc>
        <w:tc>
          <w:tcPr>
            <w:tcW w:w="742" w:type="dxa"/>
            <w:tcBorders>
              <w:top w:val="single" w:sz="4" w:space="0" w:color="auto"/>
              <w:left w:val="nil"/>
              <w:bottom w:val="nil"/>
              <w:right w:val="nil"/>
            </w:tcBorders>
            <w:shd w:val="clear" w:color="auto" w:fill="auto"/>
            <w:vAlign w:val="center"/>
            <w:hideMark/>
          </w:tcPr>
          <w:p w14:paraId="6F896AB6" w14:textId="77777777" w:rsidR="002879CB" w:rsidRPr="005969A7" w:rsidRDefault="002914AD" w:rsidP="00BC54CA">
            <w:pPr>
              <w:widowControl/>
              <w:spacing w:line="480" w:lineRule="auto"/>
              <w:rPr>
                <w:rFonts w:ascii="Arial" w:eastAsia="DengXian" w:hAnsi="Arial" w:cs="Arial"/>
                <w:b/>
                <w:bCs/>
                <w:kern w:val="0"/>
                <w:szCs w:val="21"/>
              </w:rPr>
            </w:pPr>
            <w:r w:rsidRPr="005969A7">
              <w:rPr>
                <w:rFonts w:ascii="Arial" w:eastAsia="DengXian" w:hAnsi="Arial" w:cs="Arial"/>
                <w:b/>
                <w:bCs/>
                <w:kern w:val="0"/>
                <w:szCs w:val="21"/>
              </w:rPr>
              <w:t>Gene</w:t>
            </w:r>
          </w:p>
        </w:tc>
        <w:tc>
          <w:tcPr>
            <w:tcW w:w="4739" w:type="dxa"/>
            <w:gridSpan w:val="2"/>
            <w:tcBorders>
              <w:top w:val="single" w:sz="4" w:space="0" w:color="auto"/>
              <w:left w:val="nil"/>
              <w:bottom w:val="nil"/>
              <w:right w:val="nil"/>
            </w:tcBorders>
            <w:shd w:val="clear" w:color="auto" w:fill="auto"/>
            <w:noWrap/>
            <w:vAlign w:val="center"/>
            <w:hideMark/>
          </w:tcPr>
          <w:p w14:paraId="05CFB396" w14:textId="77777777" w:rsidR="002879CB" w:rsidRPr="005969A7" w:rsidRDefault="002914AD" w:rsidP="00BC54CA">
            <w:pPr>
              <w:widowControl/>
              <w:spacing w:line="480" w:lineRule="auto"/>
              <w:rPr>
                <w:rFonts w:ascii="Arial" w:eastAsia="DengXian" w:hAnsi="Arial" w:cs="Arial"/>
                <w:b/>
                <w:bCs/>
                <w:kern w:val="0"/>
                <w:szCs w:val="21"/>
              </w:rPr>
            </w:pPr>
            <w:r w:rsidRPr="005969A7">
              <w:rPr>
                <w:rFonts w:ascii="Arial" w:eastAsia="DengXian" w:hAnsi="Arial" w:cs="Arial"/>
                <w:b/>
                <w:bCs/>
                <w:kern w:val="0"/>
                <w:szCs w:val="21"/>
              </w:rPr>
              <w:t>Primers</w:t>
            </w:r>
          </w:p>
        </w:tc>
        <w:tc>
          <w:tcPr>
            <w:tcW w:w="1840" w:type="dxa"/>
            <w:tcBorders>
              <w:top w:val="single" w:sz="4" w:space="0" w:color="auto"/>
              <w:left w:val="nil"/>
              <w:bottom w:val="nil"/>
              <w:right w:val="nil"/>
            </w:tcBorders>
            <w:shd w:val="clear" w:color="auto" w:fill="auto"/>
            <w:noWrap/>
            <w:vAlign w:val="center"/>
            <w:hideMark/>
          </w:tcPr>
          <w:p w14:paraId="0C293F50" w14:textId="77777777" w:rsidR="002879CB" w:rsidRPr="005969A7" w:rsidRDefault="002914AD" w:rsidP="00BC54CA">
            <w:pPr>
              <w:widowControl/>
              <w:spacing w:line="480" w:lineRule="auto"/>
              <w:rPr>
                <w:rFonts w:ascii="Arial" w:eastAsia="DengXian" w:hAnsi="Arial" w:cs="Arial"/>
                <w:b/>
                <w:bCs/>
                <w:kern w:val="0"/>
                <w:szCs w:val="21"/>
              </w:rPr>
            </w:pPr>
            <w:r w:rsidRPr="005969A7">
              <w:rPr>
                <w:rFonts w:ascii="Arial" w:eastAsia="DengXian" w:hAnsi="Arial" w:cs="Arial"/>
                <w:b/>
                <w:bCs/>
                <w:kern w:val="0"/>
                <w:szCs w:val="21"/>
              </w:rPr>
              <w:t>Real-time PCR conditions</w:t>
            </w:r>
          </w:p>
        </w:tc>
        <w:tc>
          <w:tcPr>
            <w:tcW w:w="1349" w:type="dxa"/>
            <w:tcBorders>
              <w:top w:val="single" w:sz="4" w:space="0" w:color="auto"/>
              <w:left w:val="nil"/>
              <w:bottom w:val="nil"/>
              <w:right w:val="nil"/>
            </w:tcBorders>
            <w:shd w:val="clear" w:color="auto" w:fill="auto"/>
            <w:vAlign w:val="center"/>
            <w:hideMark/>
          </w:tcPr>
          <w:p w14:paraId="256E8DEC" w14:textId="77777777" w:rsidR="002879CB" w:rsidRPr="005969A7" w:rsidRDefault="002914AD" w:rsidP="00BC54CA">
            <w:pPr>
              <w:widowControl/>
              <w:spacing w:line="480" w:lineRule="auto"/>
              <w:rPr>
                <w:rFonts w:ascii="Arial" w:eastAsia="DengXian" w:hAnsi="Arial" w:cs="Arial"/>
                <w:b/>
                <w:bCs/>
                <w:kern w:val="0"/>
                <w:szCs w:val="21"/>
              </w:rPr>
            </w:pPr>
            <w:r w:rsidRPr="005969A7">
              <w:rPr>
                <w:rFonts w:ascii="Arial" w:eastAsia="DengXian" w:hAnsi="Arial" w:cs="Arial"/>
                <w:b/>
                <w:bCs/>
                <w:kern w:val="0"/>
                <w:szCs w:val="21"/>
              </w:rPr>
              <w:t>References</w:t>
            </w:r>
          </w:p>
        </w:tc>
      </w:tr>
      <w:tr w:rsidR="00522A36" w14:paraId="22D4AB61" w14:textId="77777777" w:rsidTr="000E2DD6">
        <w:trPr>
          <w:trHeight w:val="792"/>
          <w:jc w:val="center"/>
        </w:trPr>
        <w:tc>
          <w:tcPr>
            <w:tcW w:w="1360" w:type="dxa"/>
            <w:vMerge w:val="restart"/>
            <w:tcBorders>
              <w:top w:val="single" w:sz="4" w:space="0" w:color="auto"/>
              <w:left w:val="nil"/>
              <w:bottom w:val="nil"/>
              <w:right w:val="nil"/>
            </w:tcBorders>
            <w:shd w:val="clear" w:color="auto" w:fill="auto"/>
            <w:vAlign w:val="center"/>
            <w:hideMark/>
          </w:tcPr>
          <w:p w14:paraId="53E8406D"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 xml:space="preserve">Total </w:t>
            </w:r>
            <w:r w:rsidRPr="005969A7">
              <w:rPr>
                <w:rFonts w:ascii="Arial" w:eastAsia="DengXian" w:hAnsi="Arial" w:cs="Arial"/>
                <w:kern w:val="0"/>
                <w:szCs w:val="21"/>
              </w:rPr>
              <w:t>bacterial quantity</w:t>
            </w:r>
          </w:p>
        </w:tc>
        <w:tc>
          <w:tcPr>
            <w:tcW w:w="742" w:type="dxa"/>
            <w:vMerge w:val="restart"/>
            <w:tcBorders>
              <w:top w:val="single" w:sz="4" w:space="0" w:color="auto"/>
              <w:left w:val="nil"/>
              <w:bottom w:val="nil"/>
              <w:right w:val="nil"/>
            </w:tcBorders>
            <w:shd w:val="clear" w:color="auto" w:fill="auto"/>
            <w:vAlign w:val="center"/>
            <w:hideMark/>
          </w:tcPr>
          <w:p w14:paraId="0FFC6E17"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16s rRNA gene</w:t>
            </w:r>
          </w:p>
        </w:tc>
        <w:tc>
          <w:tcPr>
            <w:tcW w:w="1419" w:type="dxa"/>
            <w:tcBorders>
              <w:top w:val="single" w:sz="4" w:space="0" w:color="auto"/>
              <w:left w:val="nil"/>
              <w:bottom w:val="nil"/>
              <w:right w:val="nil"/>
            </w:tcBorders>
            <w:shd w:val="clear" w:color="auto" w:fill="auto"/>
            <w:noWrap/>
            <w:vAlign w:val="center"/>
            <w:hideMark/>
          </w:tcPr>
          <w:p w14:paraId="62182FAF"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Uni331modF</w:t>
            </w:r>
          </w:p>
        </w:tc>
        <w:tc>
          <w:tcPr>
            <w:tcW w:w="3320" w:type="dxa"/>
            <w:tcBorders>
              <w:top w:val="single" w:sz="4" w:space="0" w:color="auto"/>
              <w:left w:val="nil"/>
              <w:bottom w:val="nil"/>
              <w:right w:val="nil"/>
            </w:tcBorders>
            <w:shd w:val="clear" w:color="auto" w:fill="auto"/>
            <w:vAlign w:val="bottom"/>
            <w:hideMark/>
          </w:tcPr>
          <w:p w14:paraId="54EA49C7"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TCCTACGGGAGGCAGCAGTG</w:t>
            </w:r>
          </w:p>
        </w:tc>
        <w:tc>
          <w:tcPr>
            <w:tcW w:w="1840" w:type="dxa"/>
            <w:vMerge w:val="restart"/>
            <w:tcBorders>
              <w:top w:val="single" w:sz="4" w:space="0" w:color="auto"/>
              <w:left w:val="nil"/>
              <w:bottom w:val="nil"/>
              <w:right w:val="nil"/>
            </w:tcBorders>
            <w:shd w:val="clear" w:color="auto" w:fill="auto"/>
            <w:vAlign w:val="center"/>
            <w:hideMark/>
          </w:tcPr>
          <w:p w14:paraId="3B1D4523" w14:textId="4F8DF278"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95</w:t>
            </w:r>
            <w:r w:rsidRPr="005969A7">
              <w:rPr>
                <w:rFonts w:ascii="SimSun" w:eastAsia="SimSun" w:hAnsi="SimSun" w:cs="SimSun" w:hint="eastAsia"/>
                <w:kern w:val="0"/>
                <w:szCs w:val="21"/>
              </w:rPr>
              <w:t>℃</w:t>
            </w:r>
            <w:r w:rsidRPr="005969A7">
              <w:rPr>
                <w:rFonts w:ascii="Arial" w:eastAsia="DengXian" w:hAnsi="Arial" w:cs="Arial"/>
                <w:kern w:val="0"/>
                <w:szCs w:val="21"/>
              </w:rPr>
              <w:t xml:space="preserve"> 5 min; 45 cycles 95°C 15”, 60°C 60”, 95°C 15”</w:t>
            </w:r>
          </w:p>
        </w:tc>
        <w:tc>
          <w:tcPr>
            <w:tcW w:w="1349" w:type="dxa"/>
            <w:vMerge w:val="restart"/>
            <w:tcBorders>
              <w:top w:val="single" w:sz="4" w:space="0" w:color="auto"/>
              <w:left w:val="nil"/>
              <w:bottom w:val="nil"/>
              <w:right w:val="nil"/>
            </w:tcBorders>
            <w:shd w:val="clear" w:color="auto" w:fill="auto"/>
            <w:vAlign w:val="center"/>
            <w:hideMark/>
          </w:tcPr>
          <w:p w14:paraId="6CF2347E"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Cindy et al., 2020</w:t>
            </w:r>
          </w:p>
        </w:tc>
      </w:tr>
      <w:tr w:rsidR="00522A36" w14:paraId="520C156B" w14:textId="77777777" w:rsidTr="000E2DD6">
        <w:trPr>
          <w:trHeight w:val="792"/>
          <w:jc w:val="center"/>
        </w:trPr>
        <w:tc>
          <w:tcPr>
            <w:tcW w:w="1360" w:type="dxa"/>
            <w:vMerge/>
            <w:tcBorders>
              <w:top w:val="single" w:sz="4" w:space="0" w:color="auto"/>
              <w:left w:val="nil"/>
              <w:bottom w:val="nil"/>
              <w:right w:val="nil"/>
            </w:tcBorders>
            <w:vAlign w:val="center"/>
            <w:hideMark/>
          </w:tcPr>
          <w:p w14:paraId="53BF6767" w14:textId="77777777" w:rsidR="002879CB" w:rsidRPr="005969A7" w:rsidRDefault="002879CB" w:rsidP="00BC54CA">
            <w:pPr>
              <w:widowControl/>
              <w:spacing w:line="480" w:lineRule="auto"/>
              <w:rPr>
                <w:rFonts w:ascii="Arial" w:eastAsia="DengXian" w:hAnsi="Arial" w:cs="Arial"/>
                <w:kern w:val="0"/>
                <w:szCs w:val="21"/>
              </w:rPr>
            </w:pPr>
          </w:p>
        </w:tc>
        <w:tc>
          <w:tcPr>
            <w:tcW w:w="742" w:type="dxa"/>
            <w:vMerge/>
            <w:tcBorders>
              <w:top w:val="single" w:sz="4" w:space="0" w:color="auto"/>
              <w:left w:val="nil"/>
              <w:bottom w:val="nil"/>
              <w:right w:val="nil"/>
            </w:tcBorders>
            <w:vAlign w:val="center"/>
            <w:hideMark/>
          </w:tcPr>
          <w:p w14:paraId="70EEB8FA" w14:textId="77777777" w:rsidR="002879CB" w:rsidRPr="005969A7" w:rsidRDefault="002879CB" w:rsidP="00BC54CA">
            <w:pPr>
              <w:widowControl/>
              <w:spacing w:line="480" w:lineRule="auto"/>
              <w:rPr>
                <w:rFonts w:ascii="Arial" w:eastAsia="DengXian" w:hAnsi="Arial" w:cs="Arial"/>
                <w:kern w:val="0"/>
                <w:szCs w:val="21"/>
              </w:rPr>
            </w:pPr>
          </w:p>
        </w:tc>
        <w:tc>
          <w:tcPr>
            <w:tcW w:w="1419" w:type="dxa"/>
            <w:tcBorders>
              <w:top w:val="nil"/>
              <w:left w:val="nil"/>
              <w:bottom w:val="nil"/>
              <w:right w:val="nil"/>
            </w:tcBorders>
            <w:shd w:val="clear" w:color="auto" w:fill="auto"/>
            <w:noWrap/>
            <w:vAlign w:val="center"/>
            <w:hideMark/>
          </w:tcPr>
          <w:p w14:paraId="113B3181"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E533modR</w:t>
            </w:r>
          </w:p>
        </w:tc>
        <w:tc>
          <w:tcPr>
            <w:tcW w:w="3320" w:type="dxa"/>
            <w:tcBorders>
              <w:top w:val="nil"/>
              <w:left w:val="nil"/>
              <w:bottom w:val="nil"/>
              <w:right w:val="nil"/>
            </w:tcBorders>
            <w:shd w:val="clear" w:color="auto" w:fill="auto"/>
            <w:hideMark/>
          </w:tcPr>
          <w:p w14:paraId="26E6DDE2"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TTACCGCGGCTGCTGGCACG</w:t>
            </w:r>
          </w:p>
        </w:tc>
        <w:tc>
          <w:tcPr>
            <w:tcW w:w="1840" w:type="dxa"/>
            <w:vMerge/>
            <w:tcBorders>
              <w:top w:val="single" w:sz="4" w:space="0" w:color="auto"/>
              <w:left w:val="nil"/>
              <w:bottom w:val="nil"/>
              <w:right w:val="nil"/>
            </w:tcBorders>
            <w:vAlign w:val="center"/>
            <w:hideMark/>
          </w:tcPr>
          <w:p w14:paraId="01DAED8A" w14:textId="77777777" w:rsidR="002879CB" w:rsidRPr="005969A7" w:rsidRDefault="002879CB" w:rsidP="00BC54CA">
            <w:pPr>
              <w:widowControl/>
              <w:spacing w:line="480" w:lineRule="auto"/>
              <w:rPr>
                <w:rFonts w:ascii="Arial" w:eastAsia="DengXian" w:hAnsi="Arial" w:cs="Arial"/>
                <w:kern w:val="0"/>
                <w:szCs w:val="21"/>
              </w:rPr>
            </w:pPr>
          </w:p>
        </w:tc>
        <w:tc>
          <w:tcPr>
            <w:tcW w:w="1349" w:type="dxa"/>
            <w:vMerge/>
            <w:tcBorders>
              <w:top w:val="single" w:sz="4" w:space="0" w:color="auto"/>
              <w:left w:val="nil"/>
              <w:bottom w:val="nil"/>
              <w:right w:val="nil"/>
            </w:tcBorders>
            <w:vAlign w:val="center"/>
            <w:hideMark/>
          </w:tcPr>
          <w:p w14:paraId="46D770B8" w14:textId="77777777" w:rsidR="002879CB" w:rsidRPr="005969A7" w:rsidRDefault="002879CB" w:rsidP="00BC54CA">
            <w:pPr>
              <w:widowControl/>
              <w:spacing w:line="480" w:lineRule="auto"/>
              <w:rPr>
                <w:rFonts w:ascii="Arial" w:eastAsia="DengXian" w:hAnsi="Arial" w:cs="Arial"/>
                <w:kern w:val="0"/>
                <w:szCs w:val="21"/>
              </w:rPr>
            </w:pPr>
          </w:p>
        </w:tc>
      </w:tr>
      <w:tr w:rsidR="00522A36" w14:paraId="593A72A3" w14:textId="77777777" w:rsidTr="000E2DD6">
        <w:trPr>
          <w:trHeight w:val="792"/>
          <w:jc w:val="center"/>
        </w:trPr>
        <w:tc>
          <w:tcPr>
            <w:tcW w:w="1360" w:type="dxa"/>
            <w:vMerge w:val="restart"/>
            <w:tcBorders>
              <w:top w:val="nil"/>
              <w:left w:val="nil"/>
              <w:bottom w:val="nil"/>
              <w:right w:val="nil"/>
            </w:tcBorders>
            <w:shd w:val="clear" w:color="auto" w:fill="auto"/>
            <w:vAlign w:val="center"/>
            <w:hideMark/>
          </w:tcPr>
          <w:p w14:paraId="349E7ACB" w14:textId="139BB339"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Escherichia/Shigella spp</w:t>
            </w:r>
          </w:p>
        </w:tc>
        <w:tc>
          <w:tcPr>
            <w:tcW w:w="742" w:type="dxa"/>
            <w:vMerge w:val="restart"/>
            <w:tcBorders>
              <w:top w:val="nil"/>
              <w:left w:val="nil"/>
              <w:bottom w:val="nil"/>
              <w:right w:val="nil"/>
            </w:tcBorders>
            <w:shd w:val="clear" w:color="auto" w:fill="auto"/>
            <w:vAlign w:val="center"/>
            <w:hideMark/>
          </w:tcPr>
          <w:p w14:paraId="3ED99E2E"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16s rRNA gene</w:t>
            </w:r>
          </w:p>
        </w:tc>
        <w:tc>
          <w:tcPr>
            <w:tcW w:w="1419" w:type="dxa"/>
            <w:tcBorders>
              <w:top w:val="nil"/>
              <w:left w:val="nil"/>
              <w:bottom w:val="nil"/>
              <w:right w:val="nil"/>
            </w:tcBorders>
            <w:shd w:val="clear" w:color="auto" w:fill="auto"/>
            <w:noWrap/>
            <w:vAlign w:val="center"/>
            <w:hideMark/>
          </w:tcPr>
          <w:p w14:paraId="3D961BC9"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EcoliPenF</w:t>
            </w:r>
          </w:p>
        </w:tc>
        <w:tc>
          <w:tcPr>
            <w:tcW w:w="3320" w:type="dxa"/>
            <w:tcBorders>
              <w:top w:val="nil"/>
              <w:left w:val="nil"/>
              <w:bottom w:val="nil"/>
              <w:right w:val="nil"/>
            </w:tcBorders>
            <w:shd w:val="clear" w:color="auto" w:fill="auto"/>
            <w:vAlign w:val="bottom"/>
            <w:hideMark/>
          </w:tcPr>
          <w:p w14:paraId="42B4B607"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CATGCCGCGTGTATGAAGAA</w:t>
            </w:r>
          </w:p>
        </w:tc>
        <w:tc>
          <w:tcPr>
            <w:tcW w:w="1840" w:type="dxa"/>
            <w:vMerge w:val="restart"/>
            <w:tcBorders>
              <w:top w:val="nil"/>
              <w:left w:val="nil"/>
              <w:bottom w:val="nil"/>
              <w:right w:val="nil"/>
            </w:tcBorders>
            <w:shd w:val="clear" w:color="auto" w:fill="auto"/>
            <w:vAlign w:val="center"/>
            <w:hideMark/>
          </w:tcPr>
          <w:p w14:paraId="29B7F360" w14:textId="57374C13"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95</w:t>
            </w:r>
            <w:r w:rsidRPr="005969A7">
              <w:rPr>
                <w:rFonts w:ascii="SimSun" w:eastAsia="SimSun" w:hAnsi="SimSun" w:cs="SimSun" w:hint="eastAsia"/>
                <w:kern w:val="0"/>
                <w:szCs w:val="21"/>
              </w:rPr>
              <w:t>℃</w:t>
            </w:r>
            <w:r w:rsidRPr="005969A7">
              <w:rPr>
                <w:rFonts w:ascii="Arial" w:eastAsia="DengXian" w:hAnsi="Arial" w:cs="Arial"/>
                <w:kern w:val="0"/>
                <w:szCs w:val="21"/>
              </w:rPr>
              <w:t xml:space="preserve"> 5 min; 45 cycles 95°C 15”, 60°C 60”, 95°C 15”</w:t>
            </w:r>
          </w:p>
        </w:tc>
        <w:tc>
          <w:tcPr>
            <w:tcW w:w="1349" w:type="dxa"/>
            <w:vMerge w:val="restart"/>
            <w:tcBorders>
              <w:top w:val="nil"/>
              <w:left w:val="nil"/>
              <w:bottom w:val="nil"/>
              <w:right w:val="nil"/>
            </w:tcBorders>
            <w:shd w:val="clear" w:color="auto" w:fill="auto"/>
            <w:vAlign w:val="center"/>
            <w:hideMark/>
          </w:tcPr>
          <w:p w14:paraId="110072A2"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Fanny B. et al., 2015</w:t>
            </w:r>
          </w:p>
        </w:tc>
      </w:tr>
      <w:tr w:rsidR="00522A36" w14:paraId="4F65387B" w14:textId="77777777" w:rsidTr="000E2DD6">
        <w:trPr>
          <w:trHeight w:val="792"/>
          <w:jc w:val="center"/>
        </w:trPr>
        <w:tc>
          <w:tcPr>
            <w:tcW w:w="1360" w:type="dxa"/>
            <w:vMerge/>
            <w:tcBorders>
              <w:top w:val="nil"/>
              <w:left w:val="nil"/>
              <w:bottom w:val="nil"/>
              <w:right w:val="nil"/>
            </w:tcBorders>
            <w:vAlign w:val="center"/>
            <w:hideMark/>
          </w:tcPr>
          <w:p w14:paraId="324CC37D" w14:textId="77777777" w:rsidR="002879CB" w:rsidRPr="005969A7" w:rsidRDefault="002879CB" w:rsidP="00BC54CA">
            <w:pPr>
              <w:widowControl/>
              <w:spacing w:line="480" w:lineRule="auto"/>
              <w:rPr>
                <w:rFonts w:ascii="Arial" w:eastAsia="DengXian" w:hAnsi="Arial" w:cs="Arial"/>
                <w:kern w:val="0"/>
                <w:szCs w:val="21"/>
              </w:rPr>
            </w:pPr>
          </w:p>
        </w:tc>
        <w:tc>
          <w:tcPr>
            <w:tcW w:w="742" w:type="dxa"/>
            <w:vMerge/>
            <w:tcBorders>
              <w:top w:val="nil"/>
              <w:left w:val="nil"/>
              <w:bottom w:val="nil"/>
              <w:right w:val="nil"/>
            </w:tcBorders>
            <w:vAlign w:val="center"/>
            <w:hideMark/>
          </w:tcPr>
          <w:p w14:paraId="45F457F2" w14:textId="77777777" w:rsidR="002879CB" w:rsidRPr="005969A7" w:rsidRDefault="002879CB" w:rsidP="00BC54CA">
            <w:pPr>
              <w:widowControl/>
              <w:spacing w:line="480" w:lineRule="auto"/>
              <w:rPr>
                <w:rFonts w:ascii="Arial" w:eastAsia="DengXian" w:hAnsi="Arial" w:cs="Arial"/>
                <w:kern w:val="0"/>
                <w:szCs w:val="21"/>
              </w:rPr>
            </w:pPr>
          </w:p>
        </w:tc>
        <w:tc>
          <w:tcPr>
            <w:tcW w:w="1419" w:type="dxa"/>
            <w:tcBorders>
              <w:top w:val="nil"/>
              <w:left w:val="nil"/>
              <w:bottom w:val="nil"/>
              <w:right w:val="nil"/>
            </w:tcBorders>
            <w:shd w:val="clear" w:color="auto" w:fill="auto"/>
            <w:noWrap/>
            <w:vAlign w:val="center"/>
            <w:hideMark/>
          </w:tcPr>
          <w:p w14:paraId="49DEA7F8"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EcoliPenR</w:t>
            </w:r>
          </w:p>
        </w:tc>
        <w:tc>
          <w:tcPr>
            <w:tcW w:w="3320" w:type="dxa"/>
            <w:tcBorders>
              <w:top w:val="nil"/>
              <w:left w:val="nil"/>
              <w:bottom w:val="nil"/>
              <w:right w:val="nil"/>
            </w:tcBorders>
            <w:shd w:val="clear" w:color="auto" w:fill="auto"/>
            <w:hideMark/>
          </w:tcPr>
          <w:p w14:paraId="7DDEB2C0"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CGGGTAACGTCAATGAGCAAA</w:t>
            </w:r>
          </w:p>
        </w:tc>
        <w:tc>
          <w:tcPr>
            <w:tcW w:w="1840" w:type="dxa"/>
            <w:vMerge/>
            <w:tcBorders>
              <w:top w:val="nil"/>
              <w:left w:val="nil"/>
              <w:bottom w:val="nil"/>
              <w:right w:val="nil"/>
            </w:tcBorders>
            <w:vAlign w:val="center"/>
            <w:hideMark/>
          </w:tcPr>
          <w:p w14:paraId="637C71E6" w14:textId="77777777" w:rsidR="002879CB" w:rsidRPr="005969A7" w:rsidRDefault="002879CB" w:rsidP="00BC54CA">
            <w:pPr>
              <w:widowControl/>
              <w:spacing w:line="480" w:lineRule="auto"/>
              <w:rPr>
                <w:rFonts w:ascii="Arial" w:eastAsia="DengXian" w:hAnsi="Arial" w:cs="Arial"/>
                <w:kern w:val="0"/>
                <w:szCs w:val="21"/>
              </w:rPr>
            </w:pPr>
          </w:p>
        </w:tc>
        <w:tc>
          <w:tcPr>
            <w:tcW w:w="1349" w:type="dxa"/>
            <w:vMerge/>
            <w:tcBorders>
              <w:top w:val="nil"/>
              <w:left w:val="nil"/>
              <w:bottom w:val="nil"/>
              <w:right w:val="nil"/>
            </w:tcBorders>
            <w:vAlign w:val="center"/>
            <w:hideMark/>
          </w:tcPr>
          <w:p w14:paraId="382A7207" w14:textId="77777777" w:rsidR="002879CB" w:rsidRPr="005969A7" w:rsidRDefault="002879CB" w:rsidP="00BC54CA">
            <w:pPr>
              <w:widowControl/>
              <w:spacing w:line="480" w:lineRule="auto"/>
              <w:rPr>
                <w:rFonts w:ascii="Arial" w:eastAsia="DengXian" w:hAnsi="Arial" w:cs="Arial"/>
                <w:kern w:val="0"/>
                <w:szCs w:val="21"/>
              </w:rPr>
            </w:pPr>
          </w:p>
        </w:tc>
      </w:tr>
      <w:tr w:rsidR="00522A36" w14:paraId="0C1387FE" w14:textId="77777777" w:rsidTr="000E2DD6">
        <w:trPr>
          <w:trHeight w:val="792"/>
          <w:jc w:val="center"/>
        </w:trPr>
        <w:tc>
          <w:tcPr>
            <w:tcW w:w="1360" w:type="dxa"/>
            <w:vMerge w:val="restart"/>
            <w:tcBorders>
              <w:top w:val="nil"/>
              <w:left w:val="nil"/>
              <w:bottom w:val="single" w:sz="8" w:space="0" w:color="000000"/>
              <w:right w:val="nil"/>
            </w:tcBorders>
            <w:shd w:val="clear" w:color="auto" w:fill="auto"/>
            <w:vAlign w:val="center"/>
            <w:hideMark/>
          </w:tcPr>
          <w:p w14:paraId="79349A86"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lastRenderedPageBreak/>
              <w:t>Roseburia intestinalis</w:t>
            </w:r>
          </w:p>
        </w:tc>
        <w:tc>
          <w:tcPr>
            <w:tcW w:w="742" w:type="dxa"/>
            <w:vMerge w:val="restart"/>
            <w:tcBorders>
              <w:top w:val="nil"/>
              <w:left w:val="nil"/>
              <w:bottom w:val="single" w:sz="8" w:space="0" w:color="000000"/>
              <w:right w:val="nil"/>
            </w:tcBorders>
            <w:shd w:val="clear" w:color="auto" w:fill="auto"/>
            <w:vAlign w:val="center"/>
            <w:hideMark/>
          </w:tcPr>
          <w:p w14:paraId="721910B2"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16s rRNA gene</w:t>
            </w:r>
          </w:p>
        </w:tc>
        <w:tc>
          <w:tcPr>
            <w:tcW w:w="1419" w:type="dxa"/>
            <w:tcBorders>
              <w:top w:val="nil"/>
              <w:left w:val="nil"/>
              <w:bottom w:val="nil"/>
              <w:right w:val="nil"/>
            </w:tcBorders>
            <w:shd w:val="clear" w:color="auto" w:fill="auto"/>
            <w:noWrap/>
            <w:vAlign w:val="center"/>
            <w:hideMark/>
          </w:tcPr>
          <w:p w14:paraId="46A26CFB"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RrecF</w:t>
            </w:r>
          </w:p>
        </w:tc>
        <w:tc>
          <w:tcPr>
            <w:tcW w:w="3320" w:type="dxa"/>
            <w:tcBorders>
              <w:top w:val="nil"/>
              <w:left w:val="nil"/>
              <w:bottom w:val="nil"/>
              <w:right w:val="nil"/>
            </w:tcBorders>
            <w:shd w:val="clear" w:color="auto" w:fill="auto"/>
            <w:vAlign w:val="bottom"/>
            <w:hideMark/>
          </w:tcPr>
          <w:p w14:paraId="603BBDD0"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GCGGTRCGGCAAGTCTGA</w:t>
            </w:r>
          </w:p>
        </w:tc>
        <w:tc>
          <w:tcPr>
            <w:tcW w:w="1840" w:type="dxa"/>
            <w:vMerge w:val="restart"/>
            <w:tcBorders>
              <w:top w:val="nil"/>
              <w:left w:val="nil"/>
              <w:bottom w:val="single" w:sz="8" w:space="0" w:color="000000"/>
              <w:right w:val="nil"/>
            </w:tcBorders>
            <w:shd w:val="clear" w:color="auto" w:fill="auto"/>
            <w:vAlign w:val="center"/>
            <w:hideMark/>
          </w:tcPr>
          <w:p w14:paraId="6EEDAC3A" w14:textId="7F6E61D8"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95</w:t>
            </w:r>
            <w:r w:rsidRPr="005969A7">
              <w:rPr>
                <w:rFonts w:ascii="SimSun" w:eastAsia="SimSun" w:hAnsi="SimSun" w:cs="SimSun" w:hint="eastAsia"/>
                <w:kern w:val="0"/>
                <w:szCs w:val="21"/>
              </w:rPr>
              <w:t>℃</w:t>
            </w:r>
            <w:r w:rsidRPr="005969A7">
              <w:rPr>
                <w:rFonts w:ascii="Arial" w:eastAsia="DengXian" w:hAnsi="Arial" w:cs="Arial"/>
                <w:kern w:val="0"/>
                <w:szCs w:val="21"/>
              </w:rPr>
              <w:t xml:space="preserve"> 5 min; 45 cycles 95°C 15”, 60°C 60”, 95°C 15”</w:t>
            </w:r>
          </w:p>
        </w:tc>
        <w:tc>
          <w:tcPr>
            <w:tcW w:w="1349" w:type="dxa"/>
            <w:vMerge w:val="restart"/>
            <w:tcBorders>
              <w:top w:val="nil"/>
              <w:left w:val="nil"/>
              <w:bottom w:val="single" w:sz="8" w:space="0" w:color="000000"/>
              <w:right w:val="nil"/>
            </w:tcBorders>
            <w:shd w:val="clear" w:color="auto" w:fill="auto"/>
            <w:vAlign w:val="center"/>
            <w:hideMark/>
          </w:tcPr>
          <w:p w14:paraId="2EF51AD7"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Gui Q, et al., 2020</w:t>
            </w:r>
          </w:p>
        </w:tc>
      </w:tr>
      <w:tr w:rsidR="00522A36" w14:paraId="6D90281A" w14:textId="77777777" w:rsidTr="000E2DD6">
        <w:trPr>
          <w:trHeight w:val="792"/>
          <w:jc w:val="center"/>
        </w:trPr>
        <w:tc>
          <w:tcPr>
            <w:tcW w:w="1360" w:type="dxa"/>
            <w:vMerge/>
            <w:tcBorders>
              <w:top w:val="nil"/>
              <w:left w:val="nil"/>
              <w:bottom w:val="single" w:sz="8" w:space="0" w:color="000000"/>
              <w:right w:val="nil"/>
            </w:tcBorders>
            <w:vAlign w:val="center"/>
            <w:hideMark/>
          </w:tcPr>
          <w:p w14:paraId="6454E59A" w14:textId="77777777" w:rsidR="002879CB" w:rsidRPr="005969A7" w:rsidRDefault="002879CB" w:rsidP="00BC54CA">
            <w:pPr>
              <w:widowControl/>
              <w:spacing w:line="480" w:lineRule="auto"/>
              <w:rPr>
                <w:rFonts w:ascii="Arial" w:eastAsia="DengXian" w:hAnsi="Arial" w:cs="Arial"/>
                <w:kern w:val="0"/>
                <w:szCs w:val="21"/>
              </w:rPr>
            </w:pPr>
          </w:p>
        </w:tc>
        <w:tc>
          <w:tcPr>
            <w:tcW w:w="742" w:type="dxa"/>
            <w:vMerge/>
            <w:tcBorders>
              <w:top w:val="nil"/>
              <w:left w:val="nil"/>
              <w:bottom w:val="single" w:sz="8" w:space="0" w:color="000000"/>
              <w:right w:val="nil"/>
            </w:tcBorders>
            <w:vAlign w:val="center"/>
            <w:hideMark/>
          </w:tcPr>
          <w:p w14:paraId="27F925FB" w14:textId="77777777" w:rsidR="002879CB" w:rsidRPr="005969A7" w:rsidRDefault="002879CB" w:rsidP="00BC54CA">
            <w:pPr>
              <w:widowControl/>
              <w:spacing w:line="480" w:lineRule="auto"/>
              <w:rPr>
                <w:rFonts w:ascii="Arial" w:eastAsia="DengXian" w:hAnsi="Arial" w:cs="Arial"/>
                <w:kern w:val="0"/>
                <w:szCs w:val="21"/>
              </w:rPr>
            </w:pPr>
          </w:p>
        </w:tc>
        <w:tc>
          <w:tcPr>
            <w:tcW w:w="1419" w:type="dxa"/>
            <w:tcBorders>
              <w:top w:val="nil"/>
              <w:left w:val="nil"/>
              <w:bottom w:val="single" w:sz="8" w:space="0" w:color="auto"/>
              <w:right w:val="nil"/>
            </w:tcBorders>
            <w:shd w:val="clear" w:color="auto" w:fill="auto"/>
            <w:noWrap/>
            <w:vAlign w:val="center"/>
            <w:hideMark/>
          </w:tcPr>
          <w:p w14:paraId="1C32CA47"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Rrec630mR</w:t>
            </w:r>
          </w:p>
        </w:tc>
        <w:tc>
          <w:tcPr>
            <w:tcW w:w="3320" w:type="dxa"/>
            <w:tcBorders>
              <w:top w:val="nil"/>
              <w:left w:val="nil"/>
              <w:bottom w:val="single" w:sz="8" w:space="0" w:color="auto"/>
              <w:right w:val="nil"/>
            </w:tcBorders>
            <w:shd w:val="clear" w:color="auto" w:fill="auto"/>
            <w:hideMark/>
          </w:tcPr>
          <w:p w14:paraId="6386D331" w14:textId="77777777" w:rsidR="002879CB" w:rsidRPr="005969A7" w:rsidRDefault="002914AD" w:rsidP="00BC54CA">
            <w:pPr>
              <w:widowControl/>
              <w:spacing w:line="480" w:lineRule="auto"/>
              <w:rPr>
                <w:rFonts w:ascii="Arial" w:eastAsia="DengXian" w:hAnsi="Arial" w:cs="Arial"/>
                <w:kern w:val="0"/>
                <w:szCs w:val="21"/>
              </w:rPr>
            </w:pPr>
            <w:r w:rsidRPr="005969A7">
              <w:rPr>
                <w:rFonts w:ascii="Arial" w:eastAsia="DengXian" w:hAnsi="Arial" w:cs="Arial"/>
                <w:kern w:val="0"/>
                <w:szCs w:val="21"/>
              </w:rPr>
              <w:t>CCTCCGACACTCTAGTMCGAC</w:t>
            </w:r>
          </w:p>
        </w:tc>
        <w:tc>
          <w:tcPr>
            <w:tcW w:w="1840" w:type="dxa"/>
            <w:vMerge/>
            <w:tcBorders>
              <w:top w:val="nil"/>
              <w:left w:val="nil"/>
              <w:bottom w:val="single" w:sz="8" w:space="0" w:color="000000"/>
              <w:right w:val="nil"/>
            </w:tcBorders>
            <w:vAlign w:val="center"/>
            <w:hideMark/>
          </w:tcPr>
          <w:p w14:paraId="4660F0FE" w14:textId="77777777" w:rsidR="002879CB" w:rsidRPr="005969A7" w:rsidRDefault="002879CB" w:rsidP="00BC54CA">
            <w:pPr>
              <w:widowControl/>
              <w:spacing w:line="480" w:lineRule="auto"/>
              <w:rPr>
                <w:rFonts w:ascii="Arial" w:eastAsia="DengXian" w:hAnsi="Arial" w:cs="Arial"/>
                <w:kern w:val="0"/>
                <w:szCs w:val="21"/>
              </w:rPr>
            </w:pPr>
          </w:p>
        </w:tc>
        <w:tc>
          <w:tcPr>
            <w:tcW w:w="1349" w:type="dxa"/>
            <w:vMerge/>
            <w:tcBorders>
              <w:top w:val="nil"/>
              <w:left w:val="nil"/>
              <w:bottom w:val="single" w:sz="8" w:space="0" w:color="000000"/>
              <w:right w:val="nil"/>
            </w:tcBorders>
            <w:vAlign w:val="center"/>
            <w:hideMark/>
          </w:tcPr>
          <w:p w14:paraId="100A1339" w14:textId="77777777" w:rsidR="002879CB" w:rsidRPr="005969A7" w:rsidRDefault="002879CB" w:rsidP="00BC54CA">
            <w:pPr>
              <w:widowControl/>
              <w:spacing w:line="480" w:lineRule="auto"/>
              <w:rPr>
                <w:rFonts w:ascii="Arial" w:eastAsia="DengXian" w:hAnsi="Arial" w:cs="Arial"/>
                <w:kern w:val="0"/>
                <w:szCs w:val="21"/>
              </w:rPr>
            </w:pPr>
          </w:p>
        </w:tc>
      </w:tr>
    </w:tbl>
    <w:p w14:paraId="3D409396" w14:textId="77777777" w:rsidR="002879CB" w:rsidRPr="005969A7" w:rsidRDefault="002914AD" w:rsidP="00BC54CA">
      <w:pPr>
        <w:spacing w:line="480" w:lineRule="auto"/>
        <w:rPr>
          <w:rFonts w:ascii="Arial" w:eastAsia="Helvetica" w:hAnsi="Arial" w:cs="Arial"/>
          <w:b/>
          <w:bCs/>
          <w:sz w:val="24"/>
          <w:szCs w:val="24"/>
        </w:rPr>
      </w:pPr>
      <w:r w:rsidRPr="005969A7">
        <w:rPr>
          <w:rFonts w:ascii="Arial" w:eastAsia="Helvetica" w:hAnsi="Arial" w:cs="Arial"/>
          <w:b/>
          <w:bCs/>
          <w:sz w:val="24"/>
          <w:szCs w:val="24"/>
        </w:rPr>
        <w:t>Supplemental method 3</w:t>
      </w:r>
    </w:p>
    <w:p w14:paraId="716AC54B" w14:textId="77777777" w:rsidR="002879CB" w:rsidRPr="005969A7" w:rsidRDefault="002914AD" w:rsidP="00BC54CA">
      <w:pPr>
        <w:spacing w:line="480" w:lineRule="auto"/>
        <w:rPr>
          <w:rFonts w:ascii="Arial" w:hAnsi="Arial" w:cs="Arial"/>
          <w:sz w:val="24"/>
          <w:szCs w:val="24"/>
        </w:rPr>
      </w:pPr>
      <w:bookmarkStart w:id="7" w:name="OLE_LINK199"/>
      <w:r w:rsidRPr="005969A7">
        <w:rPr>
          <w:rFonts w:ascii="Arial" w:hAnsi="Arial" w:cs="Arial"/>
          <w:sz w:val="24"/>
          <w:szCs w:val="24"/>
        </w:rPr>
        <w:t>Targeted faecal metabolomics profiling</w:t>
      </w:r>
    </w:p>
    <w:p w14:paraId="677D98B9" w14:textId="5AA8A501" w:rsidR="00646E4C" w:rsidRPr="005969A7" w:rsidRDefault="002914AD" w:rsidP="00BC54CA">
      <w:pPr>
        <w:shd w:val="clear" w:color="auto" w:fill="FFFFFF"/>
        <w:spacing w:line="480" w:lineRule="auto"/>
        <w:rPr>
          <w:rFonts w:ascii="Arial" w:hAnsi="Arial" w:cs="Arial"/>
          <w:sz w:val="24"/>
          <w:szCs w:val="24"/>
        </w:rPr>
      </w:pPr>
      <w:r w:rsidRPr="005969A7">
        <w:rPr>
          <w:rFonts w:ascii="Arial" w:hAnsi="Arial" w:cs="Arial"/>
          <w:sz w:val="24"/>
          <w:szCs w:val="24"/>
        </w:rPr>
        <w:t xml:space="preserve">Targeted metabolomics profiling of </w:t>
      </w:r>
      <w:r>
        <w:rPr>
          <w:rFonts w:ascii="Arial" w:eastAsia="DengXian" w:hAnsi="Arial" w:cs="Arial"/>
          <w:sz w:val="24"/>
          <w:szCs w:val="24"/>
        </w:rPr>
        <w:t>f</w:t>
      </w:r>
      <w:r w:rsidR="00172B26">
        <w:rPr>
          <w:rFonts w:ascii="Arial" w:eastAsia="DengXian" w:hAnsi="Arial" w:cs="Arial"/>
          <w:sz w:val="24"/>
          <w:szCs w:val="24"/>
        </w:rPr>
        <w:t>a</w:t>
      </w:r>
      <w:r>
        <w:rPr>
          <w:rFonts w:ascii="Arial" w:eastAsia="DengXian" w:hAnsi="Arial" w:cs="Arial"/>
          <w:sz w:val="24"/>
          <w:szCs w:val="24"/>
        </w:rPr>
        <w:t>ecal</w:t>
      </w:r>
      <w:r w:rsidRPr="005969A7">
        <w:rPr>
          <w:rFonts w:ascii="Arial" w:hAnsi="Arial" w:cs="Arial"/>
          <w:sz w:val="24"/>
          <w:szCs w:val="24"/>
        </w:rPr>
        <w:t xml:space="preserve"> samples was performed by Metabo-Profile (Shanghai, China). The order of all test samples was </w:t>
      </w:r>
      <w:r>
        <w:rPr>
          <w:rFonts w:ascii="Arial" w:eastAsia="DengXian" w:hAnsi="Arial" w:cs="Arial"/>
          <w:sz w:val="24"/>
          <w:szCs w:val="24"/>
        </w:rPr>
        <w:t>randomly</w:t>
      </w:r>
      <w:r w:rsidRPr="005969A7">
        <w:rPr>
          <w:rFonts w:ascii="Arial" w:hAnsi="Arial" w:cs="Arial"/>
          <w:sz w:val="24"/>
          <w:szCs w:val="24"/>
        </w:rPr>
        <w:t xml:space="preserve"> selected before the preparation. </w:t>
      </w:r>
      <w:r>
        <w:rPr>
          <w:rFonts w:ascii="Arial" w:eastAsia="DengXian" w:hAnsi="Arial" w:cs="Arial"/>
          <w:sz w:val="24"/>
          <w:szCs w:val="24"/>
        </w:rPr>
        <w:t>Ten milligrams of</w:t>
      </w:r>
      <w:r w:rsidRPr="005969A7">
        <w:rPr>
          <w:rFonts w:ascii="Arial" w:hAnsi="Arial" w:cs="Arial"/>
          <w:sz w:val="24"/>
          <w:szCs w:val="24"/>
        </w:rPr>
        <w:t xml:space="preserve"> lyophilized faeces </w:t>
      </w:r>
      <w:r>
        <w:rPr>
          <w:rFonts w:ascii="Arial" w:eastAsia="DengXian" w:hAnsi="Arial" w:cs="Arial"/>
          <w:sz w:val="24"/>
          <w:szCs w:val="24"/>
        </w:rPr>
        <w:t>was</w:t>
      </w:r>
      <w:r w:rsidRPr="005969A7">
        <w:rPr>
          <w:rFonts w:ascii="Arial" w:hAnsi="Arial" w:cs="Arial"/>
          <w:sz w:val="24"/>
          <w:szCs w:val="24"/>
        </w:rPr>
        <w:t xml:space="preserve"> homogenized with</w:t>
      </w:r>
      <w:r>
        <w:rPr>
          <w:rFonts w:ascii="Arial" w:eastAsia="DengXian" w:hAnsi="Arial" w:cs="Arial"/>
          <w:sz w:val="24"/>
          <w:szCs w:val="24"/>
        </w:rPr>
        <w:t xml:space="preserve"> 25 μL of</w:t>
      </w:r>
      <w:r w:rsidRPr="005969A7">
        <w:rPr>
          <w:rFonts w:ascii="Arial" w:hAnsi="Arial" w:cs="Arial"/>
          <w:sz w:val="24"/>
          <w:szCs w:val="24"/>
        </w:rPr>
        <w:t xml:space="preserve"> water and extracted with </w:t>
      </w:r>
      <w:r>
        <w:rPr>
          <w:rFonts w:ascii="Arial" w:eastAsia="DengXian" w:hAnsi="Arial" w:cs="Arial"/>
          <w:sz w:val="24"/>
          <w:szCs w:val="24"/>
        </w:rPr>
        <w:t>185 μL of</w:t>
      </w:r>
      <w:r w:rsidRPr="005969A7">
        <w:rPr>
          <w:rFonts w:ascii="Arial" w:hAnsi="Arial" w:cs="Arial"/>
          <w:sz w:val="24"/>
          <w:szCs w:val="24"/>
        </w:rPr>
        <w:t xml:space="preserve"> cold ACN-methanol (8/2, v/v). After centrifugation, 30 μL of supernatant was used for derivatization with 20 μL of freshly prepared derivative reagents on a Biomek 4000 workstation (Biomek 4000, Beckman Coulter, Inc., Brea, California, USA), followed by m</w:t>
      </w:r>
      <w:r w:rsidRPr="005969A7">
        <w:rPr>
          <w:rFonts w:ascii="Arial" w:hAnsi="Arial" w:cs="Arial"/>
          <w:sz w:val="24"/>
          <w:szCs w:val="24"/>
        </w:rPr>
        <w:t>ixing with internal standards. Subsequently, the derivatized samples and serial dilutions of derivatized stock standards were randomly analysed and quantified using an ultra-performance liquid chromatography coupled to tandem mass spectrometry (UPLC‒MS/MS)</w:t>
      </w:r>
      <w:r w:rsidRPr="005969A7">
        <w:rPr>
          <w:rFonts w:ascii="Arial" w:hAnsi="Arial" w:cs="Arial"/>
          <w:sz w:val="24"/>
          <w:szCs w:val="24"/>
        </w:rPr>
        <w:t xml:space="preserve"> system (ACQUITY UPLC-Xevo TQ-S, Waters Corp., Milford, MA, USA). </w:t>
      </w:r>
      <w:r>
        <w:rPr>
          <w:rFonts w:ascii="Arial" w:eastAsia="DengXian" w:hAnsi="Arial" w:cs="Arial"/>
          <w:sz w:val="24"/>
          <w:szCs w:val="24"/>
        </w:rPr>
        <w:t>A total</w:t>
      </w:r>
      <w:r w:rsidRPr="005969A7">
        <w:rPr>
          <w:rFonts w:ascii="Arial" w:hAnsi="Arial" w:cs="Arial"/>
          <w:sz w:val="24"/>
          <w:szCs w:val="24"/>
        </w:rPr>
        <w:t xml:space="preserve"> of</w:t>
      </w:r>
      <w:r>
        <w:rPr>
          <w:rFonts w:ascii="Arial" w:eastAsia="DengXian" w:hAnsi="Arial" w:cs="Arial"/>
          <w:sz w:val="24"/>
          <w:szCs w:val="24"/>
        </w:rPr>
        <w:t xml:space="preserve"> 201</w:t>
      </w:r>
      <w:r w:rsidRPr="005969A7">
        <w:rPr>
          <w:rFonts w:ascii="Arial" w:hAnsi="Arial" w:cs="Arial"/>
          <w:sz w:val="24"/>
          <w:szCs w:val="24"/>
        </w:rPr>
        <w:t xml:space="preserve"> standard substances</w:t>
      </w:r>
      <w:r>
        <w:rPr>
          <w:rFonts w:ascii="Arial" w:eastAsia="DengXian" w:hAnsi="Arial" w:cs="Arial"/>
          <w:sz w:val="24"/>
          <w:szCs w:val="24"/>
        </w:rPr>
        <w:t>,</w:t>
      </w:r>
      <w:r w:rsidRPr="005969A7">
        <w:rPr>
          <w:rFonts w:ascii="Arial" w:hAnsi="Arial" w:cs="Arial"/>
          <w:sz w:val="24"/>
          <w:szCs w:val="24"/>
        </w:rPr>
        <w:t xml:space="preserve"> including 3 subclasses</w:t>
      </w:r>
      <w:r>
        <w:rPr>
          <w:rFonts w:ascii="Arial" w:eastAsia="DengXian" w:hAnsi="Arial" w:cs="Arial"/>
          <w:sz w:val="24"/>
          <w:szCs w:val="24"/>
        </w:rPr>
        <w:t>,</w:t>
      </w:r>
      <w:r w:rsidRPr="005969A7">
        <w:rPr>
          <w:rFonts w:ascii="Arial" w:hAnsi="Arial" w:cs="Arial"/>
          <w:sz w:val="24"/>
          <w:szCs w:val="24"/>
        </w:rPr>
        <w:t xml:space="preserve"> were obtained from Sigma‒Aldrich (St. Louis, MO, USA), Steraloids Inc. (Newport, RI, USA) and TRC Chemicals (Toronto, ON, Canada).</w:t>
      </w:r>
      <w:r w:rsidRPr="005969A7">
        <w:rPr>
          <w:rFonts w:ascii="Arial" w:hAnsi="Arial" w:cs="Arial"/>
          <w:sz w:val="24"/>
          <w:szCs w:val="24"/>
        </w:rPr>
        <w:t xml:space="preserve"> Three types of quality control samples, i.e., test mixtures, internal standards, and pooled biological samples, are routinely used in the metabolomics platform. </w:t>
      </w:r>
      <w:r w:rsidRPr="005969A7">
        <w:rPr>
          <w:rFonts w:ascii="Arial" w:hAnsi="Arial" w:cs="Arial"/>
          <w:sz w:val="24"/>
          <w:szCs w:val="24"/>
        </w:rPr>
        <w:lastRenderedPageBreak/>
        <w:t>The derivatized pooled quality control samples were injected every 14 test samples. Raw data g</w:t>
      </w:r>
      <w:r w:rsidRPr="005969A7">
        <w:rPr>
          <w:rFonts w:ascii="Arial" w:hAnsi="Arial" w:cs="Arial"/>
          <w:sz w:val="24"/>
          <w:szCs w:val="24"/>
        </w:rPr>
        <w:t>enerated by UPLC‒MS/MS were processed using QuanMET software (v2.0, Metabo-Profile, Shanghai, China) to perform peak integration, calibration, and quantification for each metabolite.</w:t>
      </w:r>
      <w:bookmarkEnd w:id="7"/>
    </w:p>
    <w:sectPr w:rsidR="00646E4C" w:rsidRPr="005969A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6D76B" w14:textId="77777777" w:rsidR="002914AD" w:rsidRDefault="002914AD" w:rsidP="00212D2F">
      <w:r>
        <w:separator/>
      </w:r>
    </w:p>
  </w:endnote>
  <w:endnote w:type="continuationSeparator" w:id="0">
    <w:p w14:paraId="289B5F0E" w14:textId="77777777" w:rsidR="002914AD" w:rsidRDefault="002914AD" w:rsidP="0021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D1049" w14:textId="77777777" w:rsidR="002914AD" w:rsidRDefault="002914AD" w:rsidP="00212D2F">
      <w:r>
        <w:separator/>
      </w:r>
    </w:p>
  </w:footnote>
  <w:footnote w:type="continuationSeparator" w:id="0">
    <w:p w14:paraId="0D6F2AC1" w14:textId="77777777" w:rsidR="002914AD" w:rsidRDefault="002914AD" w:rsidP="00212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2F7CDF"/>
    <w:multiLevelType w:val="hybridMultilevel"/>
    <w:tmpl w:val="804C44C0"/>
    <w:lvl w:ilvl="0" w:tplc="4E581B70">
      <w:start w:val="1"/>
      <w:numFmt w:val="bullet"/>
      <w:lvlText w:val=""/>
      <w:lvlJc w:val="left"/>
      <w:pPr>
        <w:ind w:left="680" w:hanging="440"/>
      </w:pPr>
      <w:rPr>
        <w:rFonts w:ascii="Wingdings" w:hAnsi="Wingdings" w:hint="default"/>
      </w:rPr>
    </w:lvl>
    <w:lvl w:ilvl="1" w:tplc="10481E4C" w:tentative="1">
      <w:start w:val="1"/>
      <w:numFmt w:val="bullet"/>
      <w:lvlText w:val=""/>
      <w:lvlJc w:val="left"/>
      <w:pPr>
        <w:ind w:left="1120" w:hanging="440"/>
      </w:pPr>
      <w:rPr>
        <w:rFonts w:ascii="Wingdings" w:hAnsi="Wingdings" w:hint="default"/>
      </w:rPr>
    </w:lvl>
    <w:lvl w:ilvl="2" w:tplc="8C1223F6" w:tentative="1">
      <w:start w:val="1"/>
      <w:numFmt w:val="bullet"/>
      <w:lvlText w:val=""/>
      <w:lvlJc w:val="left"/>
      <w:pPr>
        <w:ind w:left="1560" w:hanging="440"/>
      </w:pPr>
      <w:rPr>
        <w:rFonts w:ascii="Wingdings" w:hAnsi="Wingdings" w:hint="default"/>
      </w:rPr>
    </w:lvl>
    <w:lvl w:ilvl="3" w:tplc="12E2D6F6" w:tentative="1">
      <w:start w:val="1"/>
      <w:numFmt w:val="bullet"/>
      <w:lvlText w:val=""/>
      <w:lvlJc w:val="left"/>
      <w:pPr>
        <w:ind w:left="2000" w:hanging="440"/>
      </w:pPr>
      <w:rPr>
        <w:rFonts w:ascii="Wingdings" w:hAnsi="Wingdings" w:hint="default"/>
      </w:rPr>
    </w:lvl>
    <w:lvl w:ilvl="4" w:tplc="5E46FD26" w:tentative="1">
      <w:start w:val="1"/>
      <w:numFmt w:val="bullet"/>
      <w:lvlText w:val=""/>
      <w:lvlJc w:val="left"/>
      <w:pPr>
        <w:ind w:left="2440" w:hanging="440"/>
      </w:pPr>
      <w:rPr>
        <w:rFonts w:ascii="Wingdings" w:hAnsi="Wingdings" w:hint="default"/>
      </w:rPr>
    </w:lvl>
    <w:lvl w:ilvl="5" w:tplc="5330D13C" w:tentative="1">
      <w:start w:val="1"/>
      <w:numFmt w:val="bullet"/>
      <w:lvlText w:val=""/>
      <w:lvlJc w:val="left"/>
      <w:pPr>
        <w:ind w:left="2880" w:hanging="440"/>
      </w:pPr>
      <w:rPr>
        <w:rFonts w:ascii="Wingdings" w:hAnsi="Wingdings" w:hint="default"/>
      </w:rPr>
    </w:lvl>
    <w:lvl w:ilvl="6" w:tplc="70B2B8CA" w:tentative="1">
      <w:start w:val="1"/>
      <w:numFmt w:val="bullet"/>
      <w:lvlText w:val=""/>
      <w:lvlJc w:val="left"/>
      <w:pPr>
        <w:ind w:left="3320" w:hanging="440"/>
      </w:pPr>
      <w:rPr>
        <w:rFonts w:ascii="Wingdings" w:hAnsi="Wingdings" w:hint="default"/>
      </w:rPr>
    </w:lvl>
    <w:lvl w:ilvl="7" w:tplc="CBA2C17E" w:tentative="1">
      <w:start w:val="1"/>
      <w:numFmt w:val="bullet"/>
      <w:lvlText w:val=""/>
      <w:lvlJc w:val="left"/>
      <w:pPr>
        <w:ind w:left="3760" w:hanging="440"/>
      </w:pPr>
      <w:rPr>
        <w:rFonts w:ascii="Wingdings" w:hAnsi="Wingdings" w:hint="default"/>
      </w:rPr>
    </w:lvl>
    <w:lvl w:ilvl="8" w:tplc="A06A7296" w:tentative="1">
      <w:start w:val="1"/>
      <w:numFmt w:val="bullet"/>
      <w:lvlText w:val=""/>
      <w:lvlJc w:val="left"/>
      <w:pPr>
        <w:ind w:left="4200" w:hanging="440"/>
      </w:pPr>
      <w:rPr>
        <w:rFonts w:ascii="Wingdings" w:hAnsi="Wingdings" w:hint="default"/>
      </w:rPr>
    </w:lvl>
  </w:abstractNum>
  <w:abstractNum w:abstractNumId="1" w15:restartNumberingAfterBreak="0">
    <w:nsid w:val="601A1ED1"/>
    <w:multiLevelType w:val="hybridMultilevel"/>
    <w:tmpl w:val="18D60CF2"/>
    <w:lvl w:ilvl="0" w:tplc="4D26420A">
      <w:start w:val="1"/>
      <w:numFmt w:val="bullet"/>
      <w:lvlText w:val=""/>
      <w:lvlJc w:val="left"/>
      <w:pPr>
        <w:ind w:left="680" w:hanging="440"/>
      </w:pPr>
      <w:rPr>
        <w:rFonts w:ascii="Wingdings" w:hAnsi="Wingdings" w:hint="default"/>
      </w:rPr>
    </w:lvl>
    <w:lvl w:ilvl="1" w:tplc="E5242176" w:tentative="1">
      <w:start w:val="1"/>
      <w:numFmt w:val="bullet"/>
      <w:lvlText w:val=""/>
      <w:lvlJc w:val="left"/>
      <w:pPr>
        <w:ind w:left="1120" w:hanging="440"/>
      </w:pPr>
      <w:rPr>
        <w:rFonts w:ascii="Wingdings" w:hAnsi="Wingdings" w:hint="default"/>
      </w:rPr>
    </w:lvl>
    <w:lvl w:ilvl="2" w:tplc="01D6D91C" w:tentative="1">
      <w:start w:val="1"/>
      <w:numFmt w:val="bullet"/>
      <w:lvlText w:val=""/>
      <w:lvlJc w:val="left"/>
      <w:pPr>
        <w:ind w:left="1560" w:hanging="440"/>
      </w:pPr>
      <w:rPr>
        <w:rFonts w:ascii="Wingdings" w:hAnsi="Wingdings" w:hint="default"/>
      </w:rPr>
    </w:lvl>
    <w:lvl w:ilvl="3" w:tplc="A50086AA" w:tentative="1">
      <w:start w:val="1"/>
      <w:numFmt w:val="bullet"/>
      <w:lvlText w:val=""/>
      <w:lvlJc w:val="left"/>
      <w:pPr>
        <w:ind w:left="2000" w:hanging="440"/>
      </w:pPr>
      <w:rPr>
        <w:rFonts w:ascii="Wingdings" w:hAnsi="Wingdings" w:hint="default"/>
      </w:rPr>
    </w:lvl>
    <w:lvl w:ilvl="4" w:tplc="CE8669F0" w:tentative="1">
      <w:start w:val="1"/>
      <w:numFmt w:val="bullet"/>
      <w:lvlText w:val=""/>
      <w:lvlJc w:val="left"/>
      <w:pPr>
        <w:ind w:left="2440" w:hanging="440"/>
      </w:pPr>
      <w:rPr>
        <w:rFonts w:ascii="Wingdings" w:hAnsi="Wingdings" w:hint="default"/>
      </w:rPr>
    </w:lvl>
    <w:lvl w:ilvl="5" w:tplc="B33A4B26" w:tentative="1">
      <w:start w:val="1"/>
      <w:numFmt w:val="bullet"/>
      <w:lvlText w:val=""/>
      <w:lvlJc w:val="left"/>
      <w:pPr>
        <w:ind w:left="2880" w:hanging="440"/>
      </w:pPr>
      <w:rPr>
        <w:rFonts w:ascii="Wingdings" w:hAnsi="Wingdings" w:hint="default"/>
      </w:rPr>
    </w:lvl>
    <w:lvl w:ilvl="6" w:tplc="73585908" w:tentative="1">
      <w:start w:val="1"/>
      <w:numFmt w:val="bullet"/>
      <w:lvlText w:val=""/>
      <w:lvlJc w:val="left"/>
      <w:pPr>
        <w:ind w:left="3320" w:hanging="440"/>
      </w:pPr>
      <w:rPr>
        <w:rFonts w:ascii="Wingdings" w:hAnsi="Wingdings" w:hint="default"/>
      </w:rPr>
    </w:lvl>
    <w:lvl w:ilvl="7" w:tplc="000AD864" w:tentative="1">
      <w:start w:val="1"/>
      <w:numFmt w:val="bullet"/>
      <w:lvlText w:val=""/>
      <w:lvlJc w:val="left"/>
      <w:pPr>
        <w:ind w:left="3760" w:hanging="440"/>
      </w:pPr>
      <w:rPr>
        <w:rFonts w:ascii="Wingdings" w:hAnsi="Wingdings" w:hint="default"/>
      </w:rPr>
    </w:lvl>
    <w:lvl w:ilvl="8" w:tplc="EB4ED648" w:tentative="1">
      <w:start w:val="1"/>
      <w:numFmt w:val="bullet"/>
      <w:lvlText w:val=""/>
      <w:lvlJc w:val="left"/>
      <w:pPr>
        <w:ind w:left="420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NhNGJkYjQ2MWExNWE4MDM0NjFiMTg5MzM2ZTkxNDcifQ=="/>
    <w:docVar w:name="EN.InstantFormat" w:val="&lt;ENInstantFormat&gt;&lt;Enabled&gt;1&lt;/Enabled&gt;&lt;ScanUnformatted&gt;1&lt;/ScanUnformatted&gt;&lt;ScanChanges&gt;1&lt;/ScanChanges&gt;&lt;Suspended&gt;1&lt;/Suspended&gt;&lt;/ENInstantFormat&gt;"/>
    <w:docVar w:name="EN.Layout" w:val="&lt;ENLayout&gt;&lt;Style&gt;BMC Microbi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2sdz9wq5wra0e59ef52swgs9a2rw55xssa&quot;&gt;My EndNote Library&lt;record-ids&gt;&lt;item&gt;1&lt;/item&gt;&lt;item&gt;2&lt;/item&gt;&lt;item&gt;4&lt;/item&gt;&lt;item&gt;13&lt;/item&gt;&lt;item&gt;17&lt;/item&gt;&lt;item&gt;20&lt;/item&gt;&lt;item&gt;33&lt;/item&gt;&lt;item&gt;37&lt;/item&gt;&lt;item&gt;45&lt;/item&gt;&lt;item&gt;60&lt;/item&gt;&lt;item&gt;61&lt;/item&gt;&lt;item&gt;73&lt;/item&gt;&lt;item&gt;76&lt;/item&gt;&lt;item&gt;78&lt;/item&gt;&lt;item&gt;94&lt;/item&gt;&lt;item&gt;100&lt;/item&gt;&lt;item&gt;102&lt;/item&gt;&lt;item&gt;103&lt;/item&gt;&lt;item&gt;104&lt;/item&gt;&lt;item&gt;105&lt;/item&gt;&lt;item&gt;108&lt;/item&gt;&lt;item&gt;110&lt;/item&gt;&lt;item&gt;112&lt;/item&gt;&lt;item&gt;115&lt;/item&gt;&lt;item&gt;128&lt;/item&gt;&lt;item&gt;130&lt;/item&gt;&lt;item&gt;132&lt;/item&gt;&lt;item&gt;133&lt;/item&gt;&lt;item&gt;135&lt;/item&gt;&lt;item&gt;136&lt;/item&gt;&lt;item&gt;138&lt;/item&gt;&lt;item&gt;140&lt;/item&gt;&lt;item&gt;142&lt;/item&gt;&lt;item&gt;143&lt;/item&gt;&lt;item&gt;145&lt;/item&gt;&lt;item&gt;146&lt;/item&gt;&lt;item&gt;147&lt;/item&gt;&lt;item&gt;148&lt;/item&gt;&lt;item&gt;149&lt;/item&gt;&lt;item&gt;152&lt;/item&gt;&lt;item&gt;154&lt;/item&gt;&lt;item&gt;155&lt;/item&gt;&lt;item&gt;156&lt;/item&gt;&lt;item&gt;157&lt;/item&gt;&lt;item&gt;159&lt;/item&gt;&lt;item&gt;161&lt;/item&gt;&lt;item&gt;162&lt;/item&gt;&lt;item&gt;166&lt;/item&gt;&lt;item&gt;167&lt;/item&gt;&lt;item&gt;168&lt;/item&gt;&lt;item&gt;169&lt;/item&gt;&lt;item&gt;170&lt;/item&gt;&lt;item&gt;172&lt;/item&gt;&lt;item&gt;173&lt;/item&gt;&lt;item&gt;174&lt;/item&gt;&lt;item&gt;175&lt;/item&gt;&lt;item&gt;182&lt;/item&gt;&lt;item&gt;186&lt;/item&gt;&lt;/record-ids&gt;&lt;/item&gt;&lt;/Libraries&gt;"/>
  </w:docVars>
  <w:rsids>
    <w:rsidRoot w:val="004C5148"/>
    <w:rsid w:val="000051C0"/>
    <w:rsid w:val="000169E0"/>
    <w:rsid w:val="000223F9"/>
    <w:rsid w:val="00024361"/>
    <w:rsid w:val="000272CB"/>
    <w:rsid w:val="000302B8"/>
    <w:rsid w:val="000322FA"/>
    <w:rsid w:val="00032717"/>
    <w:rsid w:val="00032FC7"/>
    <w:rsid w:val="00033244"/>
    <w:rsid w:val="000342F7"/>
    <w:rsid w:val="00035A7A"/>
    <w:rsid w:val="00035C85"/>
    <w:rsid w:val="00040311"/>
    <w:rsid w:val="00041A9E"/>
    <w:rsid w:val="00042D1D"/>
    <w:rsid w:val="00043482"/>
    <w:rsid w:val="00043FDE"/>
    <w:rsid w:val="000458C2"/>
    <w:rsid w:val="00046433"/>
    <w:rsid w:val="0004681E"/>
    <w:rsid w:val="000472F5"/>
    <w:rsid w:val="00053D2D"/>
    <w:rsid w:val="0006099F"/>
    <w:rsid w:val="000635F6"/>
    <w:rsid w:val="000679FC"/>
    <w:rsid w:val="00071729"/>
    <w:rsid w:val="00080E4F"/>
    <w:rsid w:val="00085101"/>
    <w:rsid w:val="00087D1E"/>
    <w:rsid w:val="00087D2F"/>
    <w:rsid w:val="000909FE"/>
    <w:rsid w:val="00091613"/>
    <w:rsid w:val="00096552"/>
    <w:rsid w:val="000A0616"/>
    <w:rsid w:val="000A1DE5"/>
    <w:rsid w:val="000A350D"/>
    <w:rsid w:val="000A39F9"/>
    <w:rsid w:val="000A6B5A"/>
    <w:rsid w:val="000B6C89"/>
    <w:rsid w:val="000C2C01"/>
    <w:rsid w:val="000C4BBE"/>
    <w:rsid w:val="000C5CF1"/>
    <w:rsid w:val="000C5DDB"/>
    <w:rsid w:val="000C64E4"/>
    <w:rsid w:val="000C67C0"/>
    <w:rsid w:val="000D0232"/>
    <w:rsid w:val="000D2402"/>
    <w:rsid w:val="000D51C9"/>
    <w:rsid w:val="000E134D"/>
    <w:rsid w:val="000E24E7"/>
    <w:rsid w:val="000E2994"/>
    <w:rsid w:val="000E5D02"/>
    <w:rsid w:val="000E6DF6"/>
    <w:rsid w:val="000E7346"/>
    <w:rsid w:val="000F19E4"/>
    <w:rsid w:val="000F5921"/>
    <w:rsid w:val="000F6025"/>
    <w:rsid w:val="00103898"/>
    <w:rsid w:val="001055E8"/>
    <w:rsid w:val="00106563"/>
    <w:rsid w:val="001069C5"/>
    <w:rsid w:val="00111E1A"/>
    <w:rsid w:val="00112572"/>
    <w:rsid w:val="00116788"/>
    <w:rsid w:val="0011710D"/>
    <w:rsid w:val="00117845"/>
    <w:rsid w:val="001179B7"/>
    <w:rsid w:val="0012038C"/>
    <w:rsid w:val="00121B8C"/>
    <w:rsid w:val="00124088"/>
    <w:rsid w:val="00126D4C"/>
    <w:rsid w:val="00127531"/>
    <w:rsid w:val="00131088"/>
    <w:rsid w:val="001327A0"/>
    <w:rsid w:val="001370E9"/>
    <w:rsid w:val="00140E6F"/>
    <w:rsid w:val="0014315F"/>
    <w:rsid w:val="00143400"/>
    <w:rsid w:val="00143CE0"/>
    <w:rsid w:val="00144A00"/>
    <w:rsid w:val="00145644"/>
    <w:rsid w:val="00146AD1"/>
    <w:rsid w:val="00147144"/>
    <w:rsid w:val="00147874"/>
    <w:rsid w:val="001515AC"/>
    <w:rsid w:val="00152BFF"/>
    <w:rsid w:val="001532CC"/>
    <w:rsid w:val="001551DF"/>
    <w:rsid w:val="001568A7"/>
    <w:rsid w:val="001571F0"/>
    <w:rsid w:val="001607FD"/>
    <w:rsid w:val="00163A36"/>
    <w:rsid w:val="001646CD"/>
    <w:rsid w:val="00165356"/>
    <w:rsid w:val="00170891"/>
    <w:rsid w:val="001711F2"/>
    <w:rsid w:val="00171A3D"/>
    <w:rsid w:val="00172B26"/>
    <w:rsid w:val="00175179"/>
    <w:rsid w:val="0018045F"/>
    <w:rsid w:val="001812D5"/>
    <w:rsid w:val="0018230E"/>
    <w:rsid w:val="00190101"/>
    <w:rsid w:val="00190197"/>
    <w:rsid w:val="0019247E"/>
    <w:rsid w:val="001A09DB"/>
    <w:rsid w:val="001A428D"/>
    <w:rsid w:val="001A62D4"/>
    <w:rsid w:val="001A75B8"/>
    <w:rsid w:val="001B05B0"/>
    <w:rsid w:val="001B07BC"/>
    <w:rsid w:val="001B127B"/>
    <w:rsid w:val="001B20E7"/>
    <w:rsid w:val="001B503A"/>
    <w:rsid w:val="001B64D8"/>
    <w:rsid w:val="001C0ADA"/>
    <w:rsid w:val="001C49C5"/>
    <w:rsid w:val="001C4DD4"/>
    <w:rsid w:val="001C4ED8"/>
    <w:rsid w:val="001C70DE"/>
    <w:rsid w:val="001D1C9B"/>
    <w:rsid w:val="001D5C26"/>
    <w:rsid w:val="001E05B2"/>
    <w:rsid w:val="001E23DF"/>
    <w:rsid w:val="001E28F3"/>
    <w:rsid w:val="001E3368"/>
    <w:rsid w:val="001E47C9"/>
    <w:rsid w:val="001F21B3"/>
    <w:rsid w:val="001F3B38"/>
    <w:rsid w:val="001F6FE1"/>
    <w:rsid w:val="001F743E"/>
    <w:rsid w:val="00200B10"/>
    <w:rsid w:val="00212C60"/>
    <w:rsid w:val="00212D2F"/>
    <w:rsid w:val="00213BCD"/>
    <w:rsid w:val="00214076"/>
    <w:rsid w:val="00217BD1"/>
    <w:rsid w:val="00220C8E"/>
    <w:rsid w:val="00223228"/>
    <w:rsid w:val="00224F97"/>
    <w:rsid w:val="00225621"/>
    <w:rsid w:val="002303DB"/>
    <w:rsid w:val="002305DD"/>
    <w:rsid w:val="00231790"/>
    <w:rsid w:val="00235568"/>
    <w:rsid w:val="002355CA"/>
    <w:rsid w:val="002417A1"/>
    <w:rsid w:val="002435D1"/>
    <w:rsid w:val="0024517C"/>
    <w:rsid w:val="002464EC"/>
    <w:rsid w:val="002501DE"/>
    <w:rsid w:val="00250ABC"/>
    <w:rsid w:val="00252A42"/>
    <w:rsid w:val="002535FC"/>
    <w:rsid w:val="002543CA"/>
    <w:rsid w:val="002628DB"/>
    <w:rsid w:val="00263AC7"/>
    <w:rsid w:val="00267F28"/>
    <w:rsid w:val="00270F98"/>
    <w:rsid w:val="00273204"/>
    <w:rsid w:val="0027433E"/>
    <w:rsid w:val="00274FDF"/>
    <w:rsid w:val="0027512B"/>
    <w:rsid w:val="00276069"/>
    <w:rsid w:val="002765C8"/>
    <w:rsid w:val="002771BA"/>
    <w:rsid w:val="00280A7F"/>
    <w:rsid w:val="00282180"/>
    <w:rsid w:val="00284CC5"/>
    <w:rsid w:val="00286723"/>
    <w:rsid w:val="002869A8"/>
    <w:rsid w:val="002879CB"/>
    <w:rsid w:val="002914AD"/>
    <w:rsid w:val="002976E4"/>
    <w:rsid w:val="00297D31"/>
    <w:rsid w:val="002A02E5"/>
    <w:rsid w:val="002A2F72"/>
    <w:rsid w:val="002A5FB7"/>
    <w:rsid w:val="002A69FF"/>
    <w:rsid w:val="002B0502"/>
    <w:rsid w:val="002B16AA"/>
    <w:rsid w:val="002B3B71"/>
    <w:rsid w:val="002B3C0A"/>
    <w:rsid w:val="002B59B7"/>
    <w:rsid w:val="002B5AE7"/>
    <w:rsid w:val="002B70A9"/>
    <w:rsid w:val="002C1D0C"/>
    <w:rsid w:val="002C5FB6"/>
    <w:rsid w:val="002D0809"/>
    <w:rsid w:val="002D3019"/>
    <w:rsid w:val="002D3950"/>
    <w:rsid w:val="002D7476"/>
    <w:rsid w:val="002E42D3"/>
    <w:rsid w:val="002E6732"/>
    <w:rsid w:val="002F10A8"/>
    <w:rsid w:val="002F1170"/>
    <w:rsid w:val="002F4496"/>
    <w:rsid w:val="002F621B"/>
    <w:rsid w:val="0030048C"/>
    <w:rsid w:val="00300FE0"/>
    <w:rsid w:val="00302DF1"/>
    <w:rsid w:val="00305351"/>
    <w:rsid w:val="0030594D"/>
    <w:rsid w:val="00306293"/>
    <w:rsid w:val="00306650"/>
    <w:rsid w:val="0031554C"/>
    <w:rsid w:val="00315D58"/>
    <w:rsid w:val="00317C2E"/>
    <w:rsid w:val="00320691"/>
    <w:rsid w:val="00320B42"/>
    <w:rsid w:val="00323E7B"/>
    <w:rsid w:val="00324A31"/>
    <w:rsid w:val="0033360E"/>
    <w:rsid w:val="00336290"/>
    <w:rsid w:val="00336485"/>
    <w:rsid w:val="003375CC"/>
    <w:rsid w:val="00341BB5"/>
    <w:rsid w:val="003420C0"/>
    <w:rsid w:val="00342C05"/>
    <w:rsid w:val="00352008"/>
    <w:rsid w:val="00353DD5"/>
    <w:rsid w:val="003573D9"/>
    <w:rsid w:val="00357D4B"/>
    <w:rsid w:val="003647E5"/>
    <w:rsid w:val="00365A5A"/>
    <w:rsid w:val="00366778"/>
    <w:rsid w:val="00371055"/>
    <w:rsid w:val="00371153"/>
    <w:rsid w:val="00373367"/>
    <w:rsid w:val="00376750"/>
    <w:rsid w:val="0038081F"/>
    <w:rsid w:val="0038104D"/>
    <w:rsid w:val="00382066"/>
    <w:rsid w:val="00382F90"/>
    <w:rsid w:val="00386D95"/>
    <w:rsid w:val="00394643"/>
    <w:rsid w:val="0039782B"/>
    <w:rsid w:val="003A3147"/>
    <w:rsid w:val="003B1D48"/>
    <w:rsid w:val="003B1E93"/>
    <w:rsid w:val="003B2AB2"/>
    <w:rsid w:val="003B2D52"/>
    <w:rsid w:val="003B4898"/>
    <w:rsid w:val="003B5849"/>
    <w:rsid w:val="003B5BF9"/>
    <w:rsid w:val="003C1230"/>
    <w:rsid w:val="003C4AC2"/>
    <w:rsid w:val="003C4C64"/>
    <w:rsid w:val="003C59E4"/>
    <w:rsid w:val="003D27BC"/>
    <w:rsid w:val="003D43DB"/>
    <w:rsid w:val="003D449D"/>
    <w:rsid w:val="003D483D"/>
    <w:rsid w:val="003E016B"/>
    <w:rsid w:val="003E50D4"/>
    <w:rsid w:val="003E5AE2"/>
    <w:rsid w:val="003E68CB"/>
    <w:rsid w:val="003E6F8F"/>
    <w:rsid w:val="003F2831"/>
    <w:rsid w:val="003F7D3E"/>
    <w:rsid w:val="004010F7"/>
    <w:rsid w:val="004014C5"/>
    <w:rsid w:val="00407F1E"/>
    <w:rsid w:val="00407FEC"/>
    <w:rsid w:val="00410A4A"/>
    <w:rsid w:val="00414052"/>
    <w:rsid w:val="00415928"/>
    <w:rsid w:val="004206E2"/>
    <w:rsid w:val="00420B81"/>
    <w:rsid w:val="00420ECC"/>
    <w:rsid w:val="00424947"/>
    <w:rsid w:val="00426506"/>
    <w:rsid w:val="00427DBF"/>
    <w:rsid w:val="00430339"/>
    <w:rsid w:val="00437B0B"/>
    <w:rsid w:val="004422CF"/>
    <w:rsid w:val="00446486"/>
    <w:rsid w:val="0044662F"/>
    <w:rsid w:val="00446A0E"/>
    <w:rsid w:val="00453D5A"/>
    <w:rsid w:val="00456BC2"/>
    <w:rsid w:val="0045794D"/>
    <w:rsid w:val="00461C24"/>
    <w:rsid w:val="00467029"/>
    <w:rsid w:val="00470675"/>
    <w:rsid w:val="00472003"/>
    <w:rsid w:val="004724DF"/>
    <w:rsid w:val="00472C59"/>
    <w:rsid w:val="00483167"/>
    <w:rsid w:val="00483511"/>
    <w:rsid w:val="0048771C"/>
    <w:rsid w:val="004921E9"/>
    <w:rsid w:val="004949AA"/>
    <w:rsid w:val="004A24E5"/>
    <w:rsid w:val="004A5E47"/>
    <w:rsid w:val="004A6F54"/>
    <w:rsid w:val="004A7A1D"/>
    <w:rsid w:val="004B007D"/>
    <w:rsid w:val="004B0C47"/>
    <w:rsid w:val="004B3A8D"/>
    <w:rsid w:val="004B5E6C"/>
    <w:rsid w:val="004B6051"/>
    <w:rsid w:val="004B799D"/>
    <w:rsid w:val="004C0C3A"/>
    <w:rsid w:val="004C5148"/>
    <w:rsid w:val="004C552D"/>
    <w:rsid w:val="004C79ED"/>
    <w:rsid w:val="004D1443"/>
    <w:rsid w:val="004D3752"/>
    <w:rsid w:val="004D7D18"/>
    <w:rsid w:val="004E0107"/>
    <w:rsid w:val="004E2137"/>
    <w:rsid w:val="004E2BD9"/>
    <w:rsid w:val="004E2DAC"/>
    <w:rsid w:val="004E65CE"/>
    <w:rsid w:val="004F4C67"/>
    <w:rsid w:val="004F5EC4"/>
    <w:rsid w:val="004F72BE"/>
    <w:rsid w:val="00501D7D"/>
    <w:rsid w:val="0050445E"/>
    <w:rsid w:val="005076E4"/>
    <w:rsid w:val="005170E9"/>
    <w:rsid w:val="0052048A"/>
    <w:rsid w:val="00521966"/>
    <w:rsid w:val="00522A36"/>
    <w:rsid w:val="00523265"/>
    <w:rsid w:val="00526F89"/>
    <w:rsid w:val="00527BCF"/>
    <w:rsid w:val="00531A86"/>
    <w:rsid w:val="00531E40"/>
    <w:rsid w:val="005379D7"/>
    <w:rsid w:val="005404A2"/>
    <w:rsid w:val="0054077F"/>
    <w:rsid w:val="0054129E"/>
    <w:rsid w:val="0054528D"/>
    <w:rsid w:val="00545986"/>
    <w:rsid w:val="00551005"/>
    <w:rsid w:val="0055168A"/>
    <w:rsid w:val="00551F27"/>
    <w:rsid w:val="00554909"/>
    <w:rsid w:val="0055537D"/>
    <w:rsid w:val="00556E19"/>
    <w:rsid w:val="0057071F"/>
    <w:rsid w:val="00571A6A"/>
    <w:rsid w:val="0057221B"/>
    <w:rsid w:val="0057756D"/>
    <w:rsid w:val="0058527A"/>
    <w:rsid w:val="005862AE"/>
    <w:rsid w:val="00586A75"/>
    <w:rsid w:val="005901C9"/>
    <w:rsid w:val="00590580"/>
    <w:rsid w:val="005969A7"/>
    <w:rsid w:val="00597AD4"/>
    <w:rsid w:val="005A0A68"/>
    <w:rsid w:val="005A19A9"/>
    <w:rsid w:val="005A34B0"/>
    <w:rsid w:val="005A41CF"/>
    <w:rsid w:val="005A5FA1"/>
    <w:rsid w:val="005A676A"/>
    <w:rsid w:val="005A6D0A"/>
    <w:rsid w:val="005A6D38"/>
    <w:rsid w:val="005A7753"/>
    <w:rsid w:val="005B3C62"/>
    <w:rsid w:val="005B4B11"/>
    <w:rsid w:val="005B5A85"/>
    <w:rsid w:val="005C1A52"/>
    <w:rsid w:val="005C24C8"/>
    <w:rsid w:val="005C252E"/>
    <w:rsid w:val="005C2DC5"/>
    <w:rsid w:val="005C34E9"/>
    <w:rsid w:val="005C4F66"/>
    <w:rsid w:val="005C4F7E"/>
    <w:rsid w:val="005C558D"/>
    <w:rsid w:val="005C6D9D"/>
    <w:rsid w:val="005D04DC"/>
    <w:rsid w:val="005D06AB"/>
    <w:rsid w:val="005D164D"/>
    <w:rsid w:val="005D1D65"/>
    <w:rsid w:val="005E082A"/>
    <w:rsid w:val="005E12E6"/>
    <w:rsid w:val="005E25C6"/>
    <w:rsid w:val="005E419A"/>
    <w:rsid w:val="005E7312"/>
    <w:rsid w:val="005F0EC3"/>
    <w:rsid w:val="005F0F1D"/>
    <w:rsid w:val="005F337D"/>
    <w:rsid w:val="005F4C4E"/>
    <w:rsid w:val="005F55AD"/>
    <w:rsid w:val="005F7D38"/>
    <w:rsid w:val="00600F83"/>
    <w:rsid w:val="00601405"/>
    <w:rsid w:val="00603998"/>
    <w:rsid w:val="00603C3E"/>
    <w:rsid w:val="00604437"/>
    <w:rsid w:val="0061317D"/>
    <w:rsid w:val="00627E65"/>
    <w:rsid w:val="0063048F"/>
    <w:rsid w:val="0063259C"/>
    <w:rsid w:val="00632BCE"/>
    <w:rsid w:val="0063498A"/>
    <w:rsid w:val="0063790D"/>
    <w:rsid w:val="00646E4C"/>
    <w:rsid w:val="00646F81"/>
    <w:rsid w:val="00647B24"/>
    <w:rsid w:val="00650D99"/>
    <w:rsid w:val="0065140D"/>
    <w:rsid w:val="00653652"/>
    <w:rsid w:val="00662C32"/>
    <w:rsid w:val="00664836"/>
    <w:rsid w:val="00677B9B"/>
    <w:rsid w:val="006818B8"/>
    <w:rsid w:val="00683964"/>
    <w:rsid w:val="00684EE6"/>
    <w:rsid w:val="00686F5C"/>
    <w:rsid w:val="00691D35"/>
    <w:rsid w:val="00691E72"/>
    <w:rsid w:val="00694DCF"/>
    <w:rsid w:val="006A51AC"/>
    <w:rsid w:val="006A5255"/>
    <w:rsid w:val="006A61A6"/>
    <w:rsid w:val="006A77B0"/>
    <w:rsid w:val="006A7855"/>
    <w:rsid w:val="006B0116"/>
    <w:rsid w:val="006B0EFE"/>
    <w:rsid w:val="006B1EEF"/>
    <w:rsid w:val="006B4E5E"/>
    <w:rsid w:val="006B5417"/>
    <w:rsid w:val="006B6911"/>
    <w:rsid w:val="006B6B18"/>
    <w:rsid w:val="006C1A12"/>
    <w:rsid w:val="006C2F1B"/>
    <w:rsid w:val="006C5DAB"/>
    <w:rsid w:val="006C662D"/>
    <w:rsid w:val="006C7090"/>
    <w:rsid w:val="006C76EF"/>
    <w:rsid w:val="006D18AF"/>
    <w:rsid w:val="006D209C"/>
    <w:rsid w:val="006D2133"/>
    <w:rsid w:val="006D249F"/>
    <w:rsid w:val="006D3698"/>
    <w:rsid w:val="006D7558"/>
    <w:rsid w:val="006D7C9B"/>
    <w:rsid w:val="006E26DD"/>
    <w:rsid w:val="006E49BB"/>
    <w:rsid w:val="006E6271"/>
    <w:rsid w:val="006E77AD"/>
    <w:rsid w:val="006F04F8"/>
    <w:rsid w:val="006F26C8"/>
    <w:rsid w:val="006F5955"/>
    <w:rsid w:val="006F6453"/>
    <w:rsid w:val="006F765F"/>
    <w:rsid w:val="006F7D8E"/>
    <w:rsid w:val="007004A2"/>
    <w:rsid w:val="00702F83"/>
    <w:rsid w:val="0070712D"/>
    <w:rsid w:val="00711F40"/>
    <w:rsid w:val="00716773"/>
    <w:rsid w:val="00717C1A"/>
    <w:rsid w:val="0072239D"/>
    <w:rsid w:val="00723E89"/>
    <w:rsid w:val="007240CA"/>
    <w:rsid w:val="00724FBD"/>
    <w:rsid w:val="00725181"/>
    <w:rsid w:val="00727E77"/>
    <w:rsid w:val="007306F0"/>
    <w:rsid w:val="0073258C"/>
    <w:rsid w:val="00732B6F"/>
    <w:rsid w:val="007343CF"/>
    <w:rsid w:val="0074043D"/>
    <w:rsid w:val="00741810"/>
    <w:rsid w:val="00743ADC"/>
    <w:rsid w:val="00744FD3"/>
    <w:rsid w:val="007454AD"/>
    <w:rsid w:val="00745641"/>
    <w:rsid w:val="00745AC1"/>
    <w:rsid w:val="00751F4E"/>
    <w:rsid w:val="00755210"/>
    <w:rsid w:val="007562E8"/>
    <w:rsid w:val="00756DF4"/>
    <w:rsid w:val="00763FAE"/>
    <w:rsid w:val="007659F6"/>
    <w:rsid w:val="00765D24"/>
    <w:rsid w:val="00766BE7"/>
    <w:rsid w:val="0077107C"/>
    <w:rsid w:val="00773553"/>
    <w:rsid w:val="00775533"/>
    <w:rsid w:val="00776D9F"/>
    <w:rsid w:val="00781D01"/>
    <w:rsid w:val="007848E5"/>
    <w:rsid w:val="00787A2D"/>
    <w:rsid w:val="00792252"/>
    <w:rsid w:val="00792BD9"/>
    <w:rsid w:val="007942A7"/>
    <w:rsid w:val="007A04DE"/>
    <w:rsid w:val="007B08E6"/>
    <w:rsid w:val="007B4793"/>
    <w:rsid w:val="007C1206"/>
    <w:rsid w:val="007C2D5D"/>
    <w:rsid w:val="007C4874"/>
    <w:rsid w:val="007D29CB"/>
    <w:rsid w:val="007D2F90"/>
    <w:rsid w:val="007D3803"/>
    <w:rsid w:val="007D6C99"/>
    <w:rsid w:val="007D7470"/>
    <w:rsid w:val="007E0850"/>
    <w:rsid w:val="007E0DED"/>
    <w:rsid w:val="007E2E08"/>
    <w:rsid w:val="007E2ED5"/>
    <w:rsid w:val="007E37E6"/>
    <w:rsid w:val="007E3C80"/>
    <w:rsid w:val="007E5B22"/>
    <w:rsid w:val="007E74D5"/>
    <w:rsid w:val="007F38B1"/>
    <w:rsid w:val="007F5651"/>
    <w:rsid w:val="007F5C13"/>
    <w:rsid w:val="00800799"/>
    <w:rsid w:val="008018F9"/>
    <w:rsid w:val="0080288B"/>
    <w:rsid w:val="00802970"/>
    <w:rsid w:val="00810204"/>
    <w:rsid w:val="008111C0"/>
    <w:rsid w:val="00814014"/>
    <w:rsid w:val="00814899"/>
    <w:rsid w:val="0081638C"/>
    <w:rsid w:val="008209AD"/>
    <w:rsid w:val="0082139F"/>
    <w:rsid w:val="00821F3D"/>
    <w:rsid w:val="00823033"/>
    <w:rsid w:val="0082391C"/>
    <w:rsid w:val="00823C03"/>
    <w:rsid w:val="00825C1D"/>
    <w:rsid w:val="0083098D"/>
    <w:rsid w:val="00832F80"/>
    <w:rsid w:val="00833A15"/>
    <w:rsid w:val="008345AB"/>
    <w:rsid w:val="00836123"/>
    <w:rsid w:val="00840EDC"/>
    <w:rsid w:val="0084464F"/>
    <w:rsid w:val="008456EE"/>
    <w:rsid w:val="008466D7"/>
    <w:rsid w:val="00847CFE"/>
    <w:rsid w:val="00850E32"/>
    <w:rsid w:val="00852944"/>
    <w:rsid w:val="008540F3"/>
    <w:rsid w:val="00855876"/>
    <w:rsid w:val="00856783"/>
    <w:rsid w:val="00856E1B"/>
    <w:rsid w:val="0086019D"/>
    <w:rsid w:val="0086022A"/>
    <w:rsid w:val="00860FA9"/>
    <w:rsid w:val="00866166"/>
    <w:rsid w:val="0086752B"/>
    <w:rsid w:val="0087060C"/>
    <w:rsid w:val="00872C9D"/>
    <w:rsid w:val="00883BA7"/>
    <w:rsid w:val="008849AA"/>
    <w:rsid w:val="008851E2"/>
    <w:rsid w:val="00885424"/>
    <w:rsid w:val="00890686"/>
    <w:rsid w:val="00891254"/>
    <w:rsid w:val="00891FEF"/>
    <w:rsid w:val="00892738"/>
    <w:rsid w:val="00893980"/>
    <w:rsid w:val="00895C5E"/>
    <w:rsid w:val="008962C1"/>
    <w:rsid w:val="008A4A13"/>
    <w:rsid w:val="008A5728"/>
    <w:rsid w:val="008B11D4"/>
    <w:rsid w:val="008B61D2"/>
    <w:rsid w:val="008B67EF"/>
    <w:rsid w:val="008C4825"/>
    <w:rsid w:val="008C707A"/>
    <w:rsid w:val="008D08B6"/>
    <w:rsid w:val="008D3711"/>
    <w:rsid w:val="008D51C7"/>
    <w:rsid w:val="008D545E"/>
    <w:rsid w:val="008D5A9D"/>
    <w:rsid w:val="008D5EFF"/>
    <w:rsid w:val="008D7D90"/>
    <w:rsid w:val="008E2B93"/>
    <w:rsid w:val="008E3033"/>
    <w:rsid w:val="008E3AE7"/>
    <w:rsid w:val="008E5C2F"/>
    <w:rsid w:val="008F0DC4"/>
    <w:rsid w:val="008F61DB"/>
    <w:rsid w:val="009033B1"/>
    <w:rsid w:val="0090382D"/>
    <w:rsid w:val="00906C3D"/>
    <w:rsid w:val="00912712"/>
    <w:rsid w:val="00913501"/>
    <w:rsid w:val="00913A0A"/>
    <w:rsid w:val="00914129"/>
    <w:rsid w:val="00914CBE"/>
    <w:rsid w:val="00916529"/>
    <w:rsid w:val="009172D4"/>
    <w:rsid w:val="00917307"/>
    <w:rsid w:val="00926794"/>
    <w:rsid w:val="00926C07"/>
    <w:rsid w:val="009270FD"/>
    <w:rsid w:val="009279B0"/>
    <w:rsid w:val="00930CCE"/>
    <w:rsid w:val="00931D48"/>
    <w:rsid w:val="00935269"/>
    <w:rsid w:val="00936EC9"/>
    <w:rsid w:val="0094002E"/>
    <w:rsid w:val="00940DE1"/>
    <w:rsid w:val="00941021"/>
    <w:rsid w:val="009430FC"/>
    <w:rsid w:val="009454E8"/>
    <w:rsid w:val="009473F0"/>
    <w:rsid w:val="009514AB"/>
    <w:rsid w:val="00952207"/>
    <w:rsid w:val="00954B4B"/>
    <w:rsid w:val="009553D5"/>
    <w:rsid w:val="00960CA1"/>
    <w:rsid w:val="009616C3"/>
    <w:rsid w:val="009645B1"/>
    <w:rsid w:val="009701A0"/>
    <w:rsid w:val="00972362"/>
    <w:rsid w:val="0097261E"/>
    <w:rsid w:val="009759FD"/>
    <w:rsid w:val="00976FF3"/>
    <w:rsid w:val="009777BB"/>
    <w:rsid w:val="00980DB1"/>
    <w:rsid w:val="00981C96"/>
    <w:rsid w:val="0098258F"/>
    <w:rsid w:val="00984A6D"/>
    <w:rsid w:val="009856AC"/>
    <w:rsid w:val="00985DA1"/>
    <w:rsid w:val="009870A4"/>
    <w:rsid w:val="0098768E"/>
    <w:rsid w:val="00990909"/>
    <w:rsid w:val="00991579"/>
    <w:rsid w:val="00992473"/>
    <w:rsid w:val="009924BF"/>
    <w:rsid w:val="0099356B"/>
    <w:rsid w:val="00994428"/>
    <w:rsid w:val="00994760"/>
    <w:rsid w:val="0099574D"/>
    <w:rsid w:val="0099642E"/>
    <w:rsid w:val="0099765B"/>
    <w:rsid w:val="009A10D5"/>
    <w:rsid w:val="009A26F7"/>
    <w:rsid w:val="009A46E7"/>
    <w:rsid w:val="009A5156"/>
    <w:rsid w:val="009A5B92"/>
    <w:rsid w:val="009A5F55"/>
    <w:rsid w:val="009A6FEB"/>
    <w:rsid w:val="009A76F7"/>
    <w:rsid w:val="009A7913"/>
    <w:rsid w:val="009B3288"/>
    <w:rsid w:val="009B3904"/>
    <w:rsid w:val="009B5569"/>
    <w:rsid w:val="009B72DD"/>
    <w:rsid w:val="009B7ED8"/>
    <w:rsid w:val="009C2683"/>
    <w:rsid w:val="009C4BCB"/>
    <w:rsid w:val="009C7CBC"/>
    <w:rsid w:val="009D0A11"/>
    <w:rsid w:val="009D218E"/>
    <w:rsid w:val="009D3D42"/>
    <w:rsid w:val="009E2880"/>
    <w:rsid w:val="009E2B2E"/>
    <w:rsid w:val="009E3647"/>
    <w:rsid w:val="009E3CD0"/>
    <w:rsid w:val="009E5D30"/>
    <w:rsid w:val="009F1403"/>
    <w:rsid w:val="009F1B1E"/>
    <w:rsid w:val="009F3B0C"/>
    <w:rsid w:val="009F5FAE"/>
    <w:rsid w:val="009F6FB6"/>
    <w:rsid w:val="009F753C"/>
    <w:rsid w:val="009F780E"/>
    <w:rsid w:val="00A00F58"/>
    <w:rsid w:val="00A02312"/>
    <w:rsid w:val="00A06920"/>
    <w:rsid w:val="00A101EE"/>
    <w:rsid w:val="00A11086"/>
    <w:rsid w:val="00A1225E"/>
    <w:rsid w:val="00A12490"/>
    <w:rsid w:val="00A12B4B"/>
    <w:rsid w:val="00A13BE8"/>
    <w:rsid w:val="00A14C6A"/>
    <w:rsid w:val="00A165E6"/>
    <w:rsid w:val="00A17EB8"/>
    <w:rsid w:val="00A20573"/>
    <w:rsid w:val="00A21C4C"/>
    <w:rsid w:val="00A245FD"/>
    <w:rsid w:val="00A2492F"/>
    <w:rsid w:val="00A249F5"/>
    <w:rsid w:val="00A24CCA"/>
    <w:rsid w:val="00A31BC6"/>
    <w:rsid w:val="00A36FA3"/>
    <w:rsid w:val="00A40B32"/>
    <w:rsid w:val="00A40C8A"/>
    <w:rsid w:val="00A413C6"/>
    <w:rsid w:val="00A417BF"/>
    <w:rsid w:val="00A417F2"/>
    <w:rsid w:val="00A46CF2"/>
    <w:rsid w:val="00A5351E"/>
    <w:rsid w:val="00A539C7"/>
    <w:rsid w:val="00A5409C"/>
    <w:rsid w:val="00A567FD"/>
    <w:rsid w:val="00A60C67"/>
    <w:rsid w:val="00A60D56"/>
    <w:rsid w:val="00A61C7F"/>
    <w:rsid w:val="00A65748"/>
    <w:rsid w:val="00A67454"/>
    <w:rsid w:val="00A678A5"/>
    <w:rsid w:val="00A742BE"/>
    <w:rsid w:val="00A75466"/>
    <w:rsid w:val="00A76106"/>
    <w:rsid w:val="00A7701B"/>
    <w:rsid w:val="00A801D3"/>
    <w:rsid w:val="00A82B55"/>
    <w:rsid w:val="00A84FFE"/>
    <w:rsid w:val="00A87445"/>
    <w:rsid w:val="00A90C60"/>
    <w:rsid w:val="00A9607F"/>
    <w:rsid w:val="00AA1ADD"/>
    <w:rsid w:val="00AA691E"/>
    <w:rsid w:val="00AA7399"/>
    <w:rsid w:val="00AB245D"/>
    <w:rsid w:val="00AC0DA9"/>
    <w:rsid w:val="00AC56E0"/>
    <w:rsid w:val="00AC5A37"/>
    <w:rsid w:val="00AD5587"/>
    <w:rsid w:val="00AD58C5"/>
    <w:rsid w:val="00AD5BA0"/>
    <w:rsid w:val="00AD6C1B"/>
    <w:rsid w:val="00AE1601"/>
    <w:rsid w:val="00AE2589"/>
    <w:rsid w:val="00AF021E"/>
    <w:rsid w:val="00AF5211"/>
    <w:rsid w:val="00AF5D6D"/>
    <w:rsid w:val="00AF7930"/>
    <w:rsid w:val="00B027FE"/>
    <w:rsid w:val="00B03534"/>
    <w:rsid w:val="00B10B17"/>
    <w:rsid w:val="00B165F3"/>
    <w:rsid w:val="00B22527"/>
    <w:rsid w:val="00B2456F"/>
    <w:rsid w:val="00B26EE8"/>
    <w:rsid w:val="00B33710"/>
    <w:rsid w:val="00B349DA"/>
    <w:rsid w:val="00B35E11"/>
    <w:rsid w:val="00B37732"/>
    <w:rsid w:val="00B4221A"/>
    <w:rsid w:val="00B445D9"/>
    <w:rsid w:val="00B4742C"/>
    <w:rsid w:val="00B53919"/>
    <w:rsid w:val="00B548D7"/>
    <w:rsid w:val="00B54F4D"/>
    <w:rsid w:val="00B55B49"/>
    <w:rsid w:val="00B614C8"/>
    <w:rsid w:val="00B64C21"/>
    <w:rsid w:val="00B65062"/>
    <w:rsid w:val="00B670DC"/>
    <w:rsid w:val="00B70BE8"/>
    <w:rsid w:val="00B719A6"/>
    <w:rsid w:val="00B72EEF"/>
    <w:rsid w:val="00B73554"/>
    <w:rsid w:val="00B813B5"/>
    <w:rsid w:val="00B81609"/>
    <w:rsid w:val="00B82A13"/>
    <w:rsid w:val="00B839C9"/>
    <w:rsid w:val="00B86EC7"/>
    <w:rsid w:val="00B93F5B"/>
    <w:rsid w:val="00B9461A"/>
    <w:rsid w:val="00B94E2B"/>
    <w:rsid w:val="00B9559D"/>
    <w:rsid w:val="00B96788"/>
    <w:rsid w:val="00B9692B"/>
    <w:rsid w:val="00BA223A"/>
    <w:rsid w:val="00BA32B4"/>
    <w:rsid w:val="00BA32E0"/>
    <w:rsid w:val="00BA4E7A"/>
    <w:rsid w:val="00BA52D4"/>
    <w:rsid w:val="00BA7459"/>
    <w:rsid w:val="00BA7636"/>
    <w:rsid w:val="00BB10F9"/>
    <w:rsid w:val="00BB1452"/>
    <w:rsid w:val="00BB211D"/>
    <w:rsid w:val="00BB432A"/>
    <w:rsid w:val="00BC3680"/>
    <w:rsid w:val="00BC54CA"/>
    <w:rsid w:val="00BC7631"/>
    <w:rsid w:val="00BD0046"/>
    <w:rsid w:val="00BD5AA1"/>
    <w:rsid w:val="00BD77C8"/>
    <w:rsid w:val="00BE0C61"/>
    <w:rsid w:val="00BE2F47"/>
    <w:rsid w:val="00BE5888"/>
    <w:rsid w:val="00BE647B"/>
    <w:rsid w:val="00BE6CE1"/>
    <w:rsid w:val="00BF721C"/>
    <w:rsid w:val="00BF7A91"/>
    <w:rsid w:val="00C004A1"/>
    <w:rsid w:val="00C03799"/>
    <w:rsid w:val="00C040E1"/>
    <w:rsid w:val="00C05773"/>
    <w:rsid w:val="00C0674B"/>
    <w:rsid w:val="00C06EA5"/>
    <w:rsid w:val="00C10E67"/>
    <w:rsid w:val="00C12276"/>
    <w:rsid w:val="00C12518"/>
    <w:rsid w:val="00C12FD7"/>
    <w:rsid w:val="00C17A2F"/>
    <w:rsid w:val="00C2149B"/>
    <w:rsid w:val="00C2179F"/>
    <w:rsid w:val="00C21E78"/>
    <w:rsid w:val="00C22DE1"/>
    <w:rsid w:val="00C2560B"/>
    <w:rsid w:val="00C26081"/>
    <w:rsid w:val="00C32455"/>
    <w:rsid w:val="00C33ABE"/>
    <w:rsid w:val="00C34466"/>
    <w:rsid w:val="00C37002"/>
    <w:rsid w:val="00C410FB"/>
    <w:rsid w:val="00C46030"/>
    <w:rsid w:val="00C470E3"/>
    <w:rsid w:val="00C47705"/>
    <w:rsid w:val="00C47D07"/>
    <w:rsid w:val="00C53B1C"/>
    <w:rsid w:val="00C54AED"/>
    <w:rsid w:val="00C54B95"/>
    <w:rsid w:val="00C54C48"/>
    <w:rsid w:val="00C60258"/>
    <w:rsid w:val="00C66D3C"/>
    <w:rsid w:val="00C700D9"/>
    <w:rsid w:val="00C720E1"/>
    <w:rsid w:val="00C73AC3"/>
    <w:rsid w:val="00C74204"/>
    <w:rsid w:val="00C74B4F"/>
    <w:rsid w:val="00C75A35"/>
    <w:rsid w:val="00C77BDD"/>
    <w:rsid w:val="00C82F36"/>
    <w:rsid w:val="00C84D2A"/>
    <w:rsid w:val="00C8516F"/>
    <w:rsid w:val="00C857E5"/>
    <w:rsid w:val="00C86130"/>
    <w:rsid w:val="00C927BD"/>
    <w:rsid w:val="00C93F94"/>
    <w:rsid w:val="00C96A40"/>
    <w:rsid w:val="00C97F85"/>
    <w:rsid w:val="00CA0412"/>
    <w:rsid w:val="00CA4978"/>
    <w:rsid w:val="00CA4B63"/>
    <w:rsid w:val="00CA62CA"/>
    <w:rsid w:val="00CA7800"/>
    <w:rsid w:val="00CB1A0D"/>
    <w:rsid w:val="00CB21B0"/>
    <w:rsid w:val="00CB2678"/>
    <w:rsid w:val="00CB537B"/>
    <w:rsid w:val="00CB5729"/>
    <w:rsid w:val="00CC02FE"/>
    <w:rsid w:val="00CC222C"/>
    <w:rsid w:val="00CC27BD"/>
    <w:rsid w:val="00CC2811"/>
    <w:rsid w:val="00CC3696"/>
    <w:rsid w:val="00CC3FE1"/>
    <w:rsid w:val="00CC4292"/>
    <w:rsid w:val="00CC6705"/>
    <w:rsid w:val="00CC6FE7"/>
    <w:rsid w:val="00CC7794"/>
    <w:rsid w:val="00CD0320"/>
    <w:rsid w:val="00CD36D7"/>
    <w:rsid w:val="00CD42F7"/>
    <w:rsid w:val="00CD4357"/>
    <w:rsid w:val="00CD57D3"/>
    <w:rsid w:val="00CD67EE"/>
    <w:rsid w:val="00CE2DA1"/>
    <w:rsid w:val="00CE656E"/>
    <w:rsid w:val="00CE6828"/>
    <w:rsid w:val="00CE6CB9"/>
    <w:rsid w:val="00CE7DEE"/>
    <w:rsid w:val="00CF3304"/>
    <w:rsid w:val="00CF3DC9"/>
    <w:rsid w:val="00CF7209"/>
    <w:rsid w:val="00D02A9E"/>
    <w:rsid w:val="00D042E9"/>
    <w:rsid w:val="00D05698"/>
    <w:rsid w:val="00D05E88"/>
    <w:rsid w:val="00D078B7"/>
    <w:rsid w:val="00D104D4"/>
    <w:rsid w:val="00D10F28"/>
    <w:rsid w:val="00D12451"/>
    <w:rsid w:val="00D131A7"/>
    <w:rsid w:val="00D20BEA"/>
    <w:rsid w:val="00D23166"/>
    <w:rsid w:val="00D254B0"/>
    <w:rsid w:val="00D25D49"/>
    <w:rsid w:val="00D33989"/>
    <w:rsid w:val="00D35531"/>
    <w:rsid w:val="00D369E3"/>
    <w:rsid w:val="00D4007E"/>
    <w:rsid w:val="00D40656"/>
    <w:rsid w:val="00D413E9"/>
    <w:rsid w:val="00D41913"/>
    <w:rsid w:val="00D42AA3"/>
    <w:rsid w:val="00D4388F"/>
    <w:rsid w:val="00D45619"/>
    <w:rsid w:val="00D53D83"/>
    <w:rsid w:val="00D541E7"/>
    <w:rsid w:val="00D5478D"/>
    <w:rsid w:val="00D562D1"/>
    <w:rsid w:val="00D61D06"/>
    <w:rsid w:val="00D622DA"/>
    <w:rsid w:val="00D6352D"/>
    <w:rsid w:val="00D673F8"/>
    <w:rsid w:val="00D77A13"/>
    <w:rsid w:val="00D829B8"/>
    <w:rsid w:val="00D83AE3"/>
    <w:rsid w:val="00D84176"/>
    <w:rsid w:val="00D9460C"/>
    <w:rsid w:val="00D94768"/>
    <w:rsid w:val="00D977EC"/>
    <w:rsid w:val="00DA21DC"/>
    <w:rsid w:val="00DA4794"/>
    <w:rsid w:val="00DA55CC"/>
    <w:rsid w:val="00DA7B0A"/>
    <w:rsid w:val="00DA7E98"/>
    <w:rsid w:val="00DB02F2"/>
    <w:rsid w:val="00DB1119"/>
    <w:rsid w:val="00DB1C3A"/>
    <w:rsid w:val="00DB3897"/>
    <w:rsid w:val="00DC3310"/>
    <w:rsid w:val="00DC4556"/>
    <w:rsid w:val="00DD25C8"/>
    <w:rsid w:val="00DD42C2"/>
    <w:rsid w:val="00DD6257"/>
    <w:rsid w:val="00DE0380"/>
    <w:rsid w:val="00DE1689"/>
    <w:rsid w:val="00DE1F73"/>
    <w:rsid w:val="00DE4B72"/>
    <w:rsid w:val="00DE64CC"/>
    <w:rsid w:val="00DE69DD"/>
    <w:rsid w:val="00DF6756"/>
    <w:rsid w:val="00E02FE4"/>
    <w:rsid w:val="00E032AF"/>
    <w:rsid w:val="00E03601"/>
    <w:rsid w:val="00E036F3"/>
    <w:rsid w:val="00E074D5"/>
    <w:rsid w:val="00E12171"/>
    <w:rsid w:val="00E17292"/>
    <w:rsid w:val="00E20FF3"/>
    <w:rsid w:val="00E22E5B"/>
    <w:rsid w:val="00E24DE4"/>
    <w:rsid w:val="00E2556D"/>
    <w:rsid w:val="00E2733F"/>
    <w:rsid w:val="00E309DB"/>
    <w:rsid w:val="00E30E38"/>
    <w:rsid w:val="00E335A5"/>
    <w:rsid w:val="00E33D17"/>
    <w:rsid w:val="00E349FB"/>
    <w:rsid w:val="00E34E58"/>
    <w:rsid w:val="00E36724"/>
    <w:rsid w:val="00E405AD"/>
    <w:rsid w:val="00E406CB"/>
    <w:rsid w:val="00E423F9"/>
    <w:rsid w:val="00E46036"/>
    <w:rsid w:val="00E46ACB"/>
    <w:rsid w:val="00E513EF"/>
    <w:rsid w:val="00E51F6A"/>
    <w:rsid w:val="00E53BDC"/>
    <w:rsid w:val="00E54CE2"/>
    <w:rsid w:val="00E56378"/>
    <w:rsid w:val="00E6161A"/>
    <w:rsid w:val="00E63928"/>
    <w:rsid w:val="00E646B5"/>
    <w:rsid w:val="00E70CAC"/>
    <w:rsid w:val="00E7209B"/>
    <w:rsid w:val="00E73812"/>
    <w:rsid w:val="00E75E49"/>
    <w:rsid w:val="00E90FBE"/>
    <w:rsid w:val="00E95C4B"/>
    <w:rsid w:val="00E96C4F"/>
    <w:rsid w:val="00E97D15"/>
    <w:rsid w:val="00E97D98"/>
    <w:rsid w:val="00E97E06"/>
    <w:rsid w:val="00EA0639"/>
    <w:rsid w:val="00EA280B"/>
    <w:rsid w:val="00EA4E0B"/>
    <w:rsid w:val="00EA65F8"/>
    <w:rsid w:val="00EB1509"/>
    <w:rsid w:val="00EB1934"/>
    <w:rsid w:val="00EB5FFB"/>
    <w:rsid w:val="00EB6C11"/>
    <w:rsid w:val="00EC26BB"/>
    <w:rsid w:val="00EC69B5"/>
    <w:rsid w:val="00EC71C5"/>
    <w:rsid w:val="00ED2E0A"/>
    <w:rsid w:val="00EE1FAC"/>
    <w:rsid w:val="00EE2496"/>
    <w:rsid w:val="00EE7410"/>
    <w:rsid w:val="00EF1BAE"/>
    <w:rsid w:val="00EF2527"/>
    <w:rsid w:val="00EF377C"/>
    <w:rsid w:val="00F02DD1"/>
    <w:rsid w:val="00F03D9A"/>
    <w:rsid w:val="00F05AB4"/>
    <w:rsid w:val="00F06915"/>
    <w:rsid w:val="00F10DCE"/>
    <w:rsid w:val="00F11C86"/>
    <w:rsid w:val="00F11E98"/>
    <w:rsid w:val="00F16381"/>
    <w:rsid w:val="00F1730A"/>
    <w:rsid w:val="00F207D5"/>
    <w:rsid w:val="00F20889"/>
    <w:rsid w:val="00F236AD"/>
    <w:rsid w:val="00F249AF"/>
    <w:rsid w:val="00F2597F"/>
    <w:rsid w:val="00F32B25"/>
    <w:rsid w:val="00F342DC"/>
    <w:rsid w:val="00F35A31"/>
    <w:rsid w:val="00F36EE7"/>
    <w:rsid w:val="00F41828"/>
    <w:rsid w:val="00F41C46"/>
    <w:rsid w:val="00F43C64"/>
    <w:rsid w:val="00F44F7A"/>
    <w:rsid w:val="00F462A3"/>
    <w:rsid w:val="00F46903"/>
    <w:rsid w:val="00F51022"/>
    <w:rsid w:val="00F51C9F"/>
    <w:rsid w:val="00F5385B"/>
    <w:rsid w:val="00F621D3"/>
    <w:rsid w:val="00F643CA"/>
    <w:rsid w:val="00F64572"/>
    <w:rsid w:val="00F75F77"/>
    <w:rsid w:val="00F80C70"/>
    <w:rsid w:val="00F87E16"/>
    <w:rsid w:val="00F91423"/>
    <w:rsid w:val="00F931D5"/>
    <w:rsid w:val="00F93C58"/>
    <w:rsid w:val="00F93F9C"/>
    <w:rsid w:val="00FB11A3"/>
    <w:rsid w:val="00FB3156"/>
    <w:rsid w:val="00FB3CF0"/>
    <w:rsid w:val="00FB4C4A"/>
    <w:rsid w:val="00FC1CCC"/>
    <w:rsid w:val="00FC1CEB"/>
    <w:rsid w:val="00FC5D63"/>
    <w:rsid w:val="00FD14E6"/>
    <w:rsid w:val="00FD3880"/>
    <w:rsid w:val="00FD50CD"/>
    <w:rsid w:val="00FD56E2"/>
    <w:rsid w:val="00FD64F2"/>
    <w:rsid w:val="00FE1586"/>
    <w:rsid w:val="00FE395C"/>
    <w:rsid w:val="00FE67AF"/>
    <w:rsid w:val="00FE7913"/>
    <w:rsid w:val="00FF3237"/>
    <w:rsid w:val="00FF519D"/>
    <w:rsid w:val="00FF7635"/>
    <w:rsid w:val="73472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9E7CA"/>
  <w15:docId w15:val="{2550E0CB-EBC2-794A-B44A-5FF3C9DA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tabs>
        <w:tab w:val="center" w:pos="4153"/>
        <w:tab w:val="right" w:pos="8306"/>
      </w:tabs>
      <w:snapToGrid w:val="0"/>
      <w:jc w:val="center"/>
    </w:pPr>
    <w:rPr>
      <w:sz w:val="18"/>
      <w:szCs w:val="18"/>
    </w:rPr>
  </w:style>
  <w:style w:type="character" w:styleId="Strong">
    <w:name w:val="Strong"/>
    <w:basedOn w:val="DefaultParagraphFont"/>
    <w:uiPriority w:val="22"/>
    <w:qFormat/>
    <w:rPr>
      <w:b/>
      <w:bCs/>
    </w:rPr>
  </w:style>
  <w:style w:type="character" w:styleId="LineNumber">
    <w:name w:val="line number"/>
    <w:basedOn w:val="DefaultParagraphFont"/>
    <w:uiPriority w:val="99"/>
    <w:semiHidden/>
    <w:unhideWhenUsed/>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EndNoteBibliographyTitle">
    <w:name w:val="EndNote Bibliography Title"/>
    <w:basedOn w:val="Normal"/>
    <w:link w:val="EndNoteBibliographyTitle0"/>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rPr>
      <w:rFonts w:ascii="DengXian" w:eastAsia="DengXian" w:hAnsi="DengXian"/>
      <w:kern w:val="2"/>
      <w:szCs w:val="22"/>
    </w:rPr>
  </w:style>
  <w:style w:type="paragraph" w:customStyle="1" w:styleId="EndNoteBibliography">
    <w:name w:val="EndNote Bibliography"/>
    <w:basedOn w:val="Normal"/>
    <w:link w:val="EndNoteBibliography0"/>
    <w:rPr>
      <w:rFonts w:ascii="DengXian" w:eastAsia="DengXian" w:hAnsi="DengXian"/>
      <w:sz w:val="20"/>
    </w:rPr>
  </w:style>
  <w:style w:type="character" w:customStyle="1" w:styleId="EndNoteBibliography0">
    <w:name w:val="EndNote Bibliography 字符"/>
    <w:basedOn w:val="DefaultParagraphFont"/>
    <w:link w:val="EndNoteBibliography"/>
    <w:rPr>
      <w:rFonts w:ascii="DengXian" w:eastAsia="DengXian" w:hAnsi="DengXian"/>
      <w:kern w:val="2"/>
      <w:szCs w:val="22"/>
    </w:rPr>
  </w:style>
  <w:style w:type="character" w:styleId="CommentReference">
    <w:name w:val="annotation reference"/>
    <w:basedOn w:val="DefaultParagraphFont"/>
    <w:uiPriority w:val="99"/>
    <w:semiHidden/>
    <w:unhideWhenUsed/>
    <w:rsid w:val="00823033"/>
    <w:rPr>
      <w:sz w:val="16"/>
      <w:szCs w:val="16"/>
    </w:rPr>
  </w:style>
  <w:style w:type="paragraph" w:styleId="CommentText">
    <w:name w:val="annotation text"/>
    <w:basedOn w:val="Normal"/>
    <w:link w:val="CommentTextChar"/>
    <w:uiPriority w:val="99"/>
    <w:semiHidden/>
    <w:unhideWhenUsed/>
    <w:rsid w:val="00823033"/>
    <w:rPr>
      <w:sz w:val="20"/>
      <w:szCs w:val="20"/>
    </w:rPr>
  </w:style>
  <w:style w:type="character" w:customStyle="1" w:styleId="CommentTextChar">
    <w:name w:val="Comment Text Char"/>
    <w:basedOn w:val="DefaultParagraphFont"/>
    <w:link w:val="CommentText"/>
    <w:uiPriority w:val="99"/>
    <w:semiHidden/>
    <w:rsid w:val="00823033"/>
    <w:rPr>
      <w:kern w:val="2"/>
      <w:lang w:val="en-US"/>
    </w:rPr>
  </w:style>
  <w:style w:type="paragraph" w:styleId="CommentSubject">
    <w:name w:val="annotation subject"/>
    <w:basedOn w:val="CommentText"/>
    <w:next w:val="CommentText"/>
    <w:link w:val="CommentSubjectChar"/>
    <w:uiPriority w:val="99"/>
    <w:semiHidden/>
    <w:unhideWhenUsed/>
    <w:rsid w:val="00823033"/>
    <w:rPr>
      <w:b/>
      <w:bCs/>
    </w:rPr>
  </w:style>
  <w:style w:type="character" w:customStyle="1" w:styleId="CommentSubjectChar">
    <w:name w:val="Comment Subject Char"/>
    <w:basedOn w:val="CommentTextChar"/>
    <w:link w:val="CommentSubject"/>
    <w:uiPriority w:val="99"/>
    <w:semiHidden/>
    <w:rsid w:val="00823033"/>
    <w:rPr>
      <w:b/>
      <w:bCs/>
      <w:kern w:val="2"/>
      <w:lang w:val="en-US"/>
    </w:rPr>
  </w:style>
  <w:style w:type="paragraph" w:styleId="Revision">
    <w:name w:val="Revision"/>
    <w:hidden/>
    <w:uiPriority w:val="99"/>
    <w:unhideWhenUsed/>
    <w:rsid w:val="00823033"/>
    <w:rPr>
      <w:kern w:val="2"/>
      <w:sz w:val="21"/>
      <w:szCs w:val="22"/>
      <w:lang w:val="en-US"/>
    </w:rPr>
  </w:style>
  <w:style w:type="paragraph" w:styleId="ListParagraph">
    <w:name w:val="List Paragraph"/>
    <w:basedOn w:val="Normal"/>
    <w:uiPriority w:val="99"/>
    <w:unhideWhenUsed/>
    <w:rsid w:val="008456EE"/>
    <w:pPr>
      <w:ind w:firstLineChars="200" w:firstLine="420"/>
    </w:pPr>
  </w:style>
  <w:style w:type="character" w:styleId="Hyperlink">
    <w:name w:val="Hyperlink"/>
    <w:basedOn w:val="DefaultParagraphFont"/>
    <w:uiPriority w:val="99"/>
    <w:unhideWhenUsed/>
    <w:rsid w:val="00F32B25"/>
    <w:rPr>
      <w:color w:val="0563C1" w:themeColor="hyperlink"/>
      <w:u w:val="single"/>
    </w:rPr>
  </w:style>
  <w:style w:type="character" w:customStyle="1" w:styleId="1">
    <w:name w:val="未处理的提及1"/>
    <w:basedOn w:val="DefaultParagraphFont"/>
    <w:uiPriority w:val="99"/>
    <w:semiHidden/>
    <w:unhideWhenUsed/>
    <w:rsid w:val="006E6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CF67E1F-3F85-3349-8924-23EE77BDB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haorun wang</dc:creator>
  <cp:lastModifiedBy>Trupti Sudge</cp:lastModifiedBy>
  <cp:revision>2</cp:revision>
  <dcterms:created xsi:type="dcterms:W3CDTF">2023-10-03T09:03:00Z</dcterms:created>
  <dcterms:modified xsi:type="dcterms:W3CDTF">2023-10-03T09:03:00Z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ACA4A0CF42934D42857DF897B2A80DF0_12</vt:lpwstr>
  </property>
  <property fmtid="{D5CDD505-2E9C-101B-9397-08002B2CF9AE}" pid="3" name="KSOProductBuildVer">
    <vt:lpwstr>2052-12.1.0.15120</vt:lpwstr>
  </property>
  <property fmtid="{D5CDD505-2E9C-101B-9397-08002B2CF9AE}" pid="4" name="LE1">
    <vt:filetime>2023-09-24T06:57:46Z</vt:filetime>
  </property>
</Properties>
</file>