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BF43A" w14:textId="39AF8A89" w:rsidR="006F4020" w:rsidRDefault="006F4020" w:rsidP="00213B49">
      <w:pPr>
        <w:spacing w:line="480" w:lineRule="auto"/>
        <w:rPr>
          <w:rFonts w:ascii="Times New Roman" w:hAnsi="Times New Roman" w:cs="Times New Roman"/>
        </w:rPr>
      </w:pPr>
    </w:p>
    <w:p w14:paraId="32C5CA85" w14:textId="77777777" w:rsidR="006F4020" w:rsidRPr="00DF30AA" w:rsidRDefault="006F4020" w:rsidP="006F4020">
      <w:pPr>
        <w:jc w:val="left"/>
        <w:rPr>
          <w:sz w:val="32"/>
          <w:szCs w:val="36"/>
        </w:rPr>
      </w:pPr>
      <w:r w:rsidRPr="00DF30AA">
        <w:rPr>
          <w:rFonts w:ascii="Times New Roman" w:hAnsi="Times New Roman" w:cs="Times New Roman"/>
          <w:b/>
          <w:bCs/>
          <w:sz w:val="18"/>
          <w:szCs w:val="18"/>
        </w:rPr>
        <w:t>Table 1. Case reports of eosinophilic infiltration-simulated tumors involving digestive system</w:t>
      </w:r>
    </w:p>
    <w:tbl>
      <w:tblPr>
        <w:tblW w:w="10773" w:type="dxa"/>
        <w:tblInd w:w="-1134" w:type="dxa"/>
        <w:tblLayout w:type="fixed"/>
        <w:tblCellMar>
          <w:left w:w="0" w:type="dxa"/>
          <w:right w:w="0" w:type="dxa"/>
        </w:tblCellMar>
        <w:tblLook w:val="04A0" w:firstRow="1" w:lastRow="0" w:firstColumn="1" w:lastColumn="0" w:noHBand="0" w:noVBand="1"/>
      </w:tblPr>
      <w:tblGrid>
        <w:gridCol w:w="283"/>
        <w:gridCol w:w="425"/>
        <w:gridCol w:w="710"/>
        <w:gridCol w:w="850"/>
        <w:gridCol w:w="709"/>
        <w:gridCol w:w="709"/>
        <w:gridCol w:w="1134"/>
        <w:gridCol w:w="992"/>
        <w:gridCol w:w="1701"/>
        <w:gridCol w:w="992"/>
        <w:gridCol w:w="709"/>
        <w:gridCol w:w="992"/>
        <w:gridCol w:w="567"/>
      </w:tblGrid>
      <w:tr w:rsidR="006F4020" w:rsidRPr="003D38E2" w14:paraId="5C47A76C" w14:textId="77777777" w:rsidTr="002B4A43">
        <w:trPr>
          <w:trHeight w:val="537"/>
        </w:trPr>
        <w:tc>
          <w:tcPr>
            <w:tcW w:w="28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8F71672"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Case</w:t>
            </w:r>
          </w:p>
        </w:tc>
        <w:tc>
          <w:tcPr>
            <w:tcW w:w="425"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A251437"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Age/</w:t>
            </w:r>
            <w:r w:rsidRPr="00C01236">
              <w:rPr>
                <w:rFonts w:ascii="Times New Roman" w:hAnsi="Times New Roman" w:cs="Times New Roman"/>
                <w:sz w:val="11"/>
                <w:szCs w:val="11"/>
              </w:rPr>
              <w:br/>
              <w:t>gender</w:t>
            </w:r>
          </w:p>
        </w:tc>
        <w:tc>
          <w:tcPr>
            <w:tcW w:w="71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B85650A"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Suspected diagnosis</w:t>
            </w:r>
          </w:p>
        </w:tc>
        <w:tc>
          <w:tcPr>
            <w:tcW w:w="85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781E90E"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Presenting Symptoms</w:t>
            </w:r>
          </w:p>
        </w:tc>
        <w:tc>
          <w:tcPr>
            <w:tcW w:w="709"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0DD68F50"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Physical examination</w:t>
            </w:r>
          </w:p>
        </w:tc>
        <w:tc>
          <w:tcPr>
            <w:tcW w:w="709"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B449FA4"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Laboratory examination</w:t>
            </w:r>
          </w:p>
        </w:tc>
        <w:tc>
          <w:tcPr>
            <w:tcW w:w="1134"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2AD3D88"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Endoscopy</w:t>
            </w:r>
          </w:p>
        </w:tc>
        <w:tc>
          <w:tcPr>
            <w:tcW w:w="99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B1E5410"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Ultrasonography</w:t>
            </w:r>
          </w:p>
        </w:tc>
        <w:tc>
          <w:tcPr>
            <w:tcW w:w="1701"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58BB27D"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Radiolography</w:t>
            </w:r>
          </w:p>
        </w:tc>
        <w:tc>
          <w:tcPr>
            <w:tcW w:w="99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0B4B6CF5"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Histopathology</w:t>
            </w:r>
          </w:p>
        </w:tc>
        <w:tc>
          <w:tcPr>
            <w:tcW w:w="709"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79FBD1B"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Final diagnosis</w:t>
            </w:r>
          </w:p>
        </w:tc>
        <w:tc>
          <w:tcPr>
            <w:tcW w:w="99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626A74C"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Therapy</w:t>
            </w:r>
          </w:p>
        </w:tc>
        <w:tc>
          <w:tcPr>
            <w:tcW w:w="56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3ECFD6E"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Publication</w:t>
            </w:r>
          </w:p>
          <w:p w14:paraId="75C3314F"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year</w:t>
            </w:r>
          </w:p>
        </w:tc>
      </w:tr>
      <w:tr w:rsidR="006F4020" w:rsidRPr="003D38E2" w14:paraId="3BE21E44" w14:textId="77777777" w:rsidTr="002B4A43">
        <w:trPr>
          <w:trHeight w:val="2531"/>
        </w:trPr>
        <w:tc>
          <w:tcPr>
            <w:tcW w:w="283" w:type="dxa"/>
            <w:tcBorders>
              <w:top w:val="single" w:sz="4" w:space="0" w:color="auto"/>
            </w:tcBorders>
            <w:shd w:val="clear" w:color="auto" w:fill="auto"/>
            <w:tcMar>
              <w:top w:w="15" w:type="dxa"/>
              <w:left w:w="15" w:type="dxa"/>
              <w:bottom w:w="0" w:type="dxa"/>
              <w:right w:w="15" w:type="dxa"/>
            </w:tcMar>
            <w:vAlign w:val="center"/>
            <w:hideMark/>
          </w:tcPr>
          <w:p w14:paraId="43EEC0A9"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1</w:t>
            </w:r>
          </w:p>
        </w:tc>
        <w:tc>
          <w:tcPr>
            <w:tcW w:w="425" w:type="dxa"/>
            <w:tcBorders>
              <w:top w:val="single" w:sz="4" w:space="0" w:color="auto"/>
            </w:tcBorders>
            <w:shd w:val="clear" w:color="auto" w:fill="auto"/>
            <w:tcMar>
              <w:top w:w="15" w:type="dxa"/>
              <w:left w:w="15" w:type="dxa"/>
              <w:bottom w:w="0" w:type="dxa"/>
              <w:right w:w="15" w:type="dxa"/>
            </w:tcMar>
            <w:vAlign w:val="center"/>
            <w:hideMark/>
          </w:tcPr>
          <w:p w14:paraId="3961F8D9"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78/M</w:t>
            </w:r>
          </w:p>
        </w:tc>
        <w:tc>
          <w:tcPr>
            <w:tcW w:w="710" w:type="dxa"/>
            <w:tcBorders>
              <w:top w:val="single" w:sz="4" w:space="0" w:color="auto"/>
            </w:tcBorders>
            <w:shd w:val="clear" w:color="auto" w:fill="auto"/>
            <w:tcMar>
              <w:top w:w="15" w:type="dxa"/>
              <w:left w:w="15" w:type="dxa"/>
              <w:bottom w:w="0" w:type="dxa"/>
              <w:right w:w="15" w:type="dxa"/>
            </w:tcMar>
            <w:vAlign w:val="center"/>
            <w:hideMark/>
          </w:tcPr>
          <w:p w14:paraId="7E94746B"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Colon cancer with hepatic metastases</w:t>
            </w:r>
          </w:p>
        </w:tc>
        <w:tc>
          <w:tcPr>
            <w:tcW w:w="850" w:type="dxa"/>
            <w:tcBorders>
              <w:top w:val="single" w:sz="4" w:space="0" w:color="auto"/>
            </w:tcBorders>
            <w:shd w:val="clear" w:color="auto" w:fill="auto"/>
            <w:tcMar>
              <w:top w:w="15" w:type="dxa"/>
              <w:left w:w="15" w:type="dxa"/>
              <w:bottom w:w="0" w:type="dxa"/>
              <w:right w:w="15" w:type="dxa"/>
            </w:tcMar>
            <w:vAlign w:val="center"/>
            <w:hideMark/>
          </w:tcPr>
          <w:p w14:paraId="20433A0A"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Abdominal pain and weight loss</w:t>
            </w:r>
          </w:p>
        </w:tc>
        <w:tc>
          <w:tcPr>
            <w:tcW w:w="709" w:type="dxa"/>
            <w:tcBorders>
              <w:top w:val="single" w:sz="4" w:space="0" w:color="auto"/>
            </w:tcBorders>
            <w:shd w:val="clear" w:color="auto" w:fill="auto"/>
            <w:tcMar>
              <w:top w:w="15" w:type="dxa"/>
              <w:left w:w="15" w:type="dxa"/>
              <w:bottom w:w="0" w:type="dxa"/>
              <w:right w:w="15" w:type="dxa"/>
            </w:tcMar>
            <w:vAlign w:val="center"/>
            <w:hideMark/>
          </w:tcPr>
          <w:p w14:paraId="4E164D33"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NA</w:t>
            </w:r>
          </w:p>
        </w:tc>
        <w:tc>
          <w:tcPr>
            <w:tcW w:w="709" w:type="dxa"/>
            <w:tcBorders>
              <w:top w:val="single" w:sz="4" w:space="0" w:color="auto"/>
            </w:tcBorders>
            <w:shd w:val="clear" w:color="auto" w:fill="auto"/>
            <w:tcMar>
              <w:top w:w="15" w:type="dxa"/>
              <w:left w:w="15" w:type="dxa"/>
              <w:bottom w:w="0" w:type="dxa"/>
              <w:right w:w="15" w:type="dxa"/>
            </w:tcMar>
            <w:vAlign w:val="center"/>
            <w:hideMark/>
          </w:tcPr>
          <w:p w14:paraId="489C86E0"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Elevated AEC</w:t>
            </w:r>
          </w:p>
        </w:tc>
        <w:tc>
          <w:tcPr>
            <w:tcW w:w="1134" w:type="dxa"/>
            <w:tcBorders>
              <w:top w:val="single" w:sz="4" w:space="0" w:color="auto"/>
            </w:tcBorders>
            <w:shd w:val="clear" w:color="auto" w:fill="auto"/>
            <w:tcMar>
              <w:top w:w="15" w:type="dxa"/>
              <w:left w:w="15" w:type="dxa"/>
              <w:bottom w:w="0" w:type="dxa"/>
              <w:right w:w="15" w:type="dxa"/>
            </w:tcMar>
            <w:vAlign w:val="center"/>
            <w:hideMark/>
          </w:tcPr>
          <w:p w14:paraId="37EF280D"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Luminal narrowing with erythematous mucosa</w:t>
            </w:r>
          </w:p>
        </w:tc>
        <w:tc>
          <w:tcPr>
            <w:tcW w:w="992" w:type="dxa"/>
            <w:tcBorders>
              <w:top w:val="single" w:sz="4" w:space="0" w:color="auto"/>
            </w:tcBorders>
            <w:shd w:val="clear" w:color="auto" w:fill="auto"/>
            <w:tcMar>
              <w:top w:w="15" w:type="dxa"/>
              <w:left w:w="15" w:type="dxa"/>
              <w:bottom w:w="0" w:type="dxa"/>
              <w:right w:w="15" w:type="dxa"/>
            </w:tcMar>
            <w:vAlign w:val="center"/>
            <w:hideMark/>
          </w:tcPr>
          <w:p w14:paraId="6CE04B0B"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NA</w:t>
            </w:r>
          </w:p>
        </w:tc>
        <w:tc>
          <w:tcPr>
            <w:tcW w:w="1701" w:type="dxa"/>
            <w:tcBorders>
              <w:top w:val="single" w:sz="4" w:space="0" w:color="auto"/>
            </w:tcBorders>
            <w:shd w:val="clear" w:color="auto" w:fill="auto"/>
            <w:tcMar>
              <w:top w:w="15" w:type="dxa"/>
              <w:left w:w="15" w:type="dxa"/>
              <w:bottom w:w="0" w:type="dxa"/>
              <w:right w:w="15" w:type="dxa"/>
            </w:tcMar>
            <w:vAlign w:val="center"/>
            <w:hideMark/>
          </w:tcPr>
          <w:p w14:paraId="73ABDA68"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CT: An encircling mass at hepatic flexure colon with markedly dilated proximal ascending colon loops, tubular hypoattenuating lesions in liver</w:t>
            </w:r>
            <w:r w:rsidRPr="00C01236">
              <w:rPr>
                <w:rFonts w:ascii="Times New Roman" w:hAnsi="Times New Roman" w:cs="Times New Roman"/>
                <w:sz w:val="11"/>
                <w:szCs w:val="11"/>
              </w:rPr>
              <w:br/>
              <w:t>PET/CT: Moderate FDG uptake lesion at the hepatic flexure colon and multiple foci of FDG accumulation in liver</w:t>
            </w:r>
          </w:p>
        </w:tc>
        <w:tc>
          <w:tcPr>
            <w:tcW w:w="992" w:type="dxa"/>
            <w:tcBorders>
              <w:top w:val="single" w:sz="4" w:space="0" w:color="auto"/>
            </w:tcBorders>
            <w:shd w:val="clear" w:color="auto" w:fill="auto"/>
            <w:tcMar>
              <w:top w:w="15" w:type="dxa"/>
              <w:left w:w="15" w:type="dxa"/>
              <w:bottom w:w="0" w:type="dxa"/>
              <w:right w:w="15" w:type="dxa"/>
            </w:tcMar>
            <w:vAlign w:val="center"/>
            <w:hideMark/>
          </w:tcPr>
          <w:p w14:paraId="22E6B9E6"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Colonoscopic biopsy and CT-guided liver biopsy showed only eosinophilic infiltration</w:t>
            </w:r>
          </w:p>
        </w:tc>
        <w:tc>
          <w:tcPr>
            <w:tcW w:w="709" w:type="dxa"/>
            <w:tcBorders>
              <w:top w:val="single" w:sz="4" w:space="0" w:color="auto"/>
            </w:tcBorders>
            <w:shd w:val="clear" w:color="auto" w:fill="auto"/>
            <w:tcMar>
              <w:top w:w="15" w:type="dxa"/>
              <w:left w:w="15" w:type="dxa"/>
              <w:bottom w:w="0" w:type="dxa"/>
              <w:right w:w="15" w:type="dxa"/>
            </w:tcMar>
            <w:vAlign w:val="center"/>
            <w:hideMark/>
          </w:tcPr>
          <w:p w14:paraId="0876789C"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Eosinophilic colitis</w:t>
            </w:r>
          </w:p>
        </w:tc>
        <w:tc>
          <w:tcPr>
            <w:tcW w:w="992" w:type="dxa"/>
            <w:tcBorders>
              <w:top w:val="single" w:sz="4" w:space="0" w:color="auto"/>
            </w:tcBorders>
            <w:shd w:val="clear" w:color="auto" w:fill="auto"/>
            <w:tcMar>
              <w:top w:w="15" w:type="dxa"/>
              <w:left w:w="15" w:type="dxa"/>
              <w:bottom w:w="0" w:type="dxa"/>
              <w:right w:w="15" w:type="dxa"/>
            </w:tcMar>
            <w:vAlign w:val="center"/>
            <w:hideMark/>
          </w:tcPr>
          <w:p w14:paraId="43FDBA29"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NA</w:t>
            </w:r>
          </w:p>
        </w:tc>
        <w:tc>
          <w:tcPr>
            <w:tcW w:w="567" w:type="dxa"/>
            <w:tcBorders>
              <w:top w:val="single" w:sz="4" w:space="0" w:color="auto"/>
            </w:tcBorders>
            <w:shd w:val="clear" w:color="auto" w:fill="auto"/>
            <w:tcMar>
              <w:top w:w="15" w:type="dxa"/>
              <w:left w:w="15" w:type="dxa"/>
              <w:bottom w:w="0" w:type="dxa"/>
              <w:right w:w="15" w:type="dxa"/>
            </w:tcMar>
            <w:vAlign w:val="center"/>
            <w:hideMark/>
          </w:tcPr>
          <w:p w14:paraId="77DB874A"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2013</w:t>
            </w:r>
            <w:r w:rsidRPr="00C01236">
              <w:rPr>
                <w:rFonts w:ascii="Times New Roman" w:hAnsi="Times New Roman" w:cs="Times New Roman"/>
                <w:sz w:val="11"/>
                <w:szCs w:val="11"/>
              </w:rPr>
              <w:fldChar w:fldCharType="begin"/>
            </w:r>
            <w:r>
              <w:rPr>
                <w:rFonts w:ascii="Times New Roman" w:hAnsi="Times New Roman" w:cs="Times New Roman"/>
                <w:sz w:val="11"/>
                <w:szCs w:val="11"/>
              </w:rPr>
              <w:instrText xml:space="preserve"> ADDIN ZOTERO_ITEM CSL_CITATION {"citationID":"7pu79xh0","properties":{"formattedCitation":"[12]","plainCitation":"[12]","noteIndex":0},"citationItems":[{"id":11312,"uris":["http://zotero.org/users/8355457/items/ZASAI356"],"itemData":{"id":11312,"type":"article-journal","abstract":"We describe the case of a 78-year-old man presenting with abdominal pain and a weight loss of 5 kg over 2 months. Colonoscopy and abdominal CT suggested colon cancer of hepatic flexure. F-FDG PET/CT scan showed moderate FDG uptake lesion at the hepatic flexure colon and multiple foci of FDG accumulation in the liver. These were considered as colon cancer with multiple hepatic metastases. However, the pathologic finding of colonoscopic biopsy and CT-guided liver biopsy showed only eosinophilic infiltration and no evidence of malignancy.","archive_location":"2 citation(s)","call-number":"10.782","container-title":"Clinical Nuclear Medicine","DOI":"10.1097/RLU.0b013e318286bfe0","ISSN":"1536-0229","issue":"6","journalAbbreviation":"Clin Nucl Med","language":"eng","note":"PMID: 23510892","page":"471-473","source":"3","title":"Eosinophilic infiltration in the colon and liver mimicking primary colon cancer with hepatic metastases on (18)F-FDG PET/CT","volume":"38","author":[{"family":"Jo","given":"Il"},{"family":"Won","given":"Kyoung Sook"},{"family":"Choi","given":"Byung Wook"},{"family":"Kim","given":"Sung Hoon"},{"family":"Zeon","given":"Seok Kil"}],"issued":{"date-parts":[["2013",6]]}}}],"schema":"https://github.com/citation-style-language/schema/raw/master/csl-citation.json"} </w:instrText>
            </w:r>
            <w:r w:rsidRPr="00C01236">
              <w:rPr>
                <w:rFonts w:ascii="Times New Roman" w:hAnsi="Times New Roman" w:cs="Times New Roman"/>
                <w:sz w:val="11"/>
                <w:szCs w:val="11"/>
              </w:rPr>
              <w:fldChar w:fldCharType="separate"/>
            </w:r>
            <w:r w:rsidRPr="00961B30">
              <w:rPr>
                <w:rFonts w:ascii="Times New Roman" w:hAnsi="Times New Roman" w:cs="Times New Roman"/>
                <w:sz w:val="11"/>
              </w:rPr>
              <w:t>[12]</w:t>
            </w:r>
            <w:r w:rsidRPr="00C01236">
              <w:rPr>
                <w:rFonts w:ascii="Times New Roman" w:hAnsi="Times New Roman" w:cs="Times New Roman"/>
                <w:sz w:val="11"/>
                <w:szCs w:val="11"/>
              </w:rPr>
              <w:fldChar w:fldCharType="end"/>
            </w:r>
          </w:p>
        </w:tc>
      </w:tr>
      <w:tr w:rsidR="006F4020" w:rsidRPr="003D38E2" w14:paraId="1F18F671" w14:textId="77777777" w:rsidTr="002B4A43">
        <w:trPr>
          <w:trHeight w:val="1701"/>
        </w:trPr>
        <w:tc>
          <w:tcPr>
            <w:tcW w:w="283" w:type="dxa"/>
            <w:shd w:val="clear" w:color="auto" w:fill="auto"/>
            <w:tcMar>
              <w:top w:w="15" w:type="dxa"/>
              <w:left w:w="15" w:type="dxa"/>
              <w:bottom w:w="0" w:type="dxa"/>
              <w:right w:w="15" w:type="dxa"/>
            </w:tcMar>
            <w:vAlign w:val="center"/>
            <w:hideMark/>
          </w:tcPr>
          <w:p w14:paraId="6CAFDE42"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2</w:t>
            </w:r>
          </w:p>
        </w:tc>
        <w:tc>
          <w:tcPr>
            <w:tcW w:w="425" w:type="dxa"/>
            <w:shd w:val="clear" w:color="auto" w:fill="auto"/>
            <w:tcMar>
              <w:top w:w="15" w:type="dxa"/>
              <w:left w:w="15" w:type="dxa"/>
              <w:bottom w:w="0" w:type="dxa"/>
              <w:right w:w="15" w:type="dxa"/>
            </w:tcMar>
            <w:vAlign w:val="center"/>
            <w:hideMark/>
          </w:tcPr>
          <w:p w14:paraId="31EE75BA"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24/M</w:t>
            </w:r>
          </w:p>
        </w:tc>
        <w:tc>
          <w:tcPr>
            <w:tcW w:w="710" w:type="dxa"/>
            <w:shd w:val="clear" w:color="auto" w:fill="auto"/>
            <w:tcMar>
              <w:top w:w="15" w:type="dxa"/>
              <w:left w:w="15" w:type="dxa"/>
              <w:bottom w:w="0" w:type="dxa"/>
              <w:right w:w="15" w:type="dxa"/>
            </w:tcMar>
            <w:vAlign w:val="center"/>
            <w:hideMark/>
          </w:tcPr>
          <w:p w14:paraId="24271BD7"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Low grade lymphoma involving stomach and duodenum</w:t>
            </w:r>
          </w:p>
        </w:tc>
        <w:tc>
          <w:tcPr>
            <w:tcW w:w="850" w:type="dxa"/>
            <w:shd w:val="clear" w:color="auto" w:fill="auto"/>
            <w:tcMar>
              <w:top w:w="15" w:type="dxa"/>
              <w:left w:w="15" w:type="dxa"/>
              <w:bottom w:w="0" w:type="dxa"/>
              <w:right w:w="15" w:type="dxa"/>
            </w:tcMar>
            <w:vAlign w:val="center"/>
            <w:hideMark/>
          </w:tcPr>
          <w:p w14:paraId="0B63D496"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Abdominal pain, postprandial vomiting and weight loss</w:t>
            </w:r>
          </w:p>
        </w:tc>
        <w:tc>
          <w:tcPr>
            <w:tcW w:w="709" w:type="dxa"/>
            <w:shd w:val="clear" w:color="auto" w:fill="auto"/>
            <w:tcMar>
              <w:top w:w="15" w:type="dxa"/>
              <w:left w:w="15" w:type="dxa"/>
              <w:bottom w:w="0" w:type="dxa"/>
              <w:right w:w="15" w:type="dxa"/>
            </w:tcMar>
            <w:vAlign w:val="center"/>
            <w:hideMark/>
          </w:tcPr>
          <w:p w14:paraId="0FDF2AEE"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Slightly distended with tenderness</w:t>
            </w:r>
          </w:p>
        </w:tc>
        <w:tc>
          <w:tcPr>
            <w:tcW w:w="709" w:type="dxa"/>
            <w:shd w:val="clear" w:color="auto" w:fill="auto"/>
            <w:tcMar>
              <w:top w:w="15" w:type="dxa"/>
              <w:left w:w="15" w:type="dxa"/>
              <w:bottom w:w="0" w:type="dxa"/>
              <w:right w:w="15" w:type="dxa"/>
            </w:tcMar>
            <w:vAlign w:val="center"/>
            <w:hideMark/>
          </w:tcPr>
          <w:p w14:paraId="7F7E94EB"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Evelated WBC, AEC, IgE</w:t>
            </w:r>
          </w:p>
        </w:tc>
        <w:tc>
          <w:tcPr>
            <w:tcW w:w="1134" w:type="dxa"/>
            <w:shd w:val="clear" w:color="auto" w:fill="auto"/>
            <w:tcMar>
              <w:top w:w="15" w:type="dxa"/>
              <w:left w:w="15" w:type="dxa"/>
              <w:bottom w:w="0" w:type="dxa"/>
              <w:right w:w="15" w:type="dxa"/>
            </w:tcMar>
            <w:vAlign w:val="center"/>
            <w:hideMark/>
          </w:tcPr>
          <w:p w14:paraId="3623FEDF"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Hyperemic, edematous mucosa</w:t>
            </w:r>
          </w:p>
        </w:tc>
        <w:tc>
          <w:tcPr>
            <w:tcW w:w="992" w:type="dxa"/>
            <w:shd w:val="clear" w:color="auto" w:fill="auto"/>
            <w:tcMar>
              <w:top w:w="15" w:type="dxa"/>
              <w:left w:w="15" w:type="dxa"/>
              <w:bottom w:w="0" w:type="dxa"/>
              <w:right w:w="15" w:type="dxa"/>
            </w:tcMar>
            <w:vAlign w:val="center"/>
            <w:hideMark/>
          </w:tcPr>
          <w:p w14:paraId="1DF58276"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Circumferential wall thickening of the mucosal, submucosal and muscularis propria layers</w:t>
            </w:r>
          </w:p>
        </w:tc>
        <w:tc>
          <w:tcPr>
            <w:tcW w:w="1701" w:type="dxa"/>
            <w:shd w:val="clear" w:color="auto" w:fill="auto"/>
            <w:tcMar>
              <w:top w:w="15" w:type="dxa"/>
              <w:left w:w="15" w:type="dxa"/>
              <w:bottom w:w="0" w:type="dxa"/>
              <w:right w:w="15" w:type="dxa"/>
            </w:tcMar>
            <w:vAlign w:val="center"/>
            <w:hideMark/>
          </w:tcPr>
          <w:p w14:paraId="6E9AAD59"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CT: Thickening of the distal stomach and duodenal wall, minimal ascites</w:t>
            </w:r>
            <w:r w:rsidRPr="00C01236">
              <w:rPr>
                <w:rFonts w:ascii="Times New Roman" w:hAnsi="Times New Roman" w:cs="Times New Roman"/>
                <w:sz w:val="11"/>
                <w:szCs w:val="11"/>
              </w:rPr>
              <w:br/>
              <w:t>PET/CT: A moderate metabolic active aspect of D2-D3 with hypermetabolic bone marrow</w:t>
            </w:r>
          </w:p>
        </w:tc>
        <w:tc>
          <w:tcPr>
            <w:tcW w:w="992" w:type="dxa"/>
            <w:shd w:val="clear" w:color="auto" w:fill="auto"/>
            <w:tcMar>
              <w:top w:w="15" w:type="dxa"/>
              <w:left w:w="15" w:type="dxa"/>
              <w:bottom w:w="0" w:type="dxa"/>
              <w:right w:w="15" w:type="dxa"/>
            </w:tcMar>
            <w:vAlign w:val="center"/>
            <w:hideMark/>
          </w:tcPr>
          <w:p w14:paraId="3EF93049"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 transmural infiltrate of eosinophils, especially in the muscularis propria</w:t>
            </w:r>
          </w:p>
        </w:tc>
        <w:tc>
          <w:tcPr>
            <w:tcW w:w="709" w:type="dxa"/>
            <w:shd w:val="clear" w:color="auto" w:fill="auto"/>
            <w:tcMar>
              <w:top w:w="15" w:type="dxa"/>
              <w:left w:w="15" w:type="dxa"/>
              <w:bottom w:w="0" w:type="dxa"/>
              <w:right w:w="15" w:type="dxa"/>
            </w:tcMar>
            <w:vAlign w:val="center"/>
            <w:hideMark/>
          </w:tcPr>
          <w:p w14:paraId="78BE2B38"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HSE, eosinophilic gastroenteritis</w:t>
            </w:r>
          </w:p>
        </w:tc>
        <w:tc>
          <w:tcPr>
            <w:tcW w:w="992" w:type="dxa"/>
            <w:shd w:val="clear" w:color="auto" w:fill="auto"/>
            <w:tcMar>
              <w:top w:w="15" w:type="dxa"/>
              <w:left w:w="15" w:type="dxa"/>
              <w:bottom w:w="0" w:type="dxa"/>
              <w:right w:w="15" w:type="dxa"/>
            </w:tcMar>
            <w:vAlign w:val="center"/>
            <w:hideMark/>
          </w:tcPr>
          <w:p w14:paraId="328D0738"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Methylprednisolone,</w:t>
            </w:r>
            <w:r>
              <w:rPr>
                <w:rFonts w:ascii="Times New Roman" w:hAnsi="Times New Roman" w:cs="Times New Roman"/>
                <w:sz w:val="11"/>
                <w:szCs w:val="11"/>
              </w:rPr>
              <w:t xml:space="preserve"> </w:t>
            </w:r>
            <w:r w:rsidRPr="00C01236">
              <w:rPr>
                <w:rFonts w:ascii="Times New Roman" w:hAnsi="Times New Roman" w:cs="Times New Roman"/>
                <w:sz w:val="11"/>
                <w:szCs w:val="11"/>
              </w:rPr>
              <w:t>with montelukast and budesonide</w:t>
            </w:r>
          </w:p>
        </w:tc>
        <w:tc>
          <w:tcPr>
            <w:tcW w:w="567" w:type="dxa"/>
            <w:shd w:val="clear" w:color="auto" w:fill="auto"/>
            <w:tcMar>
              <w:top w:w="15" w:type="dxa"/>
              <w:left w:w="15" w:type="dxa"/>
              <w:bottom w:w="0" w:type="dxa"/>
              <w:right w:w="15" w:type="dxa"/>
            </w:tcMar>
            <w:vAlign w:val="center"/>
            <w:hideMark/>
          </w:tcPr>
          <w:p w14:paraId="675ABD31"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2019</w:t>
            </w:r>
            <w:r w:rsidRPr="00C01236">
              <w:rPr>
                <w:rFonts w:ascii="Times New Roman" w:hAnsi="Times New Roman" w:cs="Times New Roman"/>
                <w:sz w:val="11"/>
                <w:szCs w:val="11"/>
              </w:rPr>
              <w:fldChar w:fldCharType="begin"/>
            </w:r>
            <w:r>
              <w:rPr>
                <w:rFonts w:ascii="Times New Roman" w:hAnsi="Times New Roman" w:cs="Times New Roman"/>
                <w:sz w:val="11"/>
                <w:szCs w:val="11"/>
              </w:rPr>
              <w:instrText xml:space="preserve"> ADDIN ZOTERO_ITEM CSL_CITATION {"citationID":"RDFCAaqp","properties":{"formattedCitation":"[13]","plainCitation":"[13]","noteIndex":0},"citationItems":[{"id":10932,"uris":["http://zotero.org/users/8355457/items/PFIHNUU8"],"itemData":{"id":10932,"type":"article-journal","abstract":"A 24-year-old male presented with abdominal pain, postprandial vomiting and weight loss. Lab results showed an elevated serum eosinophil count and CT-scan demonstrated a thickened antral, duodenal and jejunal wall. Repetitive endoscopic mucosal biopsies were normal. Work-up of eosinophilia-associated gastro-intestinal disorders excluded secondary causes. Bone marrow showed an elevated eosinophil count without arguments for a primary hypereosinophilic syndrome. Endoscopic ultrasound-guided fine needle biopsy detected a strongly elevated number of eosinophils in the muscularis layer of the duodenum. The diagnosis of muscularispredominant eosinophilic gastroenteritis together with a secondary hypereosinophilic syndrome was made. The patient was started on steroids and all symptoms vanished within a few days.","call-number":"1.692","container-title":"Acta Gastro-Enterologica Belgica","ISSN":"1784-3227","issue":"4","journalAbbreviation":"Acta Gastroenterol Belg","language":"eng","note":"PMID: 31950810","page":"532-535","source":"4","title":"A man with abdominal pain and eosinophilia : tissue is the issue","title-short":"A man with abdominal pain and eosinophilia","volume":"82","author":[{"family":"Crapé","given":"L."},{"family":"Strubbe","given":"B."},{"family":"Cesmeli","given":"E."},{"family":"Clerck","given":"F.","non-dropping-particle":"de"}],"issued":{"date-parts":[["2019"]]}}}],"schema":"https://github.com/citation-style-language/schema/raw/master/csl-citation.json"} </w:instrText>
            </w:r>
            <w:r w:rsidRPr="00C01236">
              <w:rPr>
                <w:rFonts w:ascii="Times New Roman" w:hAnsi="Times New Roman" w:cs="Times New Roman"/>
                <w:sz w:val="11"/>
                <w:szCs w:val="11"/>
              </w:rPr>
              <w:fldChar w:fldCharType="separate"/>
            </w:r>
            <w:r w:rsidRPr="00961B30">
              <w:rPr>
                <w:rFonts w:ascii="Times New Roman" w:hAnsi="Times New Roman" w:cs="Times New Roman"/>
                <w:sz w:val="11"/>
              </w:rPr>
              <w:t>[13]</w:t>
            </w:r>
            <w:r w:rsidRPr="00C01236">
              <w:rPr>
                <w:rFonts w:ascii="Times New Roman" w:hAnsi="Times New Roman" w:cs="Times New Roman"/>
                <w:sz w:val="11"/>
                <w:szCs w:val="11"/>
              </w:rPr>
              <w:fldChar w:fldCharType="end"/>
            </w:r>
          </w:p>
        </w:tc>
      </w:tr>
      <w:tr w:rsidR="006F4020" w:rsidRPr="003D38E2" w14:paraId="3F510EFE" w14:textId="77777777" w:rsidTr="002B4A43">
        <w:trPr>
          <w:trHeight w:val="2193"/>
        </w:trPr>
        <w:tc>
          <w:tcPr>
            <w:tcW w:w="283" w:type="dxa"/>
            <w:shd w:val="clear" w:color="auto" w:fill="auto"/>
            <w:tcMar>
              <w:top w:w="15" w:type="dxa"/>
              <w:left w:w="15" w:type="dxa"/>
              <w:bottom w:w="0" w:type="dxa"/>
              <w:right w:w="15" w:type="dxa"/>
            </w:tcMar>
            <w:vAlign w:val="center"/>
            <w:hideMark/>
          </w:tcPr>
          <w:p w14:paraId="1BB30746"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3</w:t>
            </w:r>
          </w:p>
        </w:tc>
        <w:tc>
          <w:tcPr>
            <w:tcW w:w="425" w:type="dxa"/>
            <w:shd w:val="clear" w:color="auto" w:fill="auto"/>
            <w:tcMar>
              <w:top w:w="15" w:type="dxa"/>
              <w:left w:w="15" w:type="dxa"/>
              <w:bottom w:w="0" w:type="dxa"/>
              <w:right w:w="15" w:type="dxa"/>
            </w:tcMar>
            <w:vAlign w:val="center"/>
            <w:hideMark/>
          </w:tcPr>
          <w:p w14:paraId="3E2AC113"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56/F</w:t>
            </w:r>
          </w:p>
        </w:tc>
        <w:tc>
          <w:tcPr>
            <w:tcW w:w="710" w:type="dxa"/>
            <w:shd w:val="clear" w:color="auto" w:fill="auto"/>
            <w:tcMar>
              <w:top w:w="15" w:type="dxa"/>
              <w:left w:w="15" w:type="dxa"/>
              <w:bottom w:w="0" w:type="dxa"/>
              <w:right w:w="15" w:type="dxa"/>
            </w:tcMar>
            <w:vAlign w:val="center"/>
            <w:hideMark/>
          </w:tcPr>
          <w:p w14:paraId="093DDC09"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Malignant lymphoma involving stomach and duodenum</w:t>
            </w:r>
          </w:p>
        </w:tc>
        <w:tc>
          <w:tcPr>
            <w:tcW w:w="850" w:type="dxa"/>
            <w:shd w:val="clear" w:color="auto" w:fill="auto"/>
            <w:tcMar>
              <w:top w:w="15" w:type="dxa"/>
              <w:left w:w="15" w:type="dxa"/>
              <w:bottom w:w="0" w:type="dxa"/>
              <w:right w:w="15" w:type="dxa"/>
            </w:tcMar>
            <w:vAlign w:val="center"/>
            <w:hideMark/>
          </w:tcPr>
          <w:p w14:paraId="252EE87D"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Epigastric pain</w:t>
            </w:r>
          </w:p>
        </w:tc>
        <w:tc>
          <w:tcPr>
            <w:tcW w:w="709" w:type="dxa"/>
            <w:shd w:val="clear" w:color="auto" w:fill="auto"/>
            <w:tcMar>
              <w:top w:w="15" w:type="dxa"/>
              <w:left w:w="15" w:type="dxa"/>
              <w:bottom w:w="0" w:type="dxa"/>
              <w:right w:w="15" w:type="dxa"/>
            </w:tcMar>
            <w:vAlign w:val="center"/>
            <w:hideMark/>
          </w:tcPr>
          <w:p w14:paraId="1399C520"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Soft and flat</w:t>
            </w:r>
          </w:p>
          <w:p w14:paraId="0D2C1B91"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with tenderness</w:t>
            </w:r>
          </w:p>
        </w:tc>
        <w:tc>
          <w:tcPr>
            <w:tcW w:w="709" w:type="dxa"/>
            <w:shd w:val="clear" w:color="auto" w:fill="auto"/>
            <w:tcMar>
              <w:top w:w="15" w:type="dxa"/>
              <w:left w:w="15" w:type="dxa"/>
              <w:bottom w:w="0" w:type="dxa"/>
              <w:right w:w="15" w:type="dxa"/>
            </w:tcMar>
            <w:vAlign w:val="center"/>
            <w:hideMark/>
          </w:tcPr>
          <w:p w14:paraId="702A5354"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Slightlty evelated CRP</w:t>
            </w:r>
          </w:p>
        </w:tc>
        <w:tc>
          <w:tcPr>
            <w:tcW w:w="1134" w:type="dxa"/>
            <w:shd w:val="clear" w:color="auto" w:fill="auto"/>
            <w:tcMar>
              <w:top w:w="15" w:type="dxa"/>
              <w:left w:w="15" w:type="dxa"/>
              <w:bottom w:w="0" w:type="dxa"/>
              <w:right w:w="15" w:type="dxa"/>
            </w:tcMar>
            <w:vAlign w:val="center"/>
            <w:hideMark/>
          </w:tcPr>
          <w:p w14:paraId="22CBAC90"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Hyperemia of the gastric corpus, protruding erosions in the antrum, and edematous changes in the duodenum</w:t>
            </w:r>
          </w:p>
        </w:tc>
        <w:tc>
          <w:tcPr>
            <w:tcW w:w="992" w:type="dxa"/>
            <w:shd w:val="clear" w:color="auto" w:fill="auto"/>
            <w:tcMar>
              <w:top w:w="15" w:type="dxa"/>
              <w:left w:w="15" w:type="dxa"/>
              <w:bottom w:w="0" w:type="dxa"/>
              <w:right w:w="15" w:type="dxa"/>
            </w:tcMar>
            <w:vAlign w:val="center"/>
            <w:hideMark/>
          </w:tcPr>
          <w:p w14:paraId="7AA7CB47"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Circumferential wall thickening with preserved wall stratification</w:t>
            </w:r>
          </w:p>
        </w:tc>
        <w:tc>
          <w:tcPr>
            <w:tcW w:w="1701" w:type="dxa"/>
            <w:shd w:val="clear" w:color="auto" w:fill="auto"/>
            <w:tcMar>
              <w:top w:w="15" w:type="dxa"/>
              <w:left w:w="15" w:type="dxa"/>
              <w:bottom w:w="0" w:type="dxa"/>
              <w:right w:w="15" w:type="dxa"/>
            </w:tcMar>
            <w:vAlign w:val="center"/>
            <w:hideMark/>
          </w:tcPr>
          <w:p w14:paraId="122E6120"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CT: Cumferential wall thickening and lymphadenopathy</w:t>
            </w:r>
            <w:r w:rsidRPr="00C01236">
              <w:rPr>
                <w:rFonts w:ascii="Times New Roman" w:hAnsi="Times New Roman" w:cs="Times New Roman"/>
                <w:sz w:val="11"/>
                <w:szCs w:val="11"/>
              </w:rPr>
              <w:br/>
              <w:t>PET/CT: A high degree of FDG accumulation in the antroduodenal lesion</w:t>
            </w:r>
          </w:p>
        </w:tc>
        <w:tc>
          <w:tcPr>
            <w:tcW w:w="992" w:type="dxa"/>
            <w:shd w:val="clear" w:color="auto" w:fill="auto"/>
            <w:tcMar>
              <w:top w:w="15" w:type="dxa"/>
              <w:left w:w="15" w:type="dxa"/>
              <w:bottom w:w="0" w:type="dxa"/>
              <w:right w:w="15" w:type="dxa"/>
            </w:tcMar>
            <w:vAlign w:val="center"/>
            <w:hideMark/>
          </w:tcPr>
          <w:p w14:paraId="1850C5B2"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Eosinophil infiltration in the duodenal mucosa (14–21 cells/ HPF) and antral mucosa (20 cells/HPF)</w:t>
            </w:r>
          </w:p>
        </w:tc>
        <w:tc>
          <w:tcPr>
            <w:tcW w:w="709" w:type="dxa"/>
            <w:shd w:val="clear" w:color="auto" w:fill="auto"/>
            <w:tcMar>
              <w:top w:w="15" w:type="dxa"/>
              <w:left w:w="15" w:type="dxa"/>
              <w:bottom w:w="0" w:type="dxa"/>
              <w:right w:w="15" w:type="dxa"/>
            </w:tcMar>
            <w:vAlign w:val="center"/>
            <w:hideMark/>
          </w:tcPr>
          <w:p w14:paraId="6DBCF290"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Eosinophilic gastroenteritis</w:t>
            </w:r>
          </w:p>
        </w:tc>
        <w:tc>
          <w:tcPr>
            <w:tcW w:w="992" w:type="dxa"/>
            <w:shd w:val="clear" w:color="auto" w:fill="auto"/>
            <w:tcMar>
              <w:top w:w="15" w:type="dxa"/>
              <w:left w:w="15" w:type="dxa"/>
              <w:bottom w:w="0" w:type="dxa"/>
              <w:right w:w="15" w:type="dxa"/>
            </w:tcMar>
            <w:vAlign w:val="center"/>
            <w:hideMark/>
          </w:tcPr>
          <w:p w14:paraId="04B2614C"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Vonoprazan fumarate</w:t>
            </w:r>
          </w:p>
          <w:p w14:paraId="4A4B5223"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(patient</w:t>
            </w:r>
            <w:r>
              <w:rPr>
                <w:rFonts w:ascii="Times New Roman" w:hAnsi="Times New Roman" w:cs="Times New Roman"/>
                <w:sz w:val="11"/>
                <w:szCs w:val="11"/>
              </w:rPr>
              <w:t xml:space="preserve"> </w:t>
            </w:r>
            <w:r w:rsidRPr="00C01236">
              <w:rPr>
                <w:rFonts w:ascii="Times New Roman" w:hAnsi="Times New Roman" w:cs="Times New Roman"/>
                <w:sz w:val="11"/>
                <w:szCs w:val="11"/>
              </w:rPr>
              <w:t>refused steroid treatment)</w:t>
            </w:r>
          </w:p>
        </w:tc>
        <w:tc>
          <w:tcPr>
            <w:tcW w:w="567" w:type="dxa"/>
            <w:shd w:val="clear" w:color="auto" w:fill="auto"/>
            <w:tcMar>
              <w:top w:w="15" w:type="dxa"/>
              <w:left w:w="15" w:type="dxa"/>
              <w:bottom w:w="0" w:type="dxa"/>
              <w:right w:w="15" w:type="dxa"/>
            </w:tcMar>
            <w:vAlign w:val="center"/>
            <w:hideMark/>
          </w:tcPr>
          <w:p w14:paraId="469AE507"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2021</w:t>
            </w:r>
            <w:r>
              <w:rPr>
                <w:rFonts w:ascii="Times New Roman" w:hAnsi="Times New Roman" w:cs="Times New Roman"/>
                <w:sz w:val="11"/>
                <w:szCs w:val="11"/>
              </w:rPr>
              <w:fldChar w:fldCharType="begin"/>
            </w:r>
            <w:r>
              <w:rPr>
                <w:rFonts w:ascii="Times New Roman" w:hAnsi="Times New Roman" w:cs="Times New Roman"/>
                <w:sz w:val="11"/>
                <w:szCs w:val="11"/>
              </w:rPr>
              <w:instrText xml:space="preserve"> ADDIN ZOTERO_ITEM CSL_CITATION {"citationID":"2G4BRoKr","properties":{"formattedCitation":"[14]","plainCitation":"[14]","noteIndex":0},"citationItems":[{"id":11554,"uris":["http://zotero.org/users/8355457/items/RTQBJ73Z"],"itemData":{"id":11554,"type":"article-journal","abstract":"Eosinophilic gastroenteritis (EGE) can present findings on computed tomography (CT) images that resemble malignant tumors. EGE is generally treated with systemic oral steroid administration, which is reportedly effective in relieving symptoms at least temporarily. Here, we report a case of EGE that mimicked malignant lymphoma in a gastroduodenal lesion, in which treatment with a potassium-competitive acid blocker without systemic oral steroid administration relieved the symptoms and reversed the initial image findings. A 56-year-old woman became aware of discomfort in her epigastric region, which gradually worsened. This case showed antroduodenal wall thickness, which mimicked a malignant lymphoma with increased F-18 fluorodeoxyglucose (FDG) uptake by positron emission tomography/computed tomography (PET/CT). An upper gastrointestinal endoscopy revealed protruding erosions in the antrum and severe edematous changes in the duodenum. Extensibility of the normal gastric wall by insufflation also occurred. However, an abdominal ultrasound indicated wall thickening with a preserved wall structure. Histological examinations showed a large amount of eosinophil infiltration, mainly in the gastroduodenal mucosa, without malignant cells. Thus, we made a final diagnosis of EGE. The patient was then administered 20 mg vonoprazan fumarate per day because she refused steroid treatment and because the pathological lesion was also localized from the duodenum to the antrum. After 3 weeks of potassium-competitive acid blocker treatment, her symptoms were alleviated, and the degree and extent of thickening of the gastroduodenal wall in upper gastrointestinal endoscopy and ultrasonographic image findings had remarkably improved.","archive_location":"0 citation(s)","container-title":"Radiology Case Reports","DOI":"10.1016/j.radcr.2021.05.039","ISSN":"1930-0433","issue":"8","journalAbbreviation":"Radiol Case Rep","language":"eng","note":"PMID: 34168718\nPMCID: PMC8209650","page":"2174-2178","source":"PubMed","title":"A case of eosinophilic gastroenteritis with high PET-CT accumulation treated by P-CAB","volume":"16","author":[{"family":"Manabe","given":"Noriaki"},{"family":"Todo","given":"Erika"},{"family":"Haruma","given":"Ken"},{"family":"Ayaki","given":"Maki"},{"family":"Nakamura","given":"Jun"},{"family":"Fujita","given":"Minoru"},{"family":"Monobe","given":"Yasumasa"},{"family":"Kato","given":"Katsuya"},{"family":"Kamada","given":"Tomoari"},{"family":"Handa","given":"Yoshihiko"},{"family":"Matsubara","given":"Masaki"},{"family":"Yamatsuji","given":"Tomoki"},{"family":"Naomoto","given":"Yoshio"}],"issued":{"date-parts":[["2021",8]]}}}],"schema":"https://github.com/citation-style-language/schema/raw/master/csl-citation.json"} </w:instrText>
            </w:r>
            <w:r>
              <w:rPr>
                <w:rFonts w:ascii="Times New Roman" w:hAnsi="Times New Roman" w:cs="Times New Roman"/>
                <w:sz w:val="11"/>
                <w:szCs w:val="11"/>
              </w:rPr>
              <w:fldChar w:fldCharType="separate"/>
            </w:r>
            <w:r w:rsidRPr="005A2514">
              <w:rPr>
                <w:rFonts w:ascii="Times New Roman" w:hAnsi="Times New Roman" w:cs="Times New Roman"/>
                <w:sz w:val="11"/>
              </w:rPr>
              <w:t>[14]</w:t>
            </w:r>
            <w:r>
              <w:rPr>
                <w:rFonts w:ascii="Times New Roman" w:hAnsi="Times New Roman" w:cs="Times New Roman"/>
                <w:sz w:val="11"/>
                <w:szCs w:val="11"/>
              </w:rPr>
              <w:fldChar w:fldCharType="end"/>
            </w:r>
          </w:p>
        </w:tc>
      </w:tr>
      <w:tr w:rsidR="006F4020" w:rsidRPr="003D38E2" w14:paraId="381A0FC6" w14:textId="77777777" w:rsidTr="002B4A43">
        <w:trPr>
          <w:trHeight w:val="1460"/>
        </w:trPr>
        <w:tc>
          <w:tcPr>
            <w:tcW w:w="283" w:type="dxa"/>
            <w:shd w:val="clear" w:color="auto" w:fill="auto"/>
            <w:tcMar>
              <w:top w:w="15" w:type="dxa"/>
              <w:left w:w="15" w:type="dxa"/>
              <w:bottom w:w="0" w:type="dxa"/>
              <w:right w:w="15" w:type="dxa"/>
            </w:tcMar>
            <w:vAlign w:val="center"/>
            <w:hideMark/>
          </w:tcPr>
          <w:p w14:paraId="23B8EAC3"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4</w:t>
            </w:r>
          </w:p>
        </w:tc>
        <w:tc>
          <w:tcPr>
            <w:tcW w:w="425" w:type="dxa"/>
            <w:shd w:val="clear" w:color="auto" w:fill="auto"/>
            <w:tcMar>
              <w:top w:w="15" w:type="dxa"/>
              <w:left w:w="15" w:type="dxa"/>
              <w:bottom w:w="0" w:type="dxa"/>
              <w:right w:w="15" w:type="dxa"/>
            </w:tcMar>
            <w:vAlign w:val="center"/>
            <w:hideMark/>
          </w:tcPr>
          <w:p w14:paraId="0812EF12"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36/M</w:t>
            </w:r>
          </w:p>
        </w:tc>
        <w:tc>
          <w:tcPr>
            <w:tcW w:w="710" w:type="dxa"/>
            <w:shd w:val="clear" w:color="auto" w:fill="auto"/>
            <w:tcMar>
              <w:top w:w="15" w:type="dxa"/>
              <w:left w:w="15" w:type="dxa"/>
              <w:bottom w:w="0" w:type="dxa"/>
              <w:right w:w="15" w:type="dxa"/>
            </w:tcMar>
            <w:vAlign w:val="center"/>
            <w:hideMark/>
          </w:tcPr>
          <w:p w14:paraId="596A29CE"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Pancreatic tumor</w:t>
            </w:r>
          </w:p>
        </w:tc>
        <w:tc>
          <w:tcPr>
            <w:tcW w:w="850" w:type="dxa"/>
            <w:shd w:val="clear" w:color="auto" w:fill="auto"/>
            <w:tcMar>
              <w:top w:w="15" w:type="dxa"/>
              <w:left w:w="15" w:type="dxa"/>
              <w:bottom w:w="0" w:type="dxa"/>
              <w:right w:w="15" w:type="dxa"/>
            </w:tcMar>
            <w:vAlign w:val="center"/>
            <w:hideMark/>
          </w:tcPr>
          <w:p w14:paraId="58D29A60"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Epigastric pain, nausea, anorexia, weight loss and fatigue</w:t>
            </w:r>
          </w:p>
        </w:tc>
        <w:tc>
          <w:tcPr>
            <w:tcW w:w="709" w:type="dxa"/>
            <w:shd w:val="clear" w:color="auto" w:fill="auto"/>
            <w:tcMar>
              <w:top w:w="15" w:type="dxa"/>
              <w:left w:w="15" w:type="dxa"/>
              <w:bottom w:w="0" w:type="dxa"/>
              <w:right w:w="15" w:type="dxa"/>
            </w:tcMar>
            <w:vAlign w:val="center"/>
            <w:hideMark/>
          </w:tcPr>
          <w:p w14:paraId="22794D36"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Epigastric tenderness with guarding but no rebound</w:t>
            </w:r>
          </w:p>
        </w:tc>
        <w:tc>
          <w:tcPr>
            <w:tcW w:w="709" w:type="dxa"/>
            <w:shd w:val="clear" w:color="auto" w:fill="auto"/>
            <w:tcMar>
              <w:top w:w="15" w:type="dxa"/>
              <w:left w:w="15" w:type="dxa"/>
              <w:bottom w:w="0" w:type="dxa"/>
              <w:right w:w="15" w:type="dxa"/>
            </w:tcMar>
            <w:vAlign w:val="center"/>
            <w:hideMark/>
          </w:tcPr>
          <w:p w14:paraId="2293DF85"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Normal AEC</w:t>
            </w:r>
          </w:p>
        </w:tc>
        <w:tc>
          <w:tcPr>
            <w:tcW w:w="1134" w:type="dxa"/>
            <w:shd w:val="clear" w:color="auto" w:fill="auto"/>
            <w:tcMar>
              <w:top w:w="15" w:type="dxa"/>
              <w:left w:w="15" w:type="dxa"/>
              <w:bottom w:w="0" w:type="dxa"/>
              <w:right w:w="15" w:type="dxa"/>
            </w:tcMar>
            <w:vAlign w:val="center"/>
            <w:hideMark/>
          </w:tcPr>
          <w:p w14:paraId="1DF2AF0F"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ERCP: Double duct stricturing involving the distal CBD and pancreatic duct in the head</w:t>
            </w:r>
          </w:p>
        </w:tc>
        <w:tc>
          <w:tcPr>
            <w:tcW w:w="992" w:type="dxa"/>
            <w:shd w:val="clear" w:color="auto" w:fill="auto"/>
            <w:tcMar>
              <w:top w:w="15" w:type="dxa"/>
              <w:left w:w="15" w:type="dxa"/>
              <w:bottom w:w="0" w:type="dxa"/>
              <w:right w:w="15" w:type="dxa"/>
            </w:tcMar>
            <w:vAlign w:val="center"/>
            <w:hideMark/>
          </w:tcPr>
          <w:p w14:paraId="02329FB4"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 dilated CBD suggestive of distal biliary obstruction with an enlarged pancreatic head</w:t>
            </w:r>
          </w:p>
        </w:tc>
        <w:tc>
          <w:tcPr>
            <w:tcW w:w="1701" w:type="dxa"/>
            <w:shd w:val="clear" w:color="auto" w:fill="auto"/>
            <w:tcMar>
              <w:top w:w="15" w:type="dxa"/>
              <w:left w:w="15" w:type="dxa"/>
              <w:bottom w:w="0" w:type="dxa"/>
              <w:right w:w="15" w:type="dxa"/>
            </w:tcMar>
            <w:vAlign w:val="center"/>
            <w:hideMark/>
          </w:tcPr>
          <w:p w14:paraId="6B257A47"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Distal CBD stricture, low density mass in pancreatic head with dilatation of the pancreatic ducts</w:t>
            </w:r>
          </w:p>
        </w:tc>
        <w:tc>
          <w:tcPr>
            <w:tcW w:w="992" w:type="dxa"/>
            <w:shd w:val="clear" w:color="auto" w:fill="auto"/>
            <w:tcMar>
              <w:top w:w="15" w:type="dxa"/>
              <w:left w:w="15" w:type="dxa"/>
              <w:bottom w:w="0" w:type="dxa"/>
              <w:right w:w="15" w:type="dxa"/>
            </w:tcMar>
            <w:vAlign w:val="center"/>
            <w:hideMark/>
          </w:tcPr>
          <w:p w14:paraId="17D0F759"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Diffuse eosinophilic infiltrate, involving areas of fibrosis, the pancreatic septae</w:t>
            </w:r>
          </w:p>
        </w:tc>
        <w:tc>
          <w:tcPr>
            <w:tcW w:w="709" w:type="dxa"/>
            <w:shd w:val="clear" w:color="auto" w:fill="auto"/>
            <w:tcMar>
              <w:top w:w="15" w:type="dxa"/>
              <w:left w:w="15" w:type="dxa"/>
              <w:bottom w:w="0" w:type="dxa"/>
              <w:right w:w="15" w:type="dxa"/>
            </w:tcMar>
            <w:vAlign w:val="center"/>
            <w:hideMark/>
          </w:tcPr>
          <w:p w14:paraId="46ADDDFC"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Eosinophilic pancreatitis</w:t>
            </w:r>
          </w:p>
        </w:tc>
        <w:tc>
          <w:tcPr>
            <w:tcW w:w="992" w:type="dxa"/>
            <w:shd w:val="clear" w:color="auto" w:fill="auto"/>
            <w:tcMar>
              <w:top w:w="15" w:type="dxa"/>
              <w:left w:w="15" w:type="dxa"/>
              <w:bottom w:w="0" w:type="dxa"/>
              <w:right w:w="15" w:type="dxa"/>
            </w:tcMar>
            <w:vAlign w:val="center"/>
            <w:hideMark/>
          </w:tcPr>
          <w:p w14:paraId="1729DF6C"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 pylorus-sparing pancreatico-duodenectomy</w:t>
            </w:r>
          </w:p>
        </w:tc>
        <w:tc>
          <w:tcPr>
            <w:tcW w:w="567" w:type="dxa"/>
            <w:shd w:val="clear" w:color="auto" w:fill="auto"/>
            <w:tcMar>
              <w:top w:w="15" w:type="dxa"/>
              <w:left w:w="15" w:type="dxa"/>
              <w:bottom w:w="0" w:type="dxa"/>
              <w:right w:w="15" w:type="dxa"/>
            </w:tcMar>
            <w:vAlign w:val="center"/>
            <w:hideMark/>
          </w:tcPr>
          <w:p w14:paraId="3C6CE1AA"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2000</w:t>
            </w:r>
            <w:r w:rsidRPr="00C01236">
              <w:rPr>
                <w:rFonts w:ascii="Times New Roman" w:hAnsi="Times New Roman" w:cs="Times New Roman"/>
                <w:sz w:val="11"/>
                <w:szCs w:val="11"/>
              </w:rPr>
              <w:fldChar w:fldCharType="begin"/>
            </w:r>
            <w:r>
              <w:rPr>
                <w:rFonts w:ascii="Times New Roman" w:hAnsi="Times New Roman" w:cs="Times New Roman"/>
                <w:sz w:val="11"/>
                <w:szCs w:val="11"/>
              </w:rPr>
              <w:instrText xml:space="preserve"> ADDIN ZOTERO_ITEM CSL_CITATION {"citationID":"zfgENYK4","properties":{"formattedCitation":"[11]","plainCitation":"[11]","noteIndex":0},"citationItems":[{"id":11175,"uris":["http://zotero.org/users/8355457/items/XTCWXUZ8"],"itemData":{"id":11175,"type":"article-journal","abstract":"Eosinophilic pancreatitis is a rare disorder that is frequently diagnosed only after pancreatic resection for suspected pancreatic tumor. It typically occurs in the setting of either eosinophilic gastroenteritis or the hypereosinophilic syndrome. Isolated eosinophilic infiltration of the pancreas is less common. We describe a case of a 36-year-old man who presented with the clinical symptoms of acute pancreatitis. Radiologic evaluation revealed an obstructive pancreatic lesion suspicious for carcinoma. Pathologic examination of the resection specimen revealed a dense infiltrate of eosinophils in the pancreas. Although an uncommon condition, eosinophilic pancreatitis is a syndrome lacking well-defined causes that can be associated with eosinophilic gastroenteritis, a treatable condition, or the potentially fatal hypereosinophilic syndrome. While the radiographic features of this condition can vary widely, eosinophilic infiltration of the pancreas with or without involvement of the gastrointestinal tract is the pathologic feature common to all of the previously reported cases.","archive_location":"54 citation(s)","call-number":"2.134","container-title":"Annals of Diagnostic Pathology","DOI":"10.1053/adpa.2000.19371","ISSN":"1092-9134","issue":"6","journalAbbreviation":"Ann Diagn Pathol","language":"eng","note":"PMID: 11149970","page":"379-385","source":"4","title":"Eosinophilic pancreatitis: a rare entity that can mimic a pancreatic neoplasm","title-short":"Eosinophilic pancreatitis","volume":"4","author":[{"family":"Euscher","given":"E."},{"family":"Vaswani","given":"K."},{"family":"Frankel","given":"W."}],"issued":{"date-parts":[["2000",12]]}}}],"schema":"https://github.com/citation-style-language/schema/raw/master/csl-citation.json"} </w:instrText>
            </w:r>
            <w:r w:rsidRPr="00C01236">
              <w:rPr>
                <w:rFonts w:ascii="Times New Roman" w:hAnsi="Times New Roman" w:cs="Times New Roman"/>
                <w:sz w:val="11"/>
                <w:szCs w:val="11"/>
              </w:rPr>
              <w:fldChar w:fldCharType="separate"/>
            </w:r>
            <w:r w:rsidRPr="00961B30">
              <w:rPr>
                <w:rFonts w:ascii="Times New Roman" w:hAnsi="Times New Roman" w:cs="Times New Roman"/>
                <w:sz w:val="11"/>
              </w:rPr>
              <w:t>[11]</w:t>
            </w:r>
            <w:r w:rsidRPr="00C01236">
              <w:rPr>
                <w:rFonts w:ascii="Times New Roman" w:hAnsi="Times New Roman" w:cs="Times New Roman"/>
                <w:sz w:val="11"/>
                <w:szCs w:val="11"/>
              </w:rPr>
              <w:fldChar w:fldCharType="end"/>
            </w:r>
          </w:p>
        </w:tc>
      </w:tr>
      <w:tr w:rsidR="006F4020" w:rsidRPr="003D38E2" w14:paraId="2015D283" w14:textId="77777777" w:rsidTr="002B4A43">
        <w:trPr>
          <w:trHeight w:val="2193"/>
        </w:trPr>
        <w:tc>
          <w:tcPr>
            <w:tcW w:w="283" w:type="dxa"/>
            <w:shd w:val="clear" w:color="auto" w:fill="auto"/>
            <w:tcMar>
              <w:top w:w="15" w:type="dxa"/>
              <w:left w:w="15" w:type="dxa"/>
              <w:bottom w:w="0" w:type="dxa"/>
              <w:right w:w="15" w:type="dxa"/>
            </w:tcMar>
            <w:vAlign w:val="center"/>
            <w:hideMark/>
          </w:tcPr>
          <w:p w14:paraId="5ADBF0AD"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5</w:t>
            </w:r>
          </w:p>
        </w:tc>
        <w:tc>
          <w:tcPr>
            <w:tcW w:w="425" w:type="dxa"/>
            <w:shd w:val="clear" w:color="auto" w:fill="auto"/>
            <w:tcMar>
              <w:top w:w="15" w:type="dxa"/>
              <w:left w:w="15" w:type="dxa"/>
              <w:bottom w:w="0" w:type="dxa"/>
              <w:right w:w="15" w:type="dxa"/>
            </w:tcMar>
            <w:vAlign w:val="center"/>
            <w:hideMark/>
          </w:tcPr>
          <w:p w14:paraId="42ACFD35"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14/M</w:t>
            </w:r>
          </w:p>
        </w:tc>
        <w:tc>
          <w:tcPr>
            <w:tcW w:w="710" w:type="dxa"/>
            <w:shd w:val="clear" w:color="auto" w:fill="auto"/>
            <w:tcMar>
              <w:top w:w="15" w:type="dxa"/>
              <w:left w:w="15" w:type="dxa"/>
              <w:bottom w:w="0" w:type="dxa"/>
              <w:right w:w="15" w:type="dxa"/>
            </w:tcMar>
            <w:vAlign w:val="center"/>
            <w:hideMark/>
          </w:tcPr>
          <w:p w14:paraId="017AA45D"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Pancreatic tumor</w:t>
            </w:r>
          </w:p>
        </w:tc>
        <w:tc>
          <w:tcPr>
            <w:tcW w:w="850" w:type="dxa"/>
            <w:shd w:val="clear" w:color="auto" w:fill="auto"/>
            <w:tcMar>
              <w:top w:w="15" w:type="dxa"/>
              <w:left w:w="15" w:type="dxa"/>
              <w:bottom w:w="0" w:type="dxa"/>
              <w:right w:w="15" w:type="dxa"/>
            </w:tcMar>
            <w:vAlign w:val="center"/>
            <w:hideMark/>
          </w:tcPr>
          <w:p w14:paraId="5900298C"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Vomiting, abdominal pain and jaundice</w:t>
            </w:r>
          </w:p>
        </w:tc>
        <w:tc>
          <w:tcPr>
            <w:tcW w:w="709" w:type="dxa"/>
            <w:shd w:val="clear" w:color="auto" w:fill="auto"/>
            <w:tcMar>
              <w:top w:w="15" w:type="dxa"/>
              <w:left w:w="15" w:type="dxa"/>
              <w:bottom w:w="0" w:type="dxa"/>
              <w:right w:w="15" w:type="dxa"/>
            </w:tcMar>
            <w:vAlign w:val="center"/>
            <w:hideMark/>
          </w:tcPr>
          <w:p w14:paraId="7646CEAD"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 mass palpated above the umbilicus</w:t>
            </w:r>
          </w:p>
        </w:tc>
        <w:tc>
          <w:tcPr>
            <w:tcW w:w="709" w:type="dxa"/>
            <w:shd w:val="clear" w:color="auto" w:fill="auto"/>
            <w:tcMar>
              <w:top w:w="15" w:type="dxa"/>
              <w:left w:w="15" w:type="dxa"/>
              <w:bottom w:w="0" w:type="dxa"/>
              <w:right w:w="15" w:type="dxa"/>
            </w:tcMar>
            <w:vAlign w:val="center"/>
            <w:hideMark/>
          </w:tcPr>
          <w:p w14:paraId="1573C0F4"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Elevated AEC, IgE</w:t>
            </w:r>
          </w:p>
        </w:tc>
        <w:tc>
          <w:tcPr>
            <w:tcW w:w="1134" w:type="dxa"/>
            <w:shd w:val="clear" w:color="auto" w:fill="auto"/>
            <w:tcMar>
              <w:top w:w="15" w:type="dxa"/>
              <w:left w:w="15" w:type="dxa"/>
              <w:bottom w:w="0" w:type="dxa"/>
              <w:right w:w="15" w:type="dxa"/>
            </w:tcMar>
            <w:vAlign w:val="center"/>
            <w:hideMark/>
          </w:tcPr>
          <w:p w14:paraId="14BE1F18"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Ampulla of Vater was edematous, irregular and fragile; the intestinal lumen was narrowed</w:t>
            </w:r>
          </w:p>
        </w:tc>
        <w:tc>
          <w:tcPr>
            <w:tcW w:w="992" w:type="dxa"/>
            <w:shd w:val="clear" w:color="auto" w:fill="auto"/>
            <w:tcMar>
              <w:top w:w="15" w:type="dxa"/>
              <w:left w:w="15" w:type="dxa"/>
              <w:bottom w:w="0" w:type="dxa"/>
              <w:right w:w="15" w:type="dxa"/>
            </w:tcMar>
            <w:vAlign w:val="center"/>
            <w:hideMark/>
          </w:tcPr>
          <w:p w14:paraId="5CBB9603"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 relatively well-demarcated 19 mm × 13 mm mass in the pancreatic head</w:t>
            </w:r>
          </w:p>
        </w:tc>
        <w:tc>
          <w:tcPr>
            <w:tcW w:w="1701" w:type="dxa"/>
            <w:shd w:val="clear" w:color="auto" w:fill="auto"/>
            <w:tcMar>
              <w:top w:w="15" w:type="dxa"/>
              <w:left w:w="15" w:type="dxa"/>
              <w:bottom w:w="0" w:type="dxa"/>
              <w:right w:w="15" w:type="dxa"/>
            </w:tcMar>
            <w:vAlign w:val="center"/>
            <w:hideMark/>
          </w:tcPr>
          <w:p w14:paraId="2376D712"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A pancreatic mass obstructing the duodenum and CBD</w:t>
            </w:r>
          </w:p>
        </w:tc>
        <w:tc>
          <w:tcPr>
            <w:tcW w:w="992" w:type="dxa"/>
            <w:shd w:val="clear" w:color="auto" w:fill="auto"/>
            <w:tcMar>
              <w:top w:w="15" w:type="dxa"/>
              <w:left w:w="15" w:type="dxa"/>
              <w:bottom w:w="0" w:type="dxa"/>
              <w:right w:w="15" w:type="dxa"/>
            </w:tcMar>
            <w:vAlign w:val="center"/>
            <w:hideMark/>
          </w:tcPr>
          <w:p w14:paraId="2125892F"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Dense eosinophilic infiltrationtes, fibrosis, eosinophilic microabcess-forming chronic purulent inflammation</w:t>
            </w:r>
          </w:p>
        </w:tc>
        <w:tc>
          <w:tcPr>
            <w:tcW w:w="709" w:type="dxa"/>
            <w:shd w:val="clear" w:color="auto" w:fill="auto"/>
            <w:tcMar>
              <w:top w:w="15" w:type="dxa"/>
              <w:left w:w="15" w:type="dxa"/>
              <w:bottom w:w="0" w:type="dxa"/>
              <w:right w:w="15" w:type="dxa"/>
            </w:tcMar>
            <w:vAlign w:val="center"/>
            <w:hideMark/>
          </w:tcPr>
          <w:p w14:paraId="380C9A07"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Eosinophilic pancreatitis</w:t>
            </w:r>
          </w:p>
        </w:tc>
        <w:tc>
          <w:tcPr>
            <w:tcW w:w="992" w:type="dxa"/>
            <w:shd w:val="clear" w:color="auto" w:fill="auto"/>
            <w:tcMar>
              <w:top w:w="15" w:type="dxa"/>
              <w:left w:w="15" w:type="dxa"/>
              <w:bottom w:w="0" w:type="dxa"/>
              <w:right w:w="15" w:type="dxa"/>
            </w:tcMar>
            <w:vAlign w:val="center"/>
            <w:hideMark/>
          </w:tcPr>
          <w:p w14:paraId="567DE318"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Gastrojejunostomy and tube cholecystotomy</w:t>
            </w:r>
          </w:p>
          <w:p w14:paraId="367E06C8"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Oral prednisone (methylprednisolone)</w:t>
            </w:r>
          </w:p>
        </w:tc>
        <w:tc>
          <w:tcPr>
            <w:tcW w:w="567" w:type="dxa"/>
            <w:shd w:val="clear" w:color="auto" w:fill="auto"/>
            <w:tcMar>
              <w:top w:w="15" w:type="dxa"/>
              <w:left w:w="15" w:type="dxa"/>
              <w:bottom w:w="0" w:type="dxa"/>
              <w:right w:w="15" w:type="dxa"/>
            </w:tcMar>
            <w:vAlign w:val="center"/>
            <w:hideMark/>
          </w:tcPr>
          <w:p w14:paraId="1BD6F230"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2006</w:t>
            </w:r>
            <w:r w:rsidRPr="00C01236">
              <w:rPr>
                <w:rFonts w:ascii="Times New Roman" w:hAnsi="Times New Roman" w:cs="Times New Roman"/>
                <w:sz w:val="11"/>
                <w:szCs w:val="11"/>
              </w:rPr>
              <w:fldChar w:fldCharType="begin"/>
            </w:r>
            <w:r>
              <w:rPr>
                <w:rFonts w:ascii="Times New Roman" w:hAnsi="Times New Roman" w:cs="Times New Roman"/>
                <w:sz w:val="11"/>
                <w:szCs w:val="11"/>
              </w:rPr>
              <w:instrText xml:space="preserve"> ADDIN ZOTERO_ITEM CSL_CITATION {"citationID":"4k2I8r9E","properties":{"formattedCitation":"[10]","plainCitation":"[10]","noteIndex":0},"citationItems":[{"id":11268,"uris":["http://zotero.org/users/8355457/items/GVN4GM4Z"],"itemData":{"id":11268,"type":"article-journal","abstract":"Eosinophilic pancreatitis (EP) is a rare disease. It typically occurs in the setting of either eosinophilic gastroenteritis or the hypereosinophilic syndrome. Isolated eosinophilic infiltration of the pancreas is less common. EP usually presents as a pancreatic tumour with abdominal pain and/or obstructive jaundice. The diagnosis is often not made until after pancreatic resection under suspicion of a pancreatic tumour. The case of a 14-year-old boy whose initial presentation was suggestive of a pancreatic tumour is reported. Radiological evaluation revealed a pancreatic mass suggestive of a pancreatic tumour obstructing the duodenum and common bile duct. The patient underwent surgery and a gastrojejunal anostomosis, tube cholecystostomy and biopsy were performed with no postoperative complications. The diagnosis of EP was established after surgical biopsy. The biopsy specimen revealed prominent eosinophilic infiltration. Serum immunoglobulin E levels were elevated. The patient was treated with oral prednisolone (40 mg/day). After two months of oral steroid therapy, clinical manifestations rapidly improved and peripheral eosinophilia subsided. Computed tomography scan revealed remission of the pancreatic mass-like lesion.","archive_location":"29 citation(s)","container-title":"Canadian Journal of Gastroenterology = Journal Canadien De Gastroenterologie","DOI":"10.1155/2006/386918","ISSN":"0835-7900","issue":"5","journalAbbreviation":"Can J Gastroenterol","language":"eng","note":"PMID: 16691304\nPMCID: PMC2659896","page":"361-364","source":"PubMed","title":"Eosinophilic pancreatitis mimicking pancreatic neoplasia","volume":"20","author":[{"family":"Cay","given":"Ali"},{"family":"Imamoglu","given":"Mustafa"},{"family":"Cobanoglu","given":"Umit"}],"issued":{"date-parts":[["2006",5]]}}}],"schema":"https://github.com/citation-style-language/schema/raw/master/csl-citation.json"} </w:instrText>
            </w:r>
            <w:r w:rsidRPr="00C01236">
              <w:rPr>
                <w:rFonts w:ascii="Times New Roman" w:hAnsi="Times New Roman" w:cs="Times New Roman"/>
                <w:sz w:val="11"/>
                <w:szCs w:val="11"/>
              </w:rPr>
              <w:fldChar w:fldCharType="separate"/>
            </w:r>
            <w:r w:rsidRPr="00961B30">
              <w:rPr>
                <w:rFonts w:ascii="Times New Roman" w:hAnsi="Times New Roman" w:cs="Times New Roman"/>
                <w:sz w:val="11"/>
              </w:rPr>
              <w:t>[10]</w:t>
            </w:r>
            <w:r w:rsidRPr="00C01236">
              <w:rPr>
                <w:rFonts w:ascii="Times New Roman" w:hAnsi="Times New Roman" w:cs="Times New Roman"/>
                <w:sz w:val="11"/>
                <w:szCs w:val="11"/>
              </w:rPr>
              <w:fldChar w:fldCharType="end"/>
            </w:r>
          </w:p>
        </w:tc>
      </w:tr>
      <w:tr w:rsidR="006F4020" w:rsidRPr="003D38E2" w14:paraId="38C5E8CD" w14:textId="77777777" w:rsidTr="002B4A43">
        <w:trPr>
          <w:trHeight w:val="32"/>
        </w:trPr>
        <w:tc>
          <w:tcPr>
            <w:tcW w:w="283" w:type="dxa"/>
            <w:tcBorders>
              <w:bottom w:val="single" w:sz="4" w:space="0" w:color="auto"/>
            </w:tcBorders>
            <w:shd w:val="clear" w:color="auto" w:fill="auto"/>
            <w:tcMar>
              <w:top w:w="15" w:type="dxa"/>
              <w:left w:w="15" w:type="dxa"/>
              <w:bottom w:w="0" w:type="dxa"/>
              <w:right w:w="15" w:type="dxa"/>
            </w:tcMar>
            <w:vAlign w:val="center"/>
            <w:hideMark/>
          </w:tcPr>
          <w:p w14:paraId="0039B27A"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6</w:t>
            </w:r>
          </w:p>
        </w:tc>
        <w:tc>
          <w:tcPr>
            <w:tcW w:w="425" w:type="dxa"/>
            <w:tcBorders>
              <w:bottom w:val="single" w:sz="4" w:space="0" w:color="auto"/>
            </w:tcBorders>
            <w:shd w:val="clear" w:color="auto" w:fill="auto"/>
            <w:tcMar>
              <w:top w:w="15" w:type="dxa"/>
              <w:left w:w="15" w:type="dxa"/>
              <w:bottom w:w="0" w:type="dxa"/>
              <w:right w:w="15" w:type="dxa"/>
            </w:tcMar>
            <w:vAlign w:val="center"/>
            <w:hideMark/>
          </w:tcPr>
          <w:p w14:paraId="40809F5A"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51/F</w:t>
            </w:r>
          </w:p>
        </w:tc>
        <w:tc>
          <w:tcPr>
            <w:tcW w:w="710" w:type="dxa"/>
            <w:tcBorders>
              <w:bottom w:val="single" w:sz="4" w:space="0" w:color="auto"/>
            </w:tcBorders>
            <w:shd w:val="clear" w:color="auto" w:fill="auto"/>
            <w:tcMar>
              <w:top w:w="15" w:type="dxa"/>
              <w:left w:w="15" w:type="dxa"/>
              <w:bottom w:w="0" w:type="dxa"/>
              <w:right w:w="15" w:type="dxa"/>
            </w:tcMar>
            <w:vAlign w:val="center"/>
            <w:hideMark/>
          </w:tcPr>
          <w:p w14:paraId="216E1FE8"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Gastric carcinoma with metastasis</w:t>
            </w:r>
          </w:p>
        </w:tc>
        <w:tc>
          <w:tcPr>
            <w:tcW w:w="850" w:type="dxa"/>
            <w:tcBorders>
              <w:bottom w:val="single" w:sz="4" w:space="0" w:color="auto"/>
            </w:tcBorders>
            <w:shd w:val="clear" w:color="auto" w:fill="auto"/>
            <w:tcMar>
              <w:top w:w="15" w:type="dxa"/>
              <w:left w:w="15" w:type="dxa"/>
              <w:bottom w:w="0" w:type="dxa"/>
              <w:right w:w="15" w:type="dxa"/>
            </w:tcMar>
            <w:vAlign w:val="center"/>
            <w:hideMark/>
          </w:tcPr>
          <w:p w14:paraId="18CAD1D6"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 xml:space="preserve">Epigastric pain, </w:t>
            </w:r>
            <w:r>
              <w:rPr>
                <w:rFonts w:ascii="Times New Roman" w:hAnsi="Times New Roman" w:cs="Times New Roman"/>
                <w:sz w:val="11"/>
                <w:szCs w:val="11"/>
              </w:rPr>
              <w:t xml:space="preserve">weight loss, </w:t>
            </w:r>
            <w:r w:rsidRPr="00C01236">
              <w:rPr>
                <w:rFonts w:ascii="Times New Roman" w:hAnsi="Times New Roman" w:cs="Times New Roman"/>
                <w:sz w:val="11"/>
                <w:szCs w:val="11"/>
              </w:rPr>
              <w:t>fatigue, vomiting and hemoptysis</w:t>
            </w:r>
          </w:p>
        </w:tc>
        <w:tc>
          <w:tcPr>
            <w:tcW w:w="709" w:type="dxa"/>
            <w:tcBorders>
              <w:bottom w:val="single" w:sz="4" w:space="0" w:color="auto"/>
            </w:tcBorders>
            <w:shd w:val="clear" w:color="auto" w:fill="auto"/>
            <w:tcMar>
              <w:top w:w="15" w:type="dxa"/>
              <w:left w:w="15" w:type="dxa"/>
              <w:bottom w:w="0" w:type="dxa"/>
              <w:right w:w="15" w:type="dxa"/>
            </w:tcMar>
            <w:vAlign w:val="center"/>
            <w:hideMark/>
          </w:tcPr>
          <w:p w14:paraId="37E0CE51"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Gentle tenderness</w:t>
            </w:r>
          </w:p>
        </w:tc>
        <w:tc>
          <w:tcPr>
            <w:tcW w:w="709" w:type="dxa"/>
            <w:tcBorders>
              <w:bottom w:val="single" w:sz="4" w:space="0" w:color="auto"/>
            </w:tcBorders>
            <w:shd w:val="clear" w:color="auto" w:fill="auto"/>
            <w:tcMar>
              <w:top w:w="15" w:type="dxa"/>
              <w:left w:w="15" w:type="dxa"/>
              <w:bottom w:w="0" w:type="dxa"/>
              <w:right w:w="15" w:type="dxa"/>
            </w:tcMar>
            <w:vAlign w:val="center"/>
            <w:hideMark/>
          </w:tcPr>
          <w:p w14:paraId="4657CF85"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Evelated AEC, CRP, IgE</w:t>
            </w:r>
          </w:p>
        </w:tc>
        <w:tc>
          <w:tcPr>
            <w:tcW w:w="1134" w:type="dxa"/>
            <w:tcBorders>
              <w:bottom w:val="single" w:sz="4" w:space="0" w:color="auto"/>
            </w:tcBorders>
            <w:shd w:val="clear" w:color="auto" w:fill="auto"/>
            <w:tcMar>
              <w:top w:w="15" w:type="dxa"/>
              <w:left w:w="15" w:type="dxa"/>
              <w:bottom w:w="0" w:type="dxa"/>
              <w:right w:w="15" w:type="dxa"/>
            </w:tcMar>
            <w:vAlign w:val="center"/>
            <w:hideMark/>
          </w:tcPr>
          <w:p w14:paraId="31C0EFD8"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Mucosal swelling and hyperemia</w:t>
            </w:r>
          </w:p>
        </w:tc>
        <w:tc>
          <w:tcPr>
            <w:tcW w:w="992" w:type="dxa"/>
            <w:tcBorders>
              <w:bottom w:val="single" w:sz="4" w:space="0" w:color="auto"/>
            </w:tcBorders>
            <w:shd w:val="clear" w:color="auto" w:fill="auto"/>
            <w:tcMar>
              <w:top w:w="15" w:type="dxa"/>
              <w:left w:w="15" w:type="dxa"/>
              <w:bottom w:w="0" w:type="dxa"/>
              <w:right w:w="15" w:type="dxa"/>
            </w:tcMar>
            <w:vAlign w:val="center"/>
            <w:hideMark/>
          </w:tcPr>
          <w:p w14:paraId="51BDF2BB"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 xml:space="preserve">Localized mucosal and submucosal thickening, a 10 mm diameter lymph node outside the thickened </w:t>
            </w:r>
            <w:r w:rsidRPr="00C01236">
              <w:rPr>
                <w:rFonts w:ascii="Times New Roman" w:hAnsi="Times New Roman" w:cs="Times New Roman"/>
                <w:sz w:val="11"/>
                <w:szCs w:val="11"/>
              </w:rPr>
              <w:lastRenderedPageBreak/>
              <w:t>gastric wall</w:t>
            </w:r>
          </w:p>
        </w:tc>
        <w:tc>
          <w:tcPr>
            <w:tcW w:w="1701" w:type="dxa"/>
            <w:tcBorders>
              <w:bottom w:val="single" w:sz="4" w:space="0" w:color="auto"/>
            </w:tcBorders>
            <w:shd w:val="clear" w:color="auto" w:fill="auto"/>
            <w:tcMar>
              <w:top w:w="15" w:type="dxa"/>
              <w:left w:w="15" w:type="dxa"/>
              <w:bottom w:w="0" w:type="dxa"/>
              <w:right w:w="15" w:type="dxa"/>
            </w:tcMar>
            <w:vAlign w:val="center"/>
            <w:hideMark/>
          </w:tcPr>
          <w:p w14:paraId="7F15D1C9"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lastRenderedPageBreak/>
              <w:t>CT: Gastric wall thickening, increased density of enlarged lymph nodes, pulmonary nodules</w:t>
            </w:r>
            <w:r w:rsidRPr="00C01236">
              <w:rPr>
                <w:rFonts w:ascii="Times New Roman" w:hAnsi="Times New Roman" w:cs="Times New Roman"/>
                <w:sz w:val="11"/>
                <w:szCs w:val="11"/>
              </w:rPr>
              <w:br/>
              <w:t xml:space="preserve">PET/CT: Gastric wall thickening (with the maximum SUV 8.0), </w:t>
            </w:r>
            <w:r w:rsidRPr="00C01236">
              <w:rPr>
                <w:rFonts w:ascii="Times New Roman" w:hAnsi="Times New Roman" w:cs="Times New Roman"/>
                <w:sz w:val="11"/>
                <w:szCs w:val="11"/>
              </w:rPr>
              <w:lastRenderedPageBreak/>
              <w:t>multiple enlarged lymph nodes with increased radiotracer uptake</w:t>
            </w:r>
          </w:p>
        </w:tc>
        <w:tc>
          <w:tcPr>
            <w:tcW w:w="992" w:type="dxa"/>
            <w:tcBorders>
              <w:bottom w:val="single" w:sz="4" w:space="0" w:color="auto"/>
            </w:tcBorders>
            <w:shd w:val="clear" w:color="auto" w:fill="auto"/>
            <w:tcMar>
              <w:top w:w="15" w:type="dxa"/>
              <w:left w:w="15" w:type="dxa"/>
              <w:bottom w:w="0" w:type="dxa"/>
              <w:right w:w="15" w:type="dxa"/>
            </w:tcMar>
            <w:vAlign w:val="center"/>
            <w:hideMark/>
          </w:tcPr>
          <w:p w14:paraId="031E14C5"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lastRenderedPageBreak/>
              <w:t>Inflammation and eosinophilic infiltration</w:t>
            </w:r>
          </w:p>
        </w:tc>
        <w:tc>
          <w:tcPr>
            <w:tcW w:w="709" w:type="dxa"/>
            <w:tcBorders>
              <w:bottom w:val="single" w:sz="4" w:space="0" w:color="auto"/>
            </w:tcBorders>
            <w:shd w:val="clear" w:color="auto" w:fill="auto"/>
            <w:tcMar>
              <w:top w:w="15" w:type="dxa"/>
              <w:left w:w="15" w:type="dxa"/>
              <w:bottom w:w="0" w:type="dxa"/>
              <w:right w:w="15" w:type="dxa"/>
            </w:tcMar>
            <w:vAlign w:val="center"/>
            <w:hideMark/>
          </w:tcPr>
          <w:p w14:paraId="340F69B6"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HES</w:t>
            </w:r>
          </w:p>
        </w:tc>
        <w:tc>
          <w:tcPr>
            <w:tcW w:w="992" w:type="dxa"/>
            <w:tcBorders>
              <w:bottom w:val="single" w:sz="4" w:space="0" w:color="auto"/>
            </w:tcBorders>
            <w:shd w:val="clear" w:color="auto" w:fill="auto"/>
            <w:tcMar>
              <w:top w:w="15" w:type="dxa"/>
              <w:left w:w="15" w:type="dxa"/>
              <w:bottom w:w="0" w:type="dxa"/>
              <w:right w:w="15" w:type="dxa"/>
            </w:tcMar>
            <w:vAlign w:val="center"/>
            <w:hideMark/>
          </w:tcPr>
          <w:p w14:paraId="4E574209"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Oral prednisone (methylpredni-solone), cyclo-phosphamide</w:t>
            </w:r>
          </w:p>
        </w:tc>
        <w:tc>
          <w:tcPr>
            <w:tcW w:w="567" w:type="dxa"/>
            <w:tcBorders>
              <w:bottom w:val="single" w:sz="4" w:space="0" w:color="auto"/>
            </w:tcBorders>
            <w:shd w:val="clear" w:color="auto" w:fill="auto"/>
            <w:tcMar>
              <w:top w:w="15" w:type="dxa"/>
              <w:left w:w="15" w:type="dxa"/>
              <w:bottom w:w="0" w:type="dxa"/>
              <w:right w:w="15" w:type="dxa"/>
            </w:tcMar>
            <w:vAlign w:val="center"/>
            <w:hideMark/>
          </w:tcPr>
          <w:p w14:paraId="048D38BA" w14:textId="77777777" w:rsidR="006F4020" w:rsidRPr="00C01236" w:rsidRDefault="006F4020" w:rsidP="002B4A43">
            <w:pPr>
              <w:jc w:val="center"/>
              <w:rPr>
                <w:rFonts w:ascii="Times New Roman" w:hAnsi="Times New Roman" w:cs="Times New Roman"/>
                <w:sz w:val="11"/>
                <w:szCs w:val="11"/>
              </w:rPr>
            </w:pPr>
            <w:r w:rsidRPr="00C01236">
              <w:rPr>
                <w:rFonts w:ascii="Times New Roman" w:hAnsi="Times New Roman" w:cs="Times New Roman"/>
                <w:sz w:val="11"/>
                <w:szCs w:val="11"/>
              </w:rPr>
              <w:t>Our case</w:t>
            </w:r>
          </w:p>
        </w:tc>
      </w:tr>
    </w:tbl>
    <w:p w14:paraId="5743FB16" w14:textId="3F340D39" w:rsidR="00555FEC" w:rsidRPr="00DF30AA" w:rsidRDefault="00555FEC" w:rsidP="00DF30AA">
      <w:pPr>
        <w:pStyle w:val="Bibliography"/>
        <w:spacing w:after="0"/>
        <w:rPr>
          <w:rFonts w:ascii="Times New Roman" w:hAnsi="Times New Roman" w:cs="Times New Roman"/>
          <w:sz w:val="16"/>
          <w:szCs w:val="18"/>
        </w:rPr>
      </w:pPr>
    </w:p>
    <w:sectPr w:rsidR="00555FEC" w:rsidRPr="00DF30AA" w:rsidSect="008C6CBB">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6FA91" w14:textId="77777777" w:rsidR="00767433" w:rsidRDefault="00767433" w:rsidP="00FB4382">
      <w:r>
        <w:separator/>
      </w:r>
    </w:p>
  </w:endnote>
  <w:endnote w:type="continuationSeparator" w:id="0">
    <w:p w14:paraId="5AA4CD0F" w14:textId="77777777" w:rsidR="00767433" w:rsidRDefault="00767433" w:rsidP="00FB4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860735"/>
      <w:docPartObj>
        <w:docPartGallery w:val="Page Numbers (Bottom of Page)"/>
        <w:docPartUnique/>
      </w:docPartObj>
    </w:sdtPr>
    <w:sdtEndPr/>
    <w:sdtContent>
      <w:p w14:paraId="2EEB72E0" w14:textId="121D673B" w:rsidR="008C6CBB" w:rsidRDefault="008C6CBB">
        <w:pPr>
          <w:pStyle w:val="Footer"/>
          <w:jc w:val="center"/>
        </w:pPr>
        <w:r>
          <w:fldChar w:fldCharType="begin"/>
        </w:r>
        <w:r>
          <w:instrText>PAGE   \* MERGEFORMAT</w:instrText>
        </w:r>
        <w:r>
          <w:fldChar w:fldCharType="separate"/>
        </w:r>
        <w:r>
          <w:rPr>
            <w:lang w:val="zh-CN"/>
          </w:rPr>
          <w:t>2</w:t>
        </w:r>
        <w:r>
          <w:fldChar w:fldCharType="end"/>
        </w:r>
      </w:p>
    </w:sdtContent>
  </w:sdt>
  <w:p w14:paraId="1D5EC314" w14:textId="77777777" w:rsidR="008C6CBB" w:rsidRDefault="008C6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42BFF" w14:textId="77777777" w:rsidR="00767433" w:rsidRDefault="00767433" w:rsidP="00FB4382">
      <w:r>
        <w:separator/>
      </w:r>
    </w:p>
  </w:footnote>
  <w:footnote w:type="continuationSeparator" w:id="0">
    <w:p w14:paraId="49F18064" w14:textId="77777777" w:rsidR="00767433" w:rsidRDefault="00767433" w:rsidP="00FB4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2D1064"/>
    <w:multiLevelType w:val="multilevel"/>
    <w:tmpl w:val="EDE6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701D03"/>
    <w:multiLevelType w:val="multilevel"/>
    <w:tmpl w:val="5C24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A56"/>
    <w:rsid w:val="00016CC8"/>
    <w:rsid w:val="00052495"/>
    <w:rsid w:val="000643AD"/>
    <w:rsid w:val="00084359"/>
    <w:rsid w:val="000A7556"/>
    <w:rsid w:val="000B1DE3"/>
    <w:rsid w:val="000E2866"/>
    <w:rsid w:val="000F3A3B"/>
    <w:rsid w:val="001302F9"/>
    <w:rsid w:val="00144A55"/>
    <w:rsid w:val="001777ED"/>
    <w:rsid w:val="001A1F5C"/>
    <w:rsid w:val="001B68E9"/>
    <w:rsid w:val="001E34F5"/>
    <w:rsid w:val="00213B49"/>
    <w:rsid w:val="002178E8"/>
    <w:rsid w:val="00233FB9"/>
    <w:rsid w:val="002514DB"/>
    <w:rsid w:val="002B3272"/>
    <w:rsid w:val="002D66B6"/>
    <w:rsid w:val="003325DE"/>
    <w:rsid w:val="0034502D"/>
    <w:rsid w:val="00350F6D"/>
    <w:rsid w:val="00356AFB"/>
    <w:rsid w:val="0035775C"/>
    <w:rsid w:val="00385DCC"/>
    <w:rsid w:val="003A47D0"/>
    <w:rsid w:val="003B23B1"/>
    <w:rsid w:val="003B4EFD"/>
    <w:rsid w:val="003B5945"/>
    <w:rsid w:val="003C7019"/>
    <w:rsid w:val="003D2F4E"/>
    <w:rsid w:val="003D38E2"/>
    <w:rsid w:val="003F7D2E"/>
    <w:rsid w:val="004325C8"/>
    <w:rsid w:val="004335FD"/>
    <w:rsid w:val="0045145C"/>
    <w:rsid w:val="00453A10"/>
    <w:rsid w:val="0047022C"/>
    <w:rsid w:val="004B19A4"/>
    <w:rsid w:val="004C3C1C"/>
    <w:rsid w:val="004C4B81"/>
    <w:rsid w:val="004E6A76"/>
    <w:rsid w:val="00504E7B"/>
    <w:rsid w:val="00555FEC"/>
    <w:rsid w:val="00582500"/>
    <w:rsid w:val="005848A9"/>
    <w:rsid w:val="005923EF"/>
    <w:rsid w:val="00594023"/>
    <w:rsid w:val="00596E61"/>
    <w:rsid w:val="005A2514"/>
    <w:rsid w:val="005A3AF8"/>
    <w:rsid w:val="005D27DB"/>
    <w:rsid w:val="005F6D81"/>
    <w:rsid w:val="0061025E"/>
    <w:rsid w:val="00611E21"/>
    <w:rsid w:val="00640345"/>
    <w:rsid w:val="00665998"/>
    <w:rsid w:val="006A15B3"/>
    <w:rsid w:val="006B3F12"/>
    <w:rsid w:val="006C0D8C"/>
    <w:rsid w:val="006D6212"/>
    <w:rsid w:val="006E172E"/>
    <w:rsid w:val="006F3236"/>
    <w:rsid w:val="006F4020"/>
    <w:rsid w:val="006F5340"/>
    <w:rsid w:val="0071730D"/>
    <w:rsid w:val="00750F18"/>
    <w:rsid w:val="00760CC8"/>
    <w:rsid w:val="00767433"/>
    <w:rsid w:val="007702A9"/>
    <w:rsid w:val="00780A0E"/>
    <w:rsid w:val="007A5F72"/>
    <w:rsid w:val="007A7420"/>
    <w:rsid w:val="007E765B"/>
    <w:rsid w:val="00825F67"/>
    <w:rsid w:val="00840271"/>
    <w:rsid w:val="008A372C"/>
    <w:rsid w:val="008B7E5F"/>
    <w:rsid w:val="008C6CBB"/>
    <w:rsid w:val="0090794F"/>
    <w:rsid w:val="009411AE"/>
    <w:rsid w:val="00961B30"/>
    <w:rsid w:val="00964A6C"/>
    <w:rsid w:val="0096572E"/>
    <w:rsid w:val="009A5E53"/>
    <w:rsid w:val="009D4118"/>
    <w:rsid w:val="00A415A4"/>
    <w:rsid w:val="00A73B67"/>
    <w:rsid w:val="00A81644"/>
    <w:rsid w:val="00AA14C8"/>
    <w:rsid w:val="00AA3876"/>
    <w:rsid w:val="00AD7E44"/>
    <w:rsid w:val="00AE6996"/>
    <w:rsid w:val="00B0184C"/>
    <w:rsid w:val="00B04DFC"/>
    <w:rsid w:val="00B45442"/>
    <w:rsid w:val="00B470A6"/>
    <w:rsid w:val="00BC1F15"/>
    <w:rsid w:val="00BC3A56"/>
    <w:rsid w:val="00BC430E"/>
    <w:rsid w:val="00BE1476"/>
    <w:rsid w:val="00BF2E2E"/>
    <w:rsid w:val="00C01236"/>
    <w:rsid w:val="00C167A4"/>
    <w:rsid w:val="00CD0111"/>
    <w:rsid w:val="00D01AAA"/>
    <w:rsid w:val="00D14A56"/>
    <w:rsid w:val="00D35175"/>
    <w:rsid w:val="00D7632C"/>
    <w:rsid w:val="00DA5FBD"/>
    <w:rsid w:val="00DC53D2"/>
    <w:rsid w:val="00DE3637"/>
    <w:rsid w:val="00DE3BD7"/>
    <w:rsid w:val="00DE7A34"/>
    <w:rsid w:val="00DF30AA"/>
    <w:rsid w:val="00E21429"/>
    <w:rsid w:val="00E33B1D"/>
    <w:rsid w:val="00E401B9"/>
    <w:rsid w:val="00E4172B"/>
    <w:rsid w:val="00E61A7A"/>
    <w:rsid w:val="00EB3269"/>
    <w:rsid w:val="00F03065"/>
    <w:rsid w:val="00F51672"/>
    <w:rsid w:val="00F64E03"/>
    <w:rsid w:val="00FB4382"/>
    <w:rsid w:val="00FC0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62E0E0"/>
  <w14:defaultImageDpi w14:val="330"/>
  <w15:chartTrackingRefBased/>
  <w15:docId w15:val="{7FDEB2A8-5155-467B-A26A-512D3258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23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38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B4382"/>
    <w:rPr>
      <w:sz w:val="18"/>
      <w:szCs w:val="18"/>
    </w:rPr>
  </w:style>
  <w:style w:type="paragraph" w:styleId="Footer">
    <w:name w:val="footer"/>
    <w:basedOn w:val="Normal"/>
    <w:link w:val="FooterChar"/>
    <w:uiPriority w:val="99"/>
    <w:unhideWhenUsed/>
    <w:rsid w:val="00FB438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FB4382"/>
    <w:rPr>
      <w:sz w:val="18"/>
      <w:szCs w:val="18"/>
    </w:rPr>
  </w:style>
  <w:style w:type="paragraph" w:styleId="NormalWeb">
    <w:name w:val="Normal (Web)"/>
    <w:basedOn w:val="Normal"/>
    <w:uiPriority w:val="99"/>
    <w:semiHidden/>
    <w:unhideWhenUsed/>
    <w:rsid w:val="00E21429"/>
    <w:rPr>
      <w:rFonts w:ascii="Times New Roman" w:hAnsi="Times New Roman" w:cs="Times New Roman"/>
      <w:sz w:val="24"/>
      <w:szCs w:val="24"/>
    </w:rPr>
  </w:style>
  <w:style w:type="paragraph" w:styleId="Bibliography">
    <w:name w:val="Bibliography"/>
    <w:basedOn w:val="Normal"/>
    <w:next w:val="Normal"/>
    <w:uiPriority w:val="37"/>
    <w:unhideWhenUsed/>
    <w:rsid w:val="004E6A76"/>
    <w:pPr>
      <w:spacing w:after="240"/>
    </w:pPr>
  </w:style>
  <w:style w:type="character" w:styleId="Hyperlink">
    <w:name w:val="Hyperlink"/>
    <w:basedOn w:val="DefaultParagraphFont"/>
    <w:uiPriority w:val="99"/>
    <w:unhideWhenUsed/>
    <w:rsid w:val="00BE1476"/>
    <w:rPr>
      <w:color w:val="0563C1" w:themeColor="hyperlink"/>
      <w:u w:val="single"/>
    </w:rPr>
  </w:style>
  <w:style w:type="character" w:styleId="UnresolvedMention">
    <w:name w:val="Unresolved Mention"/>
    <w:basedOn w:val="DefaultParagraphFont"/>
    <w:uiPriority w:val="99"/>
    <w:semiHidden/>
    <w:unhideWhenUsed/>
    <w:rsid w:val="00BE1476"/>
    <w:rPr>
      <w:color w:val="605E5C"/>
      <w:shd w:val="clear" w:color="auto" w:fill="E1DFDD"/>
    </w:rPr>
  </w:style>
  <w:style w:type="character" w:styleId="LineNumber">
    <w:name w:val="line number"/>
    <w:basedOn w:val="DefaultParagraphFont"/>
    <w:uiPriority w:val="99"/>
    <w:semiHidden/>
    <w:unhideWhenUsed/>
    <w:rsid w:val="008C6CBB"/>
  </w:style>
  <w:style w:type="character" w:customStyle="1" w:styleId="notion-enable-hover">
    <w:name w:val="notion-enable-hover"/>
    <w:basedOn w:val="DefaultParagraphFont"/>
    <w:rsid w:val="00BC3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7452">
      <w:bodyDiv w:val="1"/>
      <w:marLeft w:val="0"/>
      <w:marRight w:val="0"/>
      <w:marTop w:val="0"/>
      <w:marBottom w:val="0"/>
      <w:divBdr>
        <w:top w:val="none" w:sz="0" w:space="0" w:color="auto"/>
        <w:left w:val="none" w:sz="0" w:space="0" w:color="auto"/>
        <w:bottom w:val="none" w:sz="0" w:space="0" w:color="auto"/>
        <w:right w:val="none" w:sz="0" w:space="0" w:color="auto"/>
      </w:divBdr>
    </w:div>
    <w:div w:id="171458357">
      <w:bodyDiv w:val="1"/>
      <w:marLeft w:val="0"/>
      <w:marRight w:val="0"/>
      <w:marTop w:val="0"/>
      <w:marBottom w:val="0"/>
      <w:divBdr>
        <w:top w:val="none" w:sz="0" w:space="0" w:color="auto"/>
        <w:left w:val="none" w:sz="0" w:space="0" w:color="auto"/>
        <w:bottom w:val="none" w:sz="0" w:space="0" w:color="auto"/>
        <w:right w:val="none" w:sz="0" w:space="0" w:color="auto"/>
      </w:divBdr>
    </w:div>
    <w:div w:id="186261895">
      <w:bodyDiv w:val="1"/>
      <w:marLeft w:val="0"/>
      <w:marRight w:val="0"/>
      <w:marTop w:val="0"/>
      <w:marBottom w:val="0"/>
      <w:divBdr>
        <w:top w:val="none" w:sz="0" w:space="0" w:color="auto"/>
        <w:left w:val="none" w:sz="0" w:space="0" w:color="auto"/>
        <w:bottom w:val="none" w:sz="0" w:space="0" w:color="auto"/>
        <w:right w:val="none" w:sz="0" w:space="0" w:color="auto"/>
      </w:divBdr>
    </w:div>
    <w:div w:id="500198566">
      <w:bodyDiv w:val="1"/>
      <w:marLeft w:val="0"/>
      <w:marRight w:val="0"/>
      <w:marTop w:val="0"/>
      <w:marBottom w:val="0"/>
      <w:divBdr>
        <w:top w:val="none" w:sz="0" w:space="0" w:color="auto"/>
        <w:left w:val="none" w:sz="0" w:space="0" w:color="auto"/>
        <w:bottom w:val="none" w:sz="0" w:space="0" w:color="auto"/>
        <w:right w:val="none" w:sz="0" w:space="0" w:color="auto"/>
      </w:divBdr>
    </w:div>
    <w:div w:id="545068471">
      <w:bodyDiv w:val="1"/>
      <w:marLeft w:val="0"/>
      <w:marRight w:val="0"/>
      <w:marTop w:val="0"/>
      <w:marBottom w:val="0"/>
      <w:divBdr>
        <w:top w:val="none" w:sz="0" w:space="0" w:color="auto"/>
        <w:left w:val="none" w:sz="0" w:space="0" w:color="auto"/>
        <w:bottom w:val="none" w:sz="0" w:space="0" w:color="auto"/>
        <w:right w:val="none" w:sz="0" w:space="0" w:color="auto"/>
      </w:divBdr>
    </w:div>
    <w:div w:id="795224757">
      <w:bodyDiv w:val="1"/>
      <w:marLeft w:val="0"/>
      <w:marRight w:val="0"/>
      <w:marTop w:val="0"/>
      <w:marBottom w:val="0"/>
      <w:divBdr>
        <w:top w:val="none" w:sz="0" w:space="0" w:color="auto"/>
        <w:left w:val="none" w:sz="0" w:space="0" w:color="auto"/>
        <w:bottom w:val="none" w:sz="0" w:space="0" w:color="auto"/>
        <w:right w:val="none" w:sz="0" w:space="0" w:color="auto"/>
      </w:divBdr>
    </w:div>
    <w:div w:id="856115029">
      <w:bodyDiv w:val="1"/>
      <w:marLeft w:val="0"/>
      <w:marRight w:val="0"/>
      <w:marTop w:val="0"/>
      <w:marBottom w:val="0"/>
      <w:divBdr>
        <w:top w:val="none" w:sz="0" w:space="0" w:color="auto"/>
        <w:left w:val="none" w:sz="0" w:space="0" w:color="auto"/>
        <w:bottom w:val="none" w:sz="0" w:space="0" w:color="auto"/>
        <w:right w:val="none" w:sz="0" w:space="0" w:color="auto"/>
      </w:divBdr>
    </w:div>
    <w:div w:id="875780209">
      <w:bodyDiv w:val="1"/>
      <w:marLeft w:val="0"/>
      <w:marRight w:val="0"/>
      <w:marTop w:val="0"/>
      <w:marBottom w:val="0"/>
      <w:divBdr>
        <w:top w:val="none" w:sz="0" w:space="0" w:color="auto"/>
        <w:left w:val="none" w:sz="0" w:space="0" w:color="auto"/>
        <w:bottom w:val="none" w:sz="0" w:space="0" w:color="auto"/>
        <w:right w:val="none" w:sz="0" w:space="0" w:color="auto"/>
      </w:divBdr>
    </w:div>
    <w:div w:id="1015109263">
      <w:bodyDiv w:val="1"/>
      <w:marLeft w:val="0"/>
      <w:marRight w:val="0"/>
      <w:marTop w:val="0"/>
      <w:marBottom w:val="0"/>
      <w:divBdr>
        <w:top w:val="none" w:sz="0" w:space="0" w:color="auto"/>
        <w:left w:val="none" w:sz="0" w:space="0" w:color="auto"/>
        <w:bottom w:val="none" w:sz="0" w:space="0" w:color="auto"/>
        <w:right w:val="none" w:sz="0" w:space="0" w:color="auto"/>
      </w:divBdr>
    </w:div>
    <w:div w:id="1208685767">
      <w:bodyDiv w:val="1"/>
      <w:marLeft w:val="0"/>
      <w:marRight w:val="0"/>
      <w:marTop w:val="0"/>
      <w:marBottom w:val="0"/>
      <w:divBdr>
        <w:top w:val="none" w:sz="0" w:space="0" w:color="auto"/>
        <w:left w:val="none" w:sz="0" w:space="0" w:color="auto"/>
        <w:bottom w:val="none" w:sz="0" w:space="0" w:color="auto"/>
        <w:right w:val="none" w:sz="0" w:space="0" w:color="auto"/>
      </w:divBdr>
      <w:divsChild>
        <w:div w:id="193009661">
          <w:marLeft w:val="0"/>
          <w:marRight w:val="0"/>
          <w:marTop w:val="0"/>
          <w:marBottom w:val="0"/>
          <w:divBdr>
            <w:top w:val="single" w:sz="2" w:space="0" w:color="D9D9E3"/>
            <w:left w:val="single" w:sz="2" w:space="0" w:color="D9D9E3"/>
            <w:bottom w:val="single" w:sz="2" w:space="0" w:color="D9D9E3"/>
            <w:right w:val="single" w:sz="2" w:space="0" w:color="D9D9E3"/>
          </w:divBdr>
          <w:divsChild>
            <w:div w:id="1048869940">
              <w:marLeft w:val="0"/>
              <w:marRight w:val="0"/>
              <w:marTop w:val="0"/>
              <w:marBottom w:val="0"/>
              <w:divBdr>
                <w:top w:val="single" w:sz="2" w:space="0" w:color="D9D9E3"/>
                <w:left w:val="single" w:sz="2" w:space="0" w:color="D9D9E3"/>
                <w:bottom w:val="single" w:sz="2" w:space="0" w:color="D9D9E3"/>
                <w:right w:val="single" w:sz="2" w:space="0" w:color="D9D9E3"/>
              </w:divBdr>
              <w:divsChild>
                <w:div w:id="859315253">
                  <w:marLeft w:val="0"/>
                  <w:marRight w:val="0"/>
                  <w:marTop w:val="0"/>
                  <w:marBottom w:val="0"/>
                  <w:divBdr>
                    <w:top w:val="single" w:sz="2" w:space="0" w:color="D9D9E3"/>
                    <w:left w:val="single" w:sz="2" w:space="0" w:color="D9D9E3"/>
                    <w:bottom w:val="single" w:sz="2" w:space="0" w:color="D9D9E3"/>
                    <w:right w:val="single" w:sz="2" w:space="0" w:color="D9D9E3"/>
                  </w:divBdr>
                  <w:divsChild>
                    <w:div w:id="1977223473">
                      <w:marLeft w:val="0"/>
                      <w:marRight w:val="0"/>
                      <w:marTop w:val="0"/>
                      <w:marBottom w:val="0"/>
                      <w:divBdr>
                        <w:top w:val="single" w:sz="2" w:space="0" w:color="D9D9E3"/>
                        <w:left w:val="single" w:sz="2" w:space="0" w:color="D9D9E3"/>
                        <w:bottom w:val="single" w:sz="2" w:space="0" w:color="D9D9E3"/>
                        <w:right w:val="single" w:sz="2" w:space="0" w:color="D9D9E3"/>
                      </w:divBdr>
                      <w:divsChild>
                        <w:div w:id="1530872449">
                          <w:marLeft w:val="0"/>
                          <w:marRight w:val="0"/>
                          <w:marTop w:val="0"/>
                          <w:marBottom w:val="0"/>
                          <w:divBdr>
                            <w:top w:val="single" w:sz="2" w:space="0" w:color="auto"/>
                            <w:left w:val="single" w:sz="2" w:space="0" w:color="auto"/>
                            <w:bottom w:val="single" w:sz="6" w:space="0" w:color="auto"/>
                            <w:right w:val="single" w:sz="2" w:space="0" w:color="auto"/>
                          </w:divBdr>
                          <w:divsChild>
                            <w:div w:id="734352812">
                              <w:marLeft w:val="0"/>
                              <w:marRight w:val="0"/>
                              <w:marTop w:val="100"/>
                              <w:marBottom w:val="100"/>
                              <w:divBdr>
                                <w:top w:val="single" w:sz="2" w:space="0" w:color="D9D9E3"/>
                                <w:left w:val="single" w:sz="2" w:space="0" w:color="D9D9E3"/>
                                <w:bottom w:val="single" w:sz="2" w:space="0" w:color="D9D9E3"/>
                                <w:right w:val="single" w:sz="2" w:space="0" w:color="D9D9E3"/>
                              </w:divBdr>
                              <w:divsChild>
                                <w:div w:id="1342508704">
                                  <w:marLeft w:val="0"/>
                                  <w:marRight w:val="0"/>
                                  <w:marTop w:val="0"/>
                                  <w:marBottom w:val="0"/>
                                  <w:divBdr>
                                    <w:top w:val="single" w:sz="2" w:space="0" w:color="D9D9E3"/>
                                    <w:left w:val="single" w:sz="2" w:space="0" w:color="D9D9E3"/>
                                    <w:bottom w:val="single" w:sz="2" w:space="0" w:color="D9D9E3"/>
                                    <w:right w:val="single" w:sz="2" w:space="0" w:color="D9D9E3"/>
                                  </w:divBdr>
                                  <w:divsChild>
                                    <w:div w:id="1040471762">
                                      <w:marLeft w:val="0"/>
                                      <w:marRight w:val="0"/>
                                      <w:marTop w:val="0"/>
                                      <w:marBottom w:val="0"/>
                                      <w:divBdr>
                                        <w:top w:val="single" w:sz="2" w:space="0" w:color="D9D9E3"/>
                                        <w:left w:val="single" w:sz="2" w:space="0" w:color="D9D9E3"/>
                                        <w:bottom w:val="single" w:sz="2" w:space="0" w:color="D9D9E3"/>
                                        <w:right w:val="single" w:sz="2" w:space="0" w:color="D9D9E3"/>
                                      </w:divBdr>
                                      <w:divsChild>
                                        <w:div w:id="1909882120">
                                          <w:marLeft w:val="0"/>
                                          <w:marRight w:val="0"/>
                                          <w:marTop w:val="0"/>
                                          <w:marBottom w:val="0"/>
                                          <w:divBdr>
                                            <w:top w:val="single" w:sz="2" w:space="0" w:color="D9D9E3"/>
                                            <w:left w:val="single" w:sz="2" w:space="0" w:color="D9D9E3"/>
                                            <w:bottom w:val="single" w:sz="2" w:space="0" w:color="D9D9E3"/>
                                            <w:right w:val="single" w:sz="2" w:space="0" w:color="D9D9E3"/>
                                          </w:divBdr>
                                          <w:divsChild>
                                            <w:div w:id="10327323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38160648">
          <w:marLeft w:val="0"/>
          <w:marRight w:val="0"/>
          <w:marTop w:val="0"/>
          <w:marBottom w:val="0"/>
          <w:divBdr>
            <w:top w:val="none" w:sz="0" w:space="0" w:color="auto"/>
            <w:left w:val="none" w:sz="0" w:space="0" w:color="auto"/>
            <w:bottom w:val="none" w:sz="0" w:space="0" w:color="auto"/>
            <w:right w:val="none" w:sz="0" w:space="0" w:color="auto"/>
          </w:divBdr>
        </w:div>
      </w:divsChild>
    </w:div>
    <w:div w:id="1219054632">
      <w:bodyDiv w:val="1"/>
      <w:marLeft w:val="0"/>
      <w:marRight w:val="0"/>
      <w:marTop w:val="0"/>
      <w:marBottom w:val="0"/>
      <w:divBdr>
        <w:top w:val="none" w:sz="0" w:space="0" w:color="auto"/>
        <w:left w:val="none" w:sz="0" w:space="0" w:color="auto"/>
        <w:bottom w:val="none" w:sz="0" w:space="0" w:color="auto"/>
        <w:right w:val="none" w:sz="0" w:space="0" w:color="auto"/>
      </w:divBdr>
      <w:divsChild>
        <w:div w:id="2035157035">
          <w:marLeft w:val="0"/>
          <w:marRight w:val="0"/>
          <w:marTop w:val="0"/>
          <w:marBottom w:val="0"/>
          <w:divBdr>
            <w:top w:val="single" w:sz="2" w:space="0" w:color="D9D9E3"/>
            <w:left w:val="single" w:sz="2" w:space="0" w:color="D9D9E3"/>
            <w:bottom w:val="single" w:sz="2" w:space="0" w:color="D9D9E3"/>
            <w:right w:val="single" w:sz="2" w:space="0" w:color="D9D9E3"/>
          </w:divBdr>
          <w:divsChild>
            <w:div w:id="215242915">
              <w:marLeft w:val="0"/>
              <w:marRight w:val="0"/>
              <w:marTop w:val="0"/>
              <w:marBottom w:val="0"/>
              <w:divBdr>
                <w:top w:val="single" w:sz="2" w:space="0" w:color="D9D9E3"/>
                <w:left w:val="single" w:sz="2" w:space="0" w:color="D9D9E3"/>
                <w:bottom w:val="single" w:sz="2" w:space="0" w:color="D9D9E3"/>
                <w:right w:val="single" w:sz="2" w:space="0" w:color="D9D9E3"/>
              </w:divBdr>
              <w:divsChild>
                <w:div w:id="2026710476">
                  <w:marLeft w:val="0"/>
                  <w:marRight w:val="0"/>
                  <w:marTop w:val="0"/>
                  <w:marBottom w:val="0"/>
                  <w:divBdr>
                    <w:top w:val="single" w:sz="2" w:space="0" w:color="D9D9E3"/>
                    <w:left w:val="single" w:sz="2" w:space="0" w:color="D9D9E3"/>
                    <w:bottom w:val="single" w:sz="2" w:space="0" w:color="D9D9E3"/>
                    <w:right w:val="single" w:sz="2" w:space="0" w:color="D9D9E3"/>
                  </w:divBdr>
                  <w:divsChild>
                    <w:div w:id="1046181779">
                      <w:marLeft w:val="0"/>
                      <w:marRight w:val="0"/>
                      <w:marTop w:val="0"/>
                      <w:marBottom w:val="0"/>
                      <w:divBdr>
                        <w:top w:val="single" w:sz="2" w:space="0" w:color="D9D9E3"/>
                        <w:left w:val="single" w:sz="2" w:space="0" w:color="D9D9E3"/>
                        <w:bottom w:val="single" w:sz="2" w:space="0" w:color="D9D9E3"/>
                        <w:right w:val="single" w:sz="2" w:space="0" w:color="D9D9E3"/>
                      </w:divBdr>
                      <w:divsChild>
                        <w:div w:id="1938175852">
                          <w:marLeft w:val="0"/>
                          <w:marRight w:val="0"/>
                          <w:marTop w:val="0"/>
                          <w:marBottom w:val="0"/>
                          <w:divBdr>
                            <w:top w:val="single" w:sz="2" w:space="0" w:color="auto"/>
                            <w:left w:val="single" w:sz="2" w:space="0" w:color="auto"/>
                            <w:bottom w:val="single" w:sz="6" w:space="0" w:color="auto"/>
                            <w:right w:val="single" w:sz="2" w:space="0" w:color="auto"/>
                          </w:divBdr>
                          <w:divsChild>
                            <w:div w:id="221721530">
                              <w:marLeft w:val="0"/>
                              <w:marRight w:val="0"/>
                              <w:marTop w:val="100"/>
                              <w:marBottom w:val="100"/>
                              <w:divBdr>
                                <w:top w:val="single" w:sz="2" w:space="0" w:color="D9D9E3"/>
                                <w:left w:val="single" w:sz="2" w:space="0" w:color="D9D9E3"/>
                                <w:bottom w:val="single" w:sz="2" w:space="0" w:color="D9D9E3"/>
                                <w:right w:val="single" w:sz="2" w:space="0" w:color="D9D9E3"/>
                              </w:divBdr>
                              <w:divsChild>
                                <w:div w:id="486282265">
                                  <w:marLeft w:val="0"/>
                                  <w:marRight w:val="0"/>
                                  <w:marTop w:val="0"/>
                                  <w:marBottom w:val="0"/>
                                  <w:divBdr>
                                    <w:top w:val="single" w:sz="2" w:space="0" w:color="D9D9E3"/>
                                    <w:left w:val="single" w:sz="2" w:space="0" w:color="D9D9E3"/>
                                    <w:bottom w:val="single" w:sz="2" w:space="0" w:color="D9D9E3"/>
                                    <w:right w:val="single" w:sz="2" w:space="0" w:color="D9D9E3"/>
                                  </w:divBdr>
                                  <w:divsChild>
                                    <w:div w:id="1239049894">
                                      <w:marLeft w:val="0"/>
                                      <w:marRight w:val="0"/>
                                      <w:marTop w:val="0"/>
                                      <w:marBottom w:val="0"/>
                                      <w:divBdr>
                                        <w:top w:val="single" w:sz="2" w:space="0" w:color="D9D9E3"/>
                                        <w:left w:val="single" w:sz="2" w:space="0" w:color="D9D9E3"/>
                                        <w:bottom w:val="single" w:sz="2" w:space="0" w:color="D9D9E3"/>
                                        <w:right w:val="single" w:sz="2" w:space="0" w:color="D9D9E3"/>
                                      </w:divBdr>
                                      <w:divsChild>
                                        <w:div w:id="631325953">
                                          <w:marLeft w:val="0"/>
                                          <w:marRight w:val="0"/>
                                          <w:marTop w:val="0"/>
                                          <w:marBottom w:val="0"/>
                                          <w:divBdr>
                                            <w:top w:val="single" w:sz="2" w:space="0" w:color="D9D9E3"/>
                                            <w:left w:val="single" w:sz="2" w:space="0" w:color="D9D9E3"/>
                                            <w:bottom w:val="single" w:sz="2" w:space="0" w:color="D9D9E3"/>
                                            <w:right w:val="single" w:sz="2" w:space="0" w:color="D9D9E3"/>
                                          </w:divBdr>
                                          <w:divsChild>
                                            <w:div w:id="4431584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62251745">
          <w:marLeft w:val="0"/>
          <w:marRight w:val="0"/>
          <w:marTop w:val="0"/>
          <w:marBottom w:val="0"/>
          <w:divBdr>
            <w:top w:val="none" w:sz="0" w:space="0" w:color="auto"/>
            <w:left w:val="none" w:sz="0" w:space="0" w:color="auto"/>
            <w:bottom w:val="none" w:sz="0" w:space="0" w:color="auto"/>
            <w:right w:val="none" w:sz="0" w:space="0" w:color="auto"/>
          </w:divBdr>
        </w:div>
      </w:divsChild>
    </w:div>
    <w:div w:id="1254315978">
      <w:bodyDiv w:val="1"/>
      <w:marLeft w:val="0"/>
      <w:marRight w:val="0"/>
      <w:marTop w:val="0"/>
      <w:marBottom w:val="0"/>
      <w:divBdr>
        <w:top w:val="none" w:sz="0" w:space="0" w:color="auto"/>
        <w:left w:val="none" w:sz="0" w:space="0" w:color="auto"/>
        <w:bottom w:val="none" w:sz="0" w:space="0" w:color="auto"/>
        <w:right w:val="none" w:sz="0" w:space="0" w:color="auto"/>
      </w:divBdr>
    </w:div>
    <w:div w:id="1264529637">
      <w:bodyDiv w:val="1"/>
      <w:marLeft w:val="0"/>
      <w:marRight w:val="0"/>
      <w:marTop w:val="0"/>
      <w:marBottom w:val="0"/>
      <w:divBdr>
        <w:top w:val="none" w:sz="0" w:space="0" w:color="auto"/>
        <w:left w:val="none" w:sz="0" w:space="0" w:color="auto"/>
        <w:bottom w:val="none" w:sz="0" w:space="0" w:color="auto"/>
        <w:right w:val="none" w:sz="0" w:space="0" w:color="auto"/>
      </w:divBdr>
    </w:div>
    <w:div w:id="1345015833">
      <w:bodyDiv w:val="1"/>
      <w:marLeft w:val="0"/>
      <w:marRight w:val="0"/>
      <w:marTop w:val="0"/>
      <w:marBottom w:val="0"/>
      <w:divBdr>
        <w:top w:val="none" w:sz="0" w:space="0" w:color="auto"/>
        <w:left w:val="none" w:sz="0" w:space="0" w:color="auto"/>
        <w:bottom w:val="none" w:sz="0" w:space="0" w:color="auto"/>
        <w:right w:val="none" w:sz="0" w:space="0" w:color="auto"/>
      </w:divBdr>
    </w:div>
    <w:div w:id="1587496447">
      <w:bodyDiv w:val="1"/>
      <w:marLeft w:val="0"/>
      <w:marRight w:val="0"/>
      <w:marTop w:val="0"/>
      <w:marBottom w:val="0"/>
      <w:divBdr>
        <w:top w:val="none" w:sz="0" w:space="0" w:color="auto"/>
        <w:left w:val="none" w:sz="0" w:space="0" w:color="auto"/>
        <w:bottom w:val="none" w:sz="0" w:space="0" w:color="auto"/>
        <w:right w:val="none" w:sz="0" w:space="0" w:color="auto"/>
      </w:divBdr>
    </w:div>
    <w:div w:id="1795630800">
      <w:bodyDiv w:val="1"/>
      <w:marLeft w:val="0"/>
      <w:marRight w:val="0"/>
      <w:marTop w:val="0"/>
      <w:marBottom w:val="0"/>
      <w:divBdr>
        <w:top w:val="none" w:sz="0" w:space="0" w:color="auto"/>
        <w:left w:val="none" w:sz="0" w:space="0" w:color="auto"/>
        <w:bottom w:val="none" w:sz="0" w:space="0" w:color="auto"/>
        <w:right w:val="none" w:sz="0" w:space="0" w:color="auto"/>
      </w:divBdr>
    </w:div>
    <w:div w:id="1888911302">
      <w:bodyDiv w:val="1"/>
      <w:marLeft w:val="0"/>
      <w:marRight w:val="0"/>
      <w:marTop w:val="0"/>
      <w:marBottom w:val="0"/>
      <w:divBdr>
        <w:top w:val="none" w:sz="0" w:space="0" w:color="auto"/>
        <w:left w:val="none" w:sz="0" w:space="0" w:color="auto"/>
        <w:bottom w:val="none" w:sz="0" w:space="0" w:color="auto"/>
        <w:right w:val="none" w:sz="0" w:space="0" w:color="auto"/>
      </w:divBdr>
    </w:div>
    <w:div w:id="2045976758">
      <w:bodyDiv w:val="1"/>
      <w:marLeft w:val="0"/>
      <w:marRight w:val="0"/>
      <w:marTop w:val="0"/>
      <w:marBottom w:val="0"/>
      <w:divBdr>
        <w:top w:val="none" w:sz="0" w:space="0" w:color="auto"/>
        <w:left w:val="none" w:sz="0" w:space="0" w:color="auto"/>
        <w:bottom w:val="none" w:sz="0" w:space="0" w:color="auto"/>
        <w:right w:val="none" w:sz="0" w:space="0" w:color="auto"/>
      </w:divBdr>
    </w:div>
    <w:div w:id="207034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C9B19-5E9E-4A25-B612-57DBD971A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2152</Words>
  <Characters>12273</Characters>
  <Application>Microsoft Office Word</Application>
  <DocSecurity>0</DocSecurity>
  <Lines>102</Lines>
  <Paragraphs>28</Paragraphs>
  <ScaleCrop>false</ScaleCrop>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July Xia</dc:creator>
  <cp:keywords/>
  <dc:description/>
  <cp:lastModifiedBy>Rohit Pandey</cp:lastModifiedBy>
  <cp:revision>2</cp:revision>
  <dcterms:created xsi:type="dcterms:W3CDTF">2023-09-29T06:38:00Z</dcterms:created>
  <dcterms:modified xsi:type="dcterms:W3CDTF">2023-09-29T06:38:00Z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id="3Vv1i7P6"/&gt;&lt;style id="http://www.zotero.org/styles/journal-of-hematology-and-oncology" hasBibliography="1" bibliographyStyleHasBeenSet="1"/&gt;&lt;prefs&gt;&lt;pref name="fieldType" value="Field"/&gt;&lt;/prefs&gt;&lt;/</vt:lpwstr>
  </property>
  <property fmtid="{D5CDD505-2E9C-101B-9397-08002B2CF9AE}" pid="3" name="ZOTERO_PREF_2">
    <vt:lpwstr>data&gt;</vt:lpwstr>
  </property>
</Properties>
</file>