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9FF7A" w14:textId="77777777" w:rsidR="004F73D0" w:rsidRPr="00CC28B5" w:rsidRDefault="004F73D0" w:rsidP="004F73D0">
      <w:pPr>
        <w:spacing w:line="480" w:lineRule="auto"/>
        <w:rPr>
          <w:rFonts w:ascii="Arial" w:hAnsi="Arial" w:cs="Arial"/>
          <w:b/>
          <w:bCs/>
          <w:sz w:val="24"/>
          <w:szCs w:val="24"/>
        </w:rPr>
      </w:pPr>
      <w:r w:rsidRPr="00CC28B5">
        <w:rPr>
          <w:rFonts w:ascii="Arial" w:hAnsi="Arial" w:cs="Arial" w:hint="eastAsia"/>
          <w:b/>
          <w:bCs/>
          <w:sz w:val="24"/>
          <w:szCs w:val="24"/>
        </w:rPr>
        <w:t>S</w:t>
      </w:r>
      <w:r w:rsidRPr="00CC28B5">
        <w:rPr>
          <w:rFonts w:ascii="Arial" w:hAnsi="Arial" w:cs="Arial"/>
          <w:b/>
          <w:bCs/>
          <w:sz w:val="24"/>
          <w:szCs w:val="24"/>
        </w:rPr>
        <w:t>upplementary materials</w:t>
      </w:r>
    </w:p>
    <w:p w14:paraId="506AB174" w14:textId="77777777" w:rsidR="004F73D0" w:rsidRPr="00146D33" w:rsidRDefault="004F73D0" w:rsidP="004F73D0">
      <w:pPr>
        <w:spacing w:line="480" w:lineRule="auto"/>
        <w:rPr>
          <w:rFonts w:ascii="Arial" w:hAnsi="Arial" w:cs="Arial"/>
          <w:sz w:val="24"/>
          <w:szCs w:val="24"/>
        </w:rPr>
      </w:pPr>
      <w:r w:rsidRPr="00146D33">
        <w:rPr>
          <w:rFonts w:ascii="Arial" w:hAnsi="Arial" w:cs="Arial" w:hint="eastAsia"/>
          <w:sz w:val="24"/>
          <w:szCs w:val="24"/>
        </w:rPr>
        <w:t>Supple</w:t>
      </w:r>
      <w:r>
        <w:rPr>
          <w:rFonts w:ascii="Arial" w:hAnsi="Arial" w:cs="Arial"/>
          <w:sz w:val="24"/>
          <w:szCs w:val="24"/>
        </w:rPr>
        <w:t>mentary table 1. Definitions of spatial factors</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393"/>
      </w:tblGrid>
      <w:tr w:rsidR="004F73D0" w14:paraId="5BAFB812" w14:textId="77777777" w:rsidTr="00581128">
        <w:tc>
          <w:tcPr>
            <w:tcW w:w="2417" w:type="pct"/>
            <w:tcBorders>
              <w:top w:val="single" w:sz="4" w:space="0" w:color="auto"/>
              <w:bottom w:val="single" w:sz="4" w:space="0" w:color="auto"/>
            </w:tcBorders>
            <w:shd w:val="clear" w:color="auto" w:fill="auto"/>
            <w:vAlign w:val="center"/>
          </w:tcPr>
          <w:p w14:paraId="28268995" w14:textId="77777777" w:rsidR="004F73D0" w:rsidRPr="00146D33" w:rsidRDefault="004F73D0" w:rsidP="00581128">
            <w:pPr>
              <w:spacing w:line="480" w:lineRule="auto"/>
              <w:jc w:val="center"/>
              <w:rPr>
                <w:rFonts w:ascii="Arial" w:hAnsi="Arial" w:cs="Arial"/>
                <w:sz w:val="24"/>
                <w:szCs w:val="24"/>
              </w:rPr>
            </w:pPr>
            <w:r w:rsidRPr="00146D33">
              <w:rPr>
                <w:rFonts w:ascii="Arial" w:hAnsi="Arial" w:cs="Arial"/>
                <w:sz w:val="24"/>
                <w:szCs w:val="24"/>
              </w:rPr>
              <w:t>Variables</w:t>
            </w:r>
          </w:p>
        </w:tc>
        <w:tc>
          <w:tcPr>
            <w:tcW w:w="2583" w:type="pct"/>
            <w:tcBorders>
              <w:top w:val="single" w:sz="4" w:space="0" w:color="auto"/>
              <w:bottom w:val="single" w:sz="4" w:space="0" w:color="auto"/>
            </w:tcBorders>
            <w:shd w:val="clear" w:color="auto" w:fill="auto"/>
            <w:vAlign w:val="center"/>
          </w:tcPr>
          <w:p w14:paraId="6978D5D2" w14:textId="77777777" w:rsidR="004F73D0" w:rsidRPr="00146D33" w:rsidRDefault="004F73D0" w:rsidP="00581128">
            <w:pPr>
              <w:spacing w:line="480" w:lineRule="auto"/>
              <w:jc w:val="center"/>
              <w:rPr>
                <w:rFonts w:ascii="Arial" w:hAnsi="Arial" w:cs="Arial"/>
                <w:sz w:val="24"/>
                <w:szCs w:val="24"/>
              </w:rPr>
            </w:pPr>
            <w:r w:rsidRPr="00146D33">
              <w:rPr>
                <w:rFonts w:ascii="Arial" w:hAnsi="Arial" w:cs="Arial" w:hint="eastAsia"/>
                <w:sz w:val="24"/>
                <w:szCs w:val="24"/>
              </w:rPr>
              <w:t>D</w:t>
            </w:r>
            <w:r w:rsidRPr="00146D33">
              <w:rPr>
                <w:rFonts w:ascii="Arial" w:hAnsi="Arial" w:cs="Arial"/>
                <w:sz w:val="24"/>
                <w:szCs w:val="24"/>
              </w:rPr>
              <w:t>efinition</w:t>
            </w:r>
          </w:p>
        </w:tc>
      </w:tr>
      <w:tr w:rsidR="004F73D0" w14:paraId="6E6D30B3" w14:textId="77777777" w:rsidTr="00581128">
        <w:tc>
          <w:tcPr>
            <w:tcW w:w="2417" w:type="pct"/>
            <w:tcBorders>
              <w:top w:val="single" w:sz="4" w:space="0" w:color="auto"/>
              <w:bottom w:val="single" w:sz="4" w:space="0" w:color="auto"/>
            </w:tcBorders>
            <w:shd w:val="clear" w:color="auto" w:fill="auto"/>
          </w:tcPr>
          <w:p w14:paraId="7F35821F" w14:textId="77777777" w:rsidR="004F73D0" w:rsidRPr="00146D33" w:rsidRDefault="004F73D0" w:rsidP="00581128">
            <w:pPr>
              <w:spacing w:line="480" w:lineRule="auto"/>
              <w:rPr>
                <w:rFonts w:ascii="Arial" w:hAnsi="Arial" w:cs="Arial"/>
                <w:sz w:val="24"/>
                <w:szCs w:val="24"/>
              </w:rPr>
            </w:pPr>
            <w:r>
              <w:rPr>
                <w:rFonts w:ascii="Arial" w:eastAsia="Yu Gothic" w:hAnsi="Arial" w:cs="Arial"/>
                <w:color w:val="000000"/>
                <w:sz w:val="24"/>
                <w:szCs w:val="24"/>
              </w:rPr>
              <w:t>Socioeconomic risk scores</w:t>
            </w:r>
          </w:p>
        </w:tc>
        <w:tc>
          <w:tcPr>
            <w:tcW w:w="2583" w:type="pct"/>
            <w:tcBorders>
              <w:top w:val="single" w:sz="4" w:space="0" w:color="auto"/>
              <w:bottom w:val="single" w:sz="4" w:space="0" w:color="auto"/>
            </w:tcBorders>
            <w:shd w:val="clear" w:color="auto" w:fill="auto"/>
            <w:vAlign w:val="center"/>
          </w:tcPr>
          <w:p w14:paraId="42CDDB91" w14:textId="77777777" w:rsidR="004F73D0" w:rsidRPr="00146D33" w:rsidRDefault="004F73D0" w:rsidP="00581128">
            <w:pPr>
              <w:spacing w:line="480" w:lineRule="auto"/>
              <w:jc w:val="left"/>
              <w:rPr>
                <w:rFonts w:ascii="Arial" w:hAnsi="Arial" w:cs="Arial"/>
                <w:sz w:val="24"/>
                <w:szCs w:val="24"/>
              </w:rPr>
            </w:pPr>
            <w:r w:rsidRPr="0020778F">
              <w:rPr>
                <w:rFonts w:ascii="Arial" w:eastAsia="Yu Gothic" w:hAnsi="Arial" w:cs="Arial"/>
                <w:color w:val="000000"/>
                <w:sz w:val="24"/>
                <w:szCs w:val="24"/>
              </w:rPr>
              <w:t>Socioeconomic risk scores represent risk of being unable to cope with economic shocks in the face of COVID-19. This index is created with a principal component analysis (PCA) with a list of indicators of socioeconomic status at the household level (nonfarm employment, hectares of farmland owned, number of livestock owned, educational attainment) and housing type (house with roof, floor, and walls built with advanced finished materials, such as bricks and cement). This index takes into account urban and rural differences by conducting the PCA for urban and rural settings and combining results for a national index. The raw PCA scores are broken into quintiles, with 5 indicating highest risk and 1 indicating lowest risk.</w:t>
            </w:r>
          </w:p>
        </w:tc>
      </w:tr>
      <w:tr w:rsidR="004F73D0" w14:paraId="7C56F0AE" w14:textId="77777777" w:rsidTr="00581128">
        <w:tc>
          <w:tcPr>
            <w:tcW w:w="2417" w:type="pct"/>
            <w:tcBorders>
              <w:top w:val="single" w:sz="4" w:space="0" w:color="auto"/>
              <w:bottom w:val="single" w:sz="4" w:space="0" w:color="auto"/>
            </w:tcBorders>
            <w:shd w:val="clear" w:color="auto" w:fill="auto"/>
          </w:tcPr>
          <w:p w14:paraId="6DF239DC"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lastRenderedPageBreak/>
              <w:t>Proportion of radio listeners</w:t>
            </w:r>
          </w:p>
        </w:tc>
        <w:tc>
          <w:tcPr>
            <w:tcW w:w="2583" w:type="pct"/>
            <w:tcBorders>
              <w:top w:val="single" w:sz="4" w:space="0" w:color="auto"/>
              <w:bottom w:val="single" w:sz="4" w:space="0" w:color="auto"/>
            </w:tcBorders>
            <w:shd w:val="clear" w:color="auto" w:fill="auto"/>
            <w:vAlign w:val="center"/>
          </w:tcPr>
          <w:p w14:paraId="00A2B06D"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Numbers of adults (15-49 years old) that listen to radio at least once a week divided by the number of adult residents in the SEA.</w:t>
            </w:r>
          </w:p>
        </w:tc>
      </w:tr>
      <w:tr w:rsidR="004F73D0" w14:paraId="75778658" w14:textId="77777777" w:rsidTr="00581128">
        <w:tc>
          <w:tcPr>
            <w:tcW w:w="2417" w:type="pct"/>
            <w:tcBorders>
              <w:top w:val="single" w:sz="4" w:space="0" w:color="auto"/>
              <w:bottom w:val="single" w:sz="4" w:space="0" w:color="auto"/>
            </w:tcBorders>
            <w:shd w:val="clear" w:color="auto" w:fill="auto"/>
          </w:tcPr>
          <w:p w14:paraId="2E5C2E10" w14:textId="77777777" w:rsidR="004F73D0" w:rsidRPr="00146D33" w:rsidRDefault="004F73D0" w:rsidP="00581128">
            <w:pPr>
              <w:spacing w:line="480" w:lineRule="auto"/>
              <w:rPr>
                <w:rFonts w:ascii="Arial" w:hAnsi="Arial" w:cs="Arial"/>
                <w:sz w:val="24"/>
                <w:szCs w:val="24"/>
              </w:rPr>
            </w:pPr>
            <w:r>
              <w:rPr>
                <w:rFonts w:ascii="Arial" w:hAnsi="Arial" w:cs="Arial" w:hint="eastAsia"/>
                <w:sz w:val="24"/>
                <w:szCs w:val="24"/>
              </w:rPr>
              <w:t>P</w:t>
            </w:r>
            <w:r>
              <w:rPr>
                <w:rFonts w:ascii="Arial" w:hAnsi="Arial" w:cs="Arial"/>
                <w:sz w:val="24"/>
                <w:szCs w:val="24"/>
              </w:rPr>
              <w:t>roportion of females with literacy</w:t>
            </w:r>
          </w:p>
        </w:tc>
        <w:tc>
          <w:tcPr>
            <w:tcW w:w="2583" w:type="pct"/>
            <w:tcBorders>
              <w:top w:val="single" w:sz="4" w:space="0" w:color="auto"/>
              <w:bottom w:val="single" w:sz="4" w:space="0" w:color="auto"/>
            </w:tcBorders>
            <w:shd w:val="clear" w:color="auto" w:fill="auto"/>
            <w:vAlign w:val="center"/>
          </w:tcPr>
          <w:p w14:paraId="215FDB94" w14:textId="77777777" w:rsidR="004F73D0" w:rsidRPr="00146D33" w:rsidRDefault="004F73D0" w:rsidP="00581128">
            <w:pPr>
              <w:spacing w:line="480" w:lineRule="auto"/>
              <w:jc w:val="left"/>
              <w:rPr>
                <w:rFonts w:ascii="Arial" w:hAnsi="Arial" w:cs="Arial"/>
                <w:sz w:val="24"/>
                <w:szCs w:val="24"/>
              </w:rPr>
            </w:pPr>
            <w:r w:rsidRPr="00C531C8">
              <w:rPr>
                <w:rFonts w:ascii="Arial" w:eastAsia="Yu Gothic" w:hAnsi="Arial" w:cs="Arial"/>
                <w:color w:val="000000"/>
                <w:sz w:val="24"/>
                <w:szCs w:val="24"/>
              </w:rPr>
              <w:t>Numbers of adult women (15-49 years old) that are able to read parts of sentence divided by the number of adult female residents in the SEA.</w:t>
            </w:r>
          </w:p>
        </w:tc>
      </w:tr>
      <w:tr w:rsidR="004F73D0" w14:paraId="29402880" w14:textId="77777777" w:rsidTr="00581128">
        <w:tc>
          <w:tcPr>
            <w:tcW w:w="2417" w:type="pct"/>
            <w:tcBorders>
              <w:top w:val="single" w:sz="4" w:space="0" w:color="auto"/>
              <w:bottom w:val="single" w:sz="4" w:space="0" w:color="auto"/>
            </w:tcBorders>
            <w:shd w:val="clear" w:color="auto" w:fill="auto"/>
          </w:tcPr>
          <w:p w14:paraId="0569C60C" w14:textId="77777777" w:rsidR="004F73D0" w:rsidRPr="00146D33" w:rsidRDefault="004F73D0" w:rsidP="00581128">
            <w:pPr>
              <w:spacing w:line="480" w:lineRule="auto"/>
              <w:rPr>
                <w:rFonts w:ascii="Arial" w:hAnsi="Arial" w:cs="Arial"/>
                <w:sz w:val="24"/>
                <w:szCs w:val="24"/>
              </w:rPr>
            </w:pPr>
            <w:r>
              <w:rPr>
                <w:rFonts w:ascii="Arial" w:hAnsi="Arial" w:cs="Arial" w:hint="eastAsia"/>
                <w:sz w:val="24"/>
                <w:szCs w:val="24"/>
              </w:rPr>
              <w:t>P</w:t>
            </w:r>
            <w:r>
              <w:rPr>
                <w:rFonts w:ascii="Arial" w:hAnsi="Arial" w:cs="Arial"/>
                <w:sz w:val="24"/>
                <w:szCs w:val="24"/>
              </w:rPr>
              <w:t>roportion of males with literacy</w:t>
            </w:r>
          </w:p>
        </w:tc>
        <w:tc>
          <w:tcPr>
            <w:tcW w:w="2583" w:type="pct"/>
            <w:tcBorders>
              <w:top w:val="single" w:sz="4" w:space="0" w:color="auto"/>
              <w:bottom w:val="single" w:sz="4" w:space="0" w:color="auto"/>
            </w:tcBorders>
            <w:shd w:val="clear" w:color="auto" w:fill="auto"/>
            <w:vAlign w:val="center"/>
          </w:tcPr>
          <w:p w14:paraId="45DF7960" w14:textId="77777777" w:rsidR="004F73D0" w:rsidRPr="00C531C8" w:rsidRDefault="004F73D0" w:rsidP="00581128">
            <w:pPr>
              <w:widowControl/>
              <w:spacing w:line="480" w:lineRule="auto"/>
              <w:jc w:val="left"/>
              <w:rPr>
                <w:rFonts w:ascii="Arial" w:eastAsia="Yu Gothic" w:hAnsi="Arial" w:cs="Arial"/>
                <w:color w:val="000000"/>
                <w:sz w:val="24"/>
                <w:szCs w:val="24"/>
              </w:rPr>
            </w:pPr>
            <w:r w:rsidRPr="00C531C8">
              <w:rPr>
                <w:rFonts w:ascii="Arial" w:eastAsia="Yu Gothic" w:hAnsi="Arial" w:cs="Arial"/>
                <w:color w:val="000000"/>
                <w:sz w:val="24"/>
                <w:szCs w:val="24"/>
              </w:rPr>
              <w:t>Numbers of adult men (15-49 years old) that are able to read parts of sentence divided by the number of adult male residents in the SEA.</w:t>
            </w:r>
          </w:p>
        </w:tc>
      </w:tr>
      <w:tr w:rsidR="004F73D0" w14:paraId="436FA33C" w14:textId="77777777" w:rsidTr="00581128">
        <w:tc>
          <w:tcPr>
            <w:tcW w:w="2417" w:type="pct"/>
            <w:tcBorders>
              <w:top w:val="single" w:sz="4" w:space="0" w:color="auto"/>
              <w:bottom w:val="single" w:sz="4" w:space="0" w:color="auto"/>
            </w:tcBorders>
            <w:shd w:val="clear" w:color="auto" w:fill="auto"/>
          </w:tcPr>
          <w:p w14:paraId="1D5E7B10"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t>Proportion of individuals without soap/detergent at home</w:t>
            </w:r>
          </w:p>
        </w:tc>
        <w:tc>
          <w:tcPr>
            <w:tcW w:w="2583" w:type="pct"/>
            <w:tcBorders>
              <w:top w:val="single" w:sz="4" w:space="0" w:color="auto"/>
              <w:bottom w:val="single" w:sz="4" w:space="0" w:color="auto"/>
            </w:tcBorders>
            <w:shd w:val="clear" w:color="auto" w:fill="auto"/>
            <w:vAlign w:val="center"/>
          </w:tcPr>
          <w:p w14:paraId="4CA3D001"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Numbers of residents who do not have any soaps and detergents at home divided by a total number of residents in the SEA.</w:t>
            </w:r>
          </w:p>
        </w:tc>
      </w:tr>
      <w:tr w:rsidR="004F73D0" w14:paraId="6097401E" w14:textId="77777777" w:rsidTr="00581128">
        <w:tc>
          <w:tcPr>
            <w:tcW w:w="2417" w:type="pct"/>
            <w:tcBorders>
              <w:top w:val="single" w:sz="4" w:space="0" w:color="auto"/>
              <w:bottom w:val="single" w:sz="4" w:space="0" w:color="auto"/>
            </w:tcBorders>
            <w:shd w:val="clear" w:color="auto" w:fill="auto"/>
          </w:tcPr>
          <w:p w14:paraId="2CD60BB7"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t>Proportion of individuals without piped-in drinking water at home</w:t>
            </w:r>
          </w:p>
        </w:tc>
        <w:tc>
          <w:tcPr>
            <w:tcW w:w="2583" w:type="pct"/>
            <w:tcBorders>
              <w:top w:val="single" w:sz="4" w:space="0" w:color="auto"/>
              <w:bottom w:val="single" w:sz="4" w:space="0" w:color="auto"/>
            </w:tcBorders>
            <w:shd w:val="clear" w:color="auto" w:fill="auto"/>
            <w:vAlign w:val="center"/>
          </w:tcPr>
          <w:p w14:paraId="2A8C39EF"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Numbers of residents who do not have piped-in drinking water at home divided by a total number of residents in the SEA.</w:t>
            </w:r>
          </w:p>
        </w:tc>
      </w:tr>
      <w:tr w:rsidR="004F73D0" w14:paraId="607D048E" w14:textId="77777777" w:rsidTr="00581128">
        <w:tc>
          <w:tcPr>
            <w:tcW w:w="2417" w:type="pct"/>
            <w:tcBorders>
              <w:top w:val="single" w:sz="4" w:space="0" w:color="auto"/>
              <w:bottom w:val="single" w:sz="4" w:space="0" w:color="auto"/>
            </w:tcBorders>
            <w:shd w:val="clear" w:color="auto" w:fill="auto"/>
          </w:tcPr>
          <w:p w14:paraId="2583A4E1"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t>Proportion of individuals without water for hand washing at home</w:t>
            </w:r>
          </w:p>
        </w:tc>
        <w:tc>
          <w:tcPr>
            <w:tcW w:w="2583" w:type="pct"/>
            <w:tcBorders>
              <w:top w:val="single" w:sz="4" w:space="0" w:color="auto"/>
              <w:bottom w:val="single" w:sz="4" w:space="0" w:color="auto"/>
            </w:tcBorders>
            <w:shd w:val="clear" w:color="auto" w:fill="auto"/>
            <w:vAlign w:val="center"/>
          </w:tcPr>
          <w:p w14:paraId="46590762"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 xml:space="preserve">Numbers of residents who do not have water for hand washing at home divided by a total number of residents </w:t>
            </w:r>
            <w:r w:rsidRPr="00146D33">
              <w:rPr>
                <w:rFonts w:ascii="Arial" w:hAnsi="Arial" w:cs="Arial"/>
                <w:sz w:val="24"/>
                <w:szCs w:val="24"/>
              </w:rPr>
              <w:lastRenderedPageBreak/>
              <w:t>in the SEA.</w:t>
            </w:r>
          </w:p>
        </w:tc>
      </w:tr>
      <w:tr w:rsidR="004F73D0" w14:paraId="5A877ED2" w14:textId="77777777" w:rsidTr="00581128">
        <w:tc>
          <w:tcPr>
            <w:tcW w:w="2417" w:type="pct"/>
            <w:tcBorders>
              <w:top w:val="single" w:sz="4" w:space="0" w:color="auto"/>
              <w:bottom w:val="nil"/>
            </w:tcBorders>
            <w:shd w:val="clear" w:color="auto" w:fill="auto"/>
          </w:tcPr>
          <w:p w14:paraId="3724A024"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lastRenderedPageBreak/>
              <w:t>Proportion of individuals who need more than 30 mins to get water</w:t>
            </w:r>
          </w:p>
        </w:tc>
        <w:tc>
          <w:tcPr>
            <w:tcW w:w="2583" w:type="pct"/>
            <w:tcBorders>
              <w:top w:val="single" w:sz="4" w:space="0" w:color="auto"/>
              <w:bottom w:val="nil"/>
            </w:tcBorders>
            <w:shd w:val="clear" w:color="auto" w:fill="auto"/>
            <w:vAlign w:val="center"/>
          </w:tcPr>
          <w:p w14:paraId="132055C7"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Numbers of residents who need more than 30 minutes to get water divided by a total number of residents in the SEA.</w:t>
            </w:r>
          </w:p>
        </w:tc>
      </w:tr>
      <w:tr w:rsidR="004F73D0" w14:paraId="762BB688" w14:textId="77777777" w:rsidTr="00581128">
        <w:tc>
          <w:tcPr>
            <w:tcW w:w="2417" w:type="pct"/>
            <w:tcBorders>
              <w:top w:val="nil"/>
              <w:bottom w:val="single" w:sz="4" w:space="0" w:color="auto"/>
            </w:tcBorders>
            <w:shd w:val="clear" w:color="auto" w:fill="auto"/>
          </w:tcPr>
          <w:p w14:paraId="1B191BBA" w14:textId="77777777" w:rsidR="004F73D0" w:rsidRPr="00146D33" w:rsidRDefault="004F73D0" w:rsidP="00581128">
            <w:pPr>
              <w:spacing w:line="480" w:lineRule="auto"/>
              <w:rPr>
                <w:rFonts w:ascii="Arial" w:hAnsi="Arial" w:cs="Arial"/>
                <w:sz w:val="24"/>
                <w:szCs w:val="24"/>
              </w:rPr>
            </w:pPr>
            <w:r w:rsidRPr="00146D33">
              <w:rPr>
                <w:rFonts w:ascii="Arial" w:hAnsi="Arial" w:cs="Arial"/>
                <w:sz w:val="24"/>
                <w:szCs w:val="24"/>
              </w:rPr>
              <w:t>Proportion of individuals who share toilets with others or do not have toilets at home</w:t>
            </w:r>
          </w:p>
        </w:tc>
        <w:tc>
          <w:tcPr>
            <w:tcW w:w="2583" w:type="pct"/>
            <w:tcBorders>
              <w:top w:val="nil"/>
              <w:bottom w:val="single" w:sz="4" w:space="0" w:color="auto"/>
            </w:tcBorders>
            <w:shd w:val="clear" w:color="auto" w:fill="auto"/>
            <w:vAlign w:val="center"/>
          </w:tcPr>
          <w:p w14:paraId="2D497574" w14:textId="77777777" w:rsidR="004F73D0" w:rsidRPr="00146D33" w:rsidRDefault="004F73D0" w:rsidP="00581128">
            <w:pPr>
              <w:spacing w:line="480" w:lineRule="auto"/>
              <w:jc w:val="left"/>
              <w:rPr>
                <w:rFonts w:ascii="Arial" w:hAnsi="Arial" w:cs="Arial"/>
                <w:sz w:val="24"/>
                <w:szCs w:val="24"/>
              </w:rPr>
            </w:pPr>
            <w:r w:rsidRPr="00146D33">
              <w:rPr>
                <w:rFonts w:ascii="Arial" w:hAnsi="Arial" w:cs="Arial"/>
                <w:sz w:val="24"/>
                <w:szCs w:val="24"/>
              </w:rPr>
              <w:t>Numbers of residents who share toilets with other houses or those who do not have toilets at home divided by a total number of residents in the SEA.</w:t>
            </w:r>
          </w:p>
        </w:tc>
      </w:tr>
      <w:tr w:rsidR="004F73D0" w14:paraId="3BEA1311" w14:textId="77777777" w:rsidTr="00581128">
        <w:tc>
          <w:tcPr>
            <w:tcW w:w="2417" w:type="pct"/>
            <w:tcBorders>
              <w:top w:val="single" w:sz="4" w:space="0" w:color="auto"/>
              <w:bottom w:val="single" w:sz="4" w:space="0" w:color="auto"/>
            </w:tcBorders>
            <w:shd w:val="clear" w:color="auto" w:fill="auto"/>
          </w:tcPr>
          <w:p w14:paraId="060685FB" w14:textId="77777777" w:rsidR="004F73D0" w:rsidRPr="0020778F" w:rsidRDefault="004F73D0" w:rsidP="00581128">
            <w:pPr>
              <w:tabs>
                <w:tab w:val="left" w:pos="1395"/>
              </w:tabs>
              <w:spacing w:line="480" w:lineRule="auto"/>
              <w:rPr>
                <w:rFonts w:ascii="Arial" w:eastAsia="Yu Gothic" w:hAnsi="Arial" w:cs="Arial"/>
                <w:color w:val="000000"/>
                <w:sz w:val="24"/>
                <w:szCs w:val="24"/>
              </w:rPr>
            </w:pPr>
            <w:r w:rsidRPr="00146D33">
              <w:rPr>
                <w:rFonts w:ascii="Arial" w:hAnsi="Arial" w:cs="Arial"/>
                <w:sz w:val="24"/>
                <w:szCs w:val="24"/>
              </w:rPr>
              <w:t>Population density</w:t>
            </w:r>
          </w:p>
        </w:tc>
        <w:tc>
          <w:tcPr>
            <w:tcW w:w="2583" w:type="pct"/>
            <w:tcBorders>
              <w:top w:val="single" w:sz="4" w:space="0" w:color="auto"/>
              <w:bottom w:val="single" w:sz="4" w:space="0" w:color="auto"/>
            </w:tcBorders>
            <w:shd w:val="clear" w:color="auto" w:fill="auto"/>
            <w:vAlign w:val="center"/>
          </w:tcPr>
          <w:p w14:paraId="434EAA5A" w14:textId="77777777" w:rsidR="004F73D0" w:rsidRPr="0020778F" w:rsidRDefault="004F73D0" w:rsidP="00581128">
            <w:pPr>
              <w:widowControl/>
              <w:spacing w:line="480" w:lineRule="auto"/>
              <w:jc w:val="left"/>
              <w:rPr>
                <w:rFonts w:ascii="Arial" w:eastAsia="Yu Gothic" w:hAnsi="Arial" w:cs="Arial"/>
                <w:color w:val="000000"/>
                <w:sz w:val="24"/>
                <w:szCs w:val="24"/>
              </w:rPr>
            </w:pPr>
            <w:r w:rsidRPr="00146D33">
              <w:rPr>
                <w:rFonts w:ascii="Arial" w:hAnsi="Arial" w:cs="Arial" w:hint="eastAsia"/>
                <w:sz w:val="24"/>
                <w:szCs w:val="24"/>
              </w:rPr>
              <w:t>N</w:t>
            </w:r>
            <w:r w:rsidRPr="00146D33">
              <w:rPr>
                <w:rFonts w:ascii="Arial" w:hAnsi="Arial" w:cs="Arial"/>
                <w:sz w:val="24"/>
                <w:szCs w:val="24"/>
              </w:rPr>
              <w:t>umbers of residents in the SEA divided by the area size (km</w:t>
            </w:r>
            <w:r w:rsidRPr="00146D33">
              <w:rPr>
                <w:rFonts w:ascii="Arial" w:hAnsi="Arial" w:cs="Arial"/>
                <w:sz w:val="24"/>
                <w:szCs w:val="24"/>
                <w:vertAlign w:val="superscript"/>
              </w:rPr>
              <w:t>2</w:t>
            </w:r>
            <w:r w:rsidRPr="00146D33">
              <w:rPr>
                <w:rFonts w:ascii="Arial" w:hAnsi="Arial" w:cs="Arial"/>
                <w:sz w:val="24"/>
                <w:szCs w:val="24"/>
              </w:rPr>
              <w:t>).</w:t>
            </w:r>
          </w:p>
        </w:tc>
      </w:tr>
    </w:tbl>
    <w:p w14:paraId="1DEA3AE2" w14:textId="77777777" w:rsidR="004F73D0" w:rsidRDefault="004F73D0" w:rsidP="004F73D0">
      <w:pPr>
        <w:spacing w:line="480" w:lineRule="auto"/>
        <w:rPr>
          <w:rFonts w:ascii="Arial" w:eastAsia="MS Gothic" w:hAnsi="Arial" w:cs="Arial"/>
          <w:sz w:val="24"/>
          <w:szCs w:val="24"/>
        </w:rPr>
      </w:pPr>
      <w:r w:rsidRPr="00E34C76">
        <w:rPr>
          <w:rFonts w:ascii="Arial" w:eastAsia="MS Gothic" w:hAnsi="Arial" w:cs="Arial"/>
          <w:sz w:val="24"/>
          <w:szCs w:val="24"/>
        </w:rPr>
        <w:t xml:space="preserve">Spatial factors for the standard enumeration areas (SEAs) were retrieved from the open data source generated by the Zambia Data Hub (https://zambia-open-data-nsdi-mlnr.hub.arcgis.com/pages/zambia-covid19). The spatial data </w:t>
      </w:r>
      <w:r>
        <w:rPr>
          <w:rFonts w:ascii="Arial" w:eastAsia="MS Gothic" w:hAnsi="Arial" w:cs="Arial"/>
          <w:sz w:val="24"/>
          <w:szCs w:val="24"/>
        </w:rPr>
        <w:t>were</w:t>
      </w:r>
      <w:r w:rsidRPr="00E34C76">
        <w:rPr>
          <w:rFonts w:ascii="Arial" w:eastAsia="MS Gothic" w:hAnsi="Arial" w:cs="Arial"/>
          <w:sz w:val="24"/>
          <w:szCs w:val="24"/>
        </w:rPr>
        <w:t xml:space="preserve"> provided in a raster data format with a 1 square kilometre resolution.</w:t>
      </w:r>
    </w:p>
    <w:p w14:paraId="3DE1C36C" w14:textId="77777777" w:rsidR="004F73D0" w:rsidRDefault="004F73D0" w:rsidP="004F73D0">
      <w:pPr>
        <w:widowControl/>
        <w:jc w:val="left"/>
        <w:rPr>
          <w:rFonts w:ascii="Arial" w:eastAsia="MS Gothic" w:hAnsi="Arial" w:cs="Arial"/>
          <w:sz w:val="24"/>
          <w:szCs w:val="24"/>
        </w:rPr>
      </w:pPr>
      <w:r>
        <w:rPr>
          <w:rFonts w:ascii="Arial" w:eastAsia="MS Gothic" w:hAnsi="Arial" w:cs="Arial"/>
          <w:sz w:val="24"/>
          <w:szCs w:val="24"/>
        </w:rPr>
        <w:br w:type="page"/>
      </w:r>
    </w:p>
    <w:p w14:paraId="1912DF7A" w14:textId="77777777" w:rsidR="004F73D0" w:rsidRDefault="004F73D0" w:rsidP="004F73D0">
      <w:pPr>
        <w:spacing w:line="480" w:lineRule="auto"/>
        <w:rPr>
          <w:rFonts w:ascii="Arial" w:hAnsi="Arial" w:cs="Arial"/>
          <w:sz w:val="24"/>
          <w:szCs w:val="24"/>
        </w:rPr>
      </w:pPr>
      <w:r>
        <w:rPr>
          <w:rFonts w:ascii="Arial" w:eastAsia="MS Gothic" w:hAnsi="Arial" w:cs="Arial" w:hint="eastAsia"/>
          <w:sz w:val="24"/>
          <w:szCs w:val="24"/>
        </w:rPr>
        <w:lastRenderedPageBreak/>
        <w:t>S</w:t>
      </w:r>
      <w:r>
        <w:rPr>
          <w:rFonts w:ascii="Arial" w:eastAsia="MS Gothic" w:hAnsi="Arial" w:cs="Arial"/>
          <w:sz w:val="24"/>
          <w:szCs w:val="24"/>
        </w:rPr>
        <w:t xml:space="preserve">upplementary Table 2. </w:t>
      </w:r>
      <w:r>
        <w:rPr>
          <w:rFonts w:ascii="Arial" w:hAnsi="Arial" w:cs="Arial"/>
          <w:sz w:val="24"/>
          <w:szCs w:val="24"/>
        </w:rPr>
        <w:t>Multivariate analysis using CAR models for spatial factors associated with SARS-CoV-2 prevalence in 6 districts of Zambia, July 4-27, 2020.</w:t>
      </w:r>
    </w:p>
    <w:tbl>
      <w:tblPr>
        <w:tblW w:w="5000" w:type="pct"/>
        <w:jc w:val="center"/>
        <w:tblLayout w:type="fixed"/>
        <w:tblLook w:val="04A0" w:firstRow="1" w:lastRow="0" w:firstColumn="1" w:lastColumn="0" w:noHBand="0" w:noVBand="1"/>
      </w:tblPr>
      <w:tblGrid>
        <w:gridCol w:w="4537"/>
        <w:gridCol w:w="992"/>
        <w:gridCol w:w="1842"/>
        <w:gridCol w:w="1133"/>
      </w:tblGrid>
      <w:tr w:rsidR="004F73D0" w14:paraId="4D1B4358" w14:textId="77777777" w:rsidTr="00581128">
        <w:trPr>
          <w:trHeight w:val="288"/>
          <w:jc w:val="center"/>
        </w:trPr>
        <w:tc>
          <w:tcPr>
            <w:tcW w:w="2668" w:type="pct"/>
            <w:tcBorders>
              <w:top w:val="single" w:sz="4" w:space="0" w:color="auto"/>
              <w:left w:val="nil"/>
              <w:bottom w:val="single" w:sz="4" w:space="0" w:color="auto"/>
              <w:right w:val="nil"/>
            </w:tcBorders>
            <w:shd w:val="clear" w:color="auto" w:fill="auto"/>
            <w:noWrap/>
            <w:vAlign w:val="bottom"/>
            <w:hideMark/>
          </w:tcPr>
          <w:p w14:paraId="04140B9D" w14:textId="77777777" w:rsidR="004F73D0" w:rsidRPr="00755AF2" w:rsidRDefault="004F73D0" w:rsidP="00581128">
            <w:pPr>
              <w:spacing w:line="480" w:lineRule="auto"/>
              <w:rPr>
                <w:rFonts w:ascii="Arial" w:eastAsia="MS Gothic" w:hAnsi="Arial" w:cs="Arial"/>
                <w:sz w:val="24"/>
                <w:szCs w:val="24"/>
              </w:rPr>
            </w:pPr>
            <w:bookmarkStart w:id="0" w:name="_Hlk121285937"/>
            <w:r>
              <w:rPr>
                <w:rFonts w:ascii="Arial" w:eastAsia="MS Gothic" w:hAnsi="Arial" w:cs="Arial"/>
                <w:sz w:val="24"/>
                <w:szCs w:val="24"/>
              </w:rPr>
              <w:t> Spatial factors</w:t>
            </w:r>
          </w:p>
        </w:tc>
        <w:tc>
          <w:tcPr>
            <w:tcW w:w="583" w:type="pct"/>
            <w:tcBorders>
              <w:top w:val="single" w:sz="4" w:space="0" w:color="auto"/>
              <w:left w:val="nil"/>
              <w:bottom w:val="single" w:sz="4" w:space="0" w:color="auto"/>
              <w:right w:val="nil"/>
            </w:tcBorders>
            <w:shd w:val="clear" w:color="auto" w:fill="auto"/>
            <w:noWrap/>
            <w:vAlign w:val="bottom"/>
            <w:hideMark/>
          </w:tcPr>
          <w:p w14:paraId="100E33AB" w14:textId="77777777" w:rsidR="004F73D0" w:rsidRPr="00755AF2" w:rsidRDefault="004F73D0" w:rsidP="00581128">
            <w:pPr>
              <w:spacing w:line="480" w:lineRule="auto"/>
              <w:rPr>
                <w:rFonts w:ascii="Arial" w:eastAsia="MS Gothic" w:hAnsi="Arial" w:cs="Arial"/>
                <w:sz w:val="24"/>
                <w:szCs w:val="24"/>
              </w:rPr>
            </w:pPr>
            <w:r w:rsidRPr="00755AF2">
              <w:rPr>
                <w:rFonts w:ascii="Arial" w:eastAsia="MS Gothic" w:hAnsi="Arial" w:cs="Arial"/>
                <w:sz w:val="24"/>
                <w:szCs w:val="24"/>
              </w:rPr>
              <w:t>aPR</w:t>
            </w:r>
          </w:p>
        </w:tc>
        <w:tc>
          <w:tcPr>
            <w:tcW w:w="1083" w:type="pct"/>
            <w:tcBorders>
              <w:top w:val="single" w:sz="4" w:space="0" w:color="auto"/>
              <w:left w:val="nil"/>
              <w:bottom w:val="single" w:sz="4" w:space="0" w:color="auto"/>
              <w:right w:val="nil"/>
            </w:tcBorders>
            <w:shd w:val="clear" w:color="auto" w:fill="auto"/>
            <w:noWrap/>
            <w:vAlign w:val="bottom"/>
            <w:hideMark/>
          </w:tcPr>
          <w:p w14:paraId="0BE0F25A" w14:textId="77777777" w:rsidR="004F73D0" w:rsidRPr="00755AF2" w:rsidRDefault="004F73D0" w:rsidP="00581128">
            <w:pPr>
              <w:spacing w:line="480" w:lineRule="auto"/>
              <w:rPr>
                <w:rFonts w:ascii="Arial" w:eastAsia="MS Gothic" w:hAnsi="Arial" w:cs="Arial"/>
                <w:sz w:val="24"/>
                <w:szCs w:val="24"/>
              </w:rPr>
            </w:pPr>
            <w:r w:rsidRPr="00755AF2">
              <w:rPr>
                <w:rFonts w:ascii="Arial" w:eastAsia="MS Gothic" w:hAnsi="Arial" w:cs="Arial"/>
                <w:sz w:val="24"/>
                <w:szCs w:val="24"/>
              </w:rPr>
              <w:t>95%CI</w:t>
            </w:r>
          </w:p>
        </w:tc>
        <w:tc>
          <w:tcPr>
            <w:tcW w:w="666" w:type="pct"/>
            <w:tcBorders>
              <w:top w:val="single" w:sz="4" w:space="0" w:color="auto"/>
              <w:left w:val="nil"/>
              <w:bottom w:val="single" w:sz="4" w:space="0" w:color="auto"/>
              <w:right w:val="nil"/>
            </w:tcBorders>
            <w:shd w:val="clear" w:color="auto" w:fill="auto"/>
            <w:noWrap/>
            <w:vAlign w:val="bottom"/>
            <w:hideMark/>
          </w:tcPr>
          <w:p w14:paraId="4FBE2842" w14:textId="77777777" w:rsidR="004F73D0" w:rsidRPr="00755AF2" w:rsidRDefault="004F73D0" w:rsidP="00581128">
            <w:pPr>
              <w:spacing w:line="480" w:lineRule="auto"/>
              <w:rPr>
                <w:rFonts w:ascii="Arial" w:eastAsia="MS Gothic" w:hAnsi="Arial" w:cs="Arial"/>
                <w:sz w:val="24"/>
                <w:szCs w:val="24"/>
              </w:rPr>
            </w:pPr>
            <w:r w:rsidRPr="00755AF2">
              <w:rPr>
                <w:rFonts w:ascii="Arial" w:eastAsia="MS Gothic" w:hAnsi="Arial" w:cs="Arial"/>
                <w:i/>
                <w:iCs/>
                <w:sz w:val="24"/>
                <w:szCs w:val="24"/>
              </w:rPr>
              <w:t>p</w:t>
            </w:r>
            <w:r w:rsidRPr="00755AF2">
              <w:rPr>
                <w:rFonts w:ascii="Arial" w:eastAsia="MS Gothic" w:hAnsi="Arial" w:cs="Arial"/>
                <w:sz w:val="24"/>
                <w:szCs w:val="24"/>
              </w:rPr>
              <w:t xml:space="preserve"> value</w:t>
            </w:r>
          </w:p>
        </w:tc>
      </w:tr>
      <w:tr w:rsidR="004F73D0" w14:paraId="76C35373" w14:textId="77777777" w:rsidTr="00581128">
        <w:trPr>
          <w:trHeight w:val="288"/>
          <w:jc w:val="center"/>
        </w:trPr>
        <w:tc>
          <w:tcPr>
            <w:tcW w:w="2668" w:type="pct"/>
            <w:tcBorders>
              <w:top w:val="nil"/>
              <w:left w:val="nil"/>
              <w:bottom w:val="nil"/>
              <w:right w:val="nil"/>
            </w:tcBorders>
            <w:shd w:val="clear" w:color="auto" w:fill="auto"/>
            <w:noWrap/>
            <w:hideMark/>
          </w:tcPr>
          <w:p w14:paraId="29F358DE" w14:textId="77777777" w:rsidR="004F73D0" w:rsidRPr="00755AF2" w:rsidRDefault="004F73D0" w:rsidP="00581128">
            <w:pPr>
              <w:spacing w:line="480" w:lineRule="auto"/>
              <w:rPr>
                <w:rFonts w:ascii="Arial" w:eastAsia="MS Gothic" w:hAnsi="Arial" w:cs="Arial"/>
                <w:sz w:val="24"/>
                <w:szCs w:val="24"/>
              </w:rPr>
            </w:pPr>
            <w:r w:rsidRPr="00237026">
              <w:rPr>
                <w:rFonts w:ascii="Arial" w:hAnsi="Arial" w:cs="Arial" w:hint="eastAsia"/>
                <w:sz w:val="24"/>
                <w:szCs w:val="24"/>
              </w:rPr>
              <w:t>S</w:t>
            </w:r>
            <w:r w:rsidRPr="00237026">
              <w:rPr>
                <w:rFonts w:ascii="Arial" w:hAnsi="Arial" w:cs="Arial"/>
                <w:sz w:val="24"/>
                <w:szCs w:val="24"/>
              </w:rPr>
              <w:t>ocioeconomic risk scores</w:t>
            </w:r>
          </w:p>
        </w:tc>
        <w:tc>
          <w:tcPr>
            <w:tcW w:w="583" w:type="pct"/>
            <w:tcBorders>
              <w:top w:val="nil"/>
              <w:left w:val="nil"/>
              <w:bottom w:val="nil"/>
              <w:right w:val="nil"/>
            </w:tcBorders>
            <w:shd w:val="clear" w:color="auto" w:fill="auto"/>
            <w:noWrap/>
            <w:vAlign w:val="bottom"/>
            <w:hideMark/>
          </w:tcPr>
          <w:p w14:paraId="77A50494"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0.44</w:t>
            </w:r>
          </w:p>
        </w:tc>
        <w:tc>
          <w:tcPr>
            <w:tcW w:w="1083" w:type="pct"/>
            <w:tcBorders>
              <w:top w:val="nil"/>
              <w:left w:val="nil"/>
              <w:bottom w:val="nil"/>
              <w:right w:val="nil"/>
            </w:tcBorders>
            <w:shd w:val="clear" w:color="auto" w:fill="auto"/>
            <w:noWrap/>
            <w:vAlign w:val="bottom"/>
            <w:hideMark/>
          </w:tcPr>
          <w:p w14:paraId="10AD89FE"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0.22-0.86</w:t>
            </w:r>
          </w:p>
        </w:tc>
        <w:tc>
          <w:tcPr>
            <w:tcW w:w="666" w:type="pct"/>
            <w:tcBorders>
              <w:top w:val="nil"/>
              <w:left w:val="nil"/>
              <w:bottom w:val="nil"/>
              <w:right w:val="nil"/>
            </w:tcBorders>
            <w:shd w:val="clear" w:color="auto" w:fill="auto"/>
            <w:noWrap/>
            <w:vAlign w:val="bottom"/>
            <w:hideMark/>
          </w:tcPr>
          <w:p w14:paraId="6C93A239"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0.02</w:t>
            </w:r>
          </w:p>
        </w:tc>
      </w:tr>
      <w:tr w:rsidR="004F73D0" w14:paraId="39349674" w14:textId="77777777" w:rsidTr="00581128">
        <w:trPr>
          <w:trHeight w:val="288"/>
          <w:jc w:val="center"/>
        </w:trPr>
        <w:tc>
          <w:tcPr>
            <w:tcW w:w="2668" w:type="pct"/>
            <w:tcBorders>
              <w:top w:val="nil"/>
              <w:left w:val="nil"/>
              <w:bottom w:val="nil"/>
              <w:right w:val="nil"/>
            </w:tcBorders>
            <w:shd w:val="clear" w:color="auto" w:fill="auto"/>
            <w:noWrap/>
            <w:hideMark/>
          </w:tcPr>
          <w:p w14:paraId="3E654E99" w14:textId="77777777" w:rsidR="004F73D0" w:rsidRPr="00755AF2" w:rsidRDefault="004F73D0" w:rsidP="00581128">
            <w:pPr>
              <w:spacing w:line="480" w:lineRule="auto"/>
              <w:rPr>
                <w:rFonts w:ascii="Arial" w:eastAsia="MS Gothic" w:hAnsi="Arial" w:cs="Arial"/>
                <w:sz w:val="24"/>
                <w:szCs w:val="24"/>
              </w:rPr>
            </w:pPr>
            <w:r w:rsidRPr="00237026">
              <w:rPr>
                <w:rFonts w:ascii="Arial" w:hAnsi="Arial" w:cs="Arial" w:hint="eastAsia"/>
                <w:sz w:val="24"/>
                <w:szCs w:val="24"/>
              </w:rPr>
              <w:t>P</w:t>
            </w:r>
            <w:r w:rsidRPr="00237026">
              <w:rPr>
                <w:rFonts w:ascii="Arial" w:hAnsi="Arial" w:cs="Arial"/>
                <w:sz w:val="24"/>
                <w:szCs w:val="24"/>
              </w:rPr>
              <w:t>opulation density</w:t>
            </w:r>
          </w:p>
        </w:tc>
        <w:tc>
          <w:tcPr>
            <w:tcW w:w="583" w:type="pct"/>
            <w:tcBorders>
              <w:top w:val="nil"/>
              <w:left w:val="nil"/>
              <w:bottom w:val="nil"/>
              <w:right w:val="nil"/>
            </w:tcBorders>
            <w:shd w:val="clear" w:color="auto" w:fill="auto"/>
            <w:noWrap/>
            <w:vAlign w:val="bottom"/>
            <w:hideMark/>
          </w:tcPr>
          <w:p w14:paraId="4F852C1B"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0.96</w:t>
            </w:r>
          </w:p>
        </w:tc>
        <w:tc>
          <w:tcPr>
            <w:tcW w:w="1083" w:type="pct"/>
            <w:tcBorders>
              <w:top w:val="nil"/>
              <w:left w:val="nil"/>
              <w:bottom w:val="nil"/>
              <w:right w:val="nil"/>
            </w:tcBorders>
            <w:shd w:val="clear" w:color="auto" w:fill="auto"/>
            <w:noWrap/>
            <w:vAlign w:val="bottom"/>
            <w:hideMark/>
          </w:tcPr>
          <w:p w14:paraId="42F9F08F"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0.92-1.00</w:t>
            </w:r>
          </w:p>
        </w:tc>
        <w:tc>
          <w:tcPr>
            <w:tcW w:w="666" w:type="pct"/>
            <w:tcBorders>
              <w:top w:val="nil"/>
              <w:left w:val="nil"/>
              <w:bottom w:val="nil"/>
              <w:right w:val="nil"/>
            </w:tcBorders>
            <w:shd w:val="clear" w:color="auto" w:fill="auto"/>
            <w:noWrap/>
            <w:vAlign w:val="bottom"/>
            <w:hideMark/>
          </w:tcPr>
          <w:p w14:paraId="098E753F"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0.06</w:t>
            </w:r>
          </w:p>
        </w:tc>
      </w:tr>
      <w:tr w:rsidR="004F73D0" w14:paraId="374155B9" w14:textId="77777777" w:rsidTr="00581128">
        <w:trPr>
          <w:trHeight w:val="288"/>
          <w:jc w:val="center"/>
        </w:trPr>
        <w:tc>
          <w:tcPr>
            <w:tcW w:w="2668" w:type="pct"/>
            <w:tcBorders>
              <w:top w:val="nil"/>
              <w:left w:val="nil"/>
              <w:right w:val="nil"/>
            </w:tcBorders>
            <w:shd w:val="clear" w:color="auto" w:fill="auto"/>
            <w:noWrap/>
            <w:hideMark/>
          </w:tcPr>
          <w:p w14:paraId="317CAC32" w14:textId="77777777" w:rsidR="004F73D0" w:rsidRPr="00755AF2" w:rsidRDefault="004F73D0" w:rsidP="00581128">
            <w:pPr>
              <w:spacing w:line="480" w:lineRule="auto"/>
              <w:rPr>
                <w:rFonts w:ascii="Arial" w:eastAsia="MS Gothic" w:hAnsi="Arial" w:cs="Arial"/>
                <w:sz w:val="24"/>
                <w:szCs w:val="24"/>
              </w:rPr>
            </w:pPr>
            <w:r w:rsidRPr="00237026">
              <w:rPr>
                <w:rFonts w:ascii="Arial" w:hAnsi="Arial" w:cs="Arial" w:hint="eastAsia"/>
                <w:sz w:val="24"/>
                <w:szCs w:val="24"/>
              </w:rPr>
              <w:t>U</w:t>
            </w:r>
            <w:r w:rsidRPr="00237026">
              <w:rPr>
                <w:rFonts w:ascii="Arial" w:hAnsi="Arial" w:cs="Arial"/>
                <w:sz w:val="24"/>
                <w:szCs w:val="24"/>
              </w:rPr>
              <w:t>rban SEAs</w:t>
            </w:r>
          </w:p>
        </w:tc>
        <w:tc>
          <w:tcPr>
            <w:tcW w:w="583" w:type="pct"/>
            <w:tcBorders>
              <w:top w:val="nil"/>
              <w:left w:val="nil"/>
              <w:right w:val="nil"/>
            </w:tcBorders>
            <w:shd w:val="clear" w:color="auto" w:fill="auto"/>
            <w:noWrap/>
            <w:vAlign w:val="bottom"/>
            <w:hideMark/>
          </w:tcPr>
          <w:p w14:paraId="16E6BBA7"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4.42</w:t>
            </w:r>
          </w:p>
        </w:tc>
        <w:tc>
          <w:tcPr>
            <w:tcW w:w="1083" w:type="pct"/>
            <w:tcBorders>
              <w:top w:val="nil"/>
              <w:left w:val="nil"/>
              <w:right w:val="nil"/>
            </w:tcBorders>
            <w:shd w:val="clear" w:color="auto" w:fill="auto"/>
            <w:noWrap/>
            <w:vAlign w:val="bottom"/>
            <w:hideMark/>
          </w:tcPr>
          <w:p w14:paraId="2CB9C611"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1.15-17.10</w:t>
            </w:r>
          </w:p>
        </w:tc>
        <w:tc>
          <w:tcPr>
            <w:tcW w:w="666" w:type="pct"/>
            <w:tcBorders>
              <w:top w:val="nil"/>
              <w:left w:val="nil"/>
              <w:right w:val="nil"/>
            </w:tcBorders>
            <w:shd w:val="clear" w:color="auto" w:fill="auto"/>
            <w:noWrap/>
            <w:vAlign w:val="bottom"/>
            <w:hideMark/>
          </w:tcPr>
          <w:p w14:paraId="6DF05031"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0.03</w:t>
            </w:r>
          </w:p>
        </w:tc>
      </w:tr>
      <w:tr w:rsidR="004F73D0" w14:paraId="04210C22" w14:textId="77777777" w:rsidTr="00581128">
        <w:trPr>
          <w:trHeight w:val="697"/>
          <w:jc w:val="center"/>
        </w:trPr>
        <w:tc>
          <w:tcPr>
            <w:tcW w:w="2668" w:type="pct"/>
            <w:tcBorders>
              <w:top w:val="nil"/>
              <w:left w:val="nil"/>
              <w:bottom w:val="single" w:sz="4" w:space="0" w:color="auto"/>
              <w:right w:val="nil"/>
            </w:tcBorders>
            <w:shd w:val="clear" w:color="auto" w:fill="auto"/>
            <w:noWrap/>
            <w:hideMark/>
          </w:tcPr>
          <w:p w14:paraId="60825FAA" w14:textId="77777777" w:rsidR="004F73D0" w:rsidRPr="00755AF2" w:rsidRDefault="004F73D0" w:rsidP="00581128">
            <w:pPr>
              <w:spacing w:line="480" w:lineRule="auto"/>
              <w:rPr>
                <w:rFonts w:ascii="Arial" w:eastAsia="MS Gothic" w:hAnsi="Arial" w:cs="Arial"/>
                <w:sz w:val="24"/>
                <w:szCs w:val="24"/>
              </w:rPr>
            </w:pPr>
            <w:r w:rsidRPr="00237026">
              <w:rPr>
                <w:rFonts w:ascii="Arial" w:hAnsi="Arial" w:cs="Arial" w:hint="eastAsia"/>
                <w:sz w:val="24"/>
                <w:szCs w:val="24"/>
              </w:rPr>
              <w:t>P</w:t>
            </w:r>
            <w:r w:rsidRPr="00237026">
              <w:rPr>
                <w:rFonts w:ascii="Arial" w:hAnsi="Arial" w:cs="Arial"/>
                <w:sz w:val="24"/>
                <w:szCs w:val="24"/>
              </w:rPr>
              <w:t>roportion of radio listeners</w:t>
            </w:r>
          </w:p>
        </w:tc>
        <w:tc>
          <w:tcPr>
            <w:tcW w:w="583" w:type="pct"/>
            <w:tcBorders>
              <w:top w:val="nil"/>
              <w:left w:val="nil"/>
              <w:bottom w:val="single" w:sz="4" w:space="0" w:color="auto"/>
              <w:right w:val="nil"/>
            </w:tcBorders>
            <w:shd w:val="clear" w:color="auto" w:fill="auto"/>
            <w:noWrap/>
            <w:vAlign w:val="bottom"/>
            <w:hideMark/>
          </w:tcPr>
          <w:p w14:paraId="049CE536"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0.00</w:t>
            </w:r>
          </w:p>
        </w:tc>
        <w:tc>
          <w:tcPr>
            <w:tcW w:w="1083" w:type="pct"/>
            <w:tcBorders>
              <w:top w:val="nil"/>
              <w:left w:val="nil"/>
              <w:bottom w:val="single" w:sz="4" w:space="0" w:color="auto"/>
              <w:right w:val="nil"/>
            </w:tcBorders>
            <w:shd w:val="clear" w:color="auto" w:fill="auto"/>
            <w:noWrap/>
            <w:vAlign w:val="bottom"/>
            <w:hideMark/>
          </w:tcPr>
          <w:p w14:paraId="1212040A"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0.00-0.00</w:t>
            </w:r>
          </w:p>
        </w:tc>
        <w:tc>
          <w:tcPr>
            <w:tcW w:w="666" w:type="pct"/>
            <w:tcBorders>
              <w:top w:val="nil"/>
              <w:left w:val="nil"/>
              <w:bottom w:val="single" w:sz="4" w:space="0" w:color="auto"/>
              <w:right w:val="nil"/>
            </w:tcBorders>
            <w:shd w:val="clear" w:color="auto" w:fill="auto"/>
            <w:noWrap/>
            <w:vAlign w:val="bottom"/>
            <w:hideMark/>
          </w:tcPr>
          <w:p w14:paraId="5831A8AE" w14:textId="77777777" w:rsidR="004F73D0" w:rsidRPr="00755AF2" w:rsidRDefault="004F73D0" w:rsidP="00581128">
            <w:pPr>
              <w:spacing w:line="480" w:lineRule="auto"/>
              <w:rPr>
                <w:rFonts w:ascii="Arial" w:eastAsia="MS Gothic" w:hAnsi="Arial" w:cs="Arial"/>
                <w:sz w:val="24"/>
                <w:szCs w:val="24"/>
              </w:rPr>
            </w:pPr>
            <w:r>
              <w:rPr>
                <w:rFonts w:ascii="Arial" w:eastAsia="MS Gothic" w:hAnsi="Arial" w:cs="Arial"/>
                <w:sz w:val="24"/>
                <w:szCs w:val="24"/>
              </w:rPr>
              <w:t>&lt;0.01</w:t>
            </w:r>
          </w:p>
        </w:tc>
      </w:tr>
    </w:tbl>
    <w:bookmarkEnd w:id="0"/>
    <w:p w14:paraId="02DB1D91" w14:textId="77777777" w:rsidR="004F73D0" w:rsidRDefault="004F73D0" w:rsidP="004F73D0">
      <w:pPr>
        <w:spacing w:line="480" w:lineRule="auto"/>
        <w:rPr>
          <w:rFonts w:ascii="Arial" w:hAnsi="Arial" w:cs="Arial"/>
          <w:sz w:val="24"/>
          <w:szCs w:val="24"/>
        </w:rPr>
      </w:pPr>
      <w:r>
        <w:rPr>
          <w:rFonts w:ascii="Arial" w:hAnsi="Arial" w:cs="Arial"/>
          <w:sz w:val="24"/>
          <w:szCs w:val="24"/>
        </w:rPr>
        <w:t>Abbreviations: CAR= conditional autoregressive, aPR=adjusted prevalence ratio, CI=confidence interval, SEA=standard enumeration area.</w:t>
      </w:r>
    </w:p>
    <w:p w14:paraId="2B09F368" w14:textId="77777777" w:rsidR="004F73D0" w:rsidRPr="00146D33" w:rsidRDefault="004F73D0" w:rsidP="004F73D0">
      <w:pPr>
        <w:spacing w:line="480" w:lineRule="auto"/>
        <w:rPr>
          <w:rFonts w:ascii="Arial" w:hAnsi="Arial" w:cs="Arial"/>
          <w:sz w:val="24"/>
          <w:szCs w:val="24"/>
        </w:rPr>
      </w:pPr>
      <w:r w:rsidRPr="00C5645B">
        <w:rPr>
          <w:rFonts w:ascii="Arial" w:hAnsi="Arial" w:cs="Arial"/>
          <w:sz w:val="24"/>
          <w:szCs w:val="24"/>
        </w:rPr>
        <w:t>Multivariate analysis with CAR was performed using</w:t>
      </w:r>
      <w:r>
        <w:rPr>
          <w:rFonts w:ascii="Arial" w:eastAsia="Yu Mincho" w:hAnsi="Arial" w:cs="Arial"/>
          <w:sz w:val="24"/>
          <w:szCs w:val="24"/>
        </w:rPr>
        <w:t xml:space="preserve"> the</w:t>
      </w:r>
      <w:r w:rsidRPr="00C5645B">
        <w:rPr>
          <w:rFonts w:ascii="Arial" w:hAnsi="Arial" w:cs="Arial"/>
          <w:sz w:val="24"/>
          <w:szCs w:val="24"/>
        </w:rPr>
        <w:t xml:space="preserve"> “car” package of R (</w:t>
      </w:r>
      <w:hyperlink r:id="rId4" w:history="1">
        <w:r w:rsidRPr="00614D91">
          <w:rPr>
            <w:rStyle w:val="Hyperlink"/>
            <w:rFonts w:ascii="Arial" w:hAnsi="Arial" w:cs="Arial"/>
            <w:sz w:val="24"/>
            <w:szCs w:val="24"/>
          </w:rPr>
          <w:t>https://cran.r-project.org/web/packages/car/index.html</w:t>
        </w:r>
      </w:hyperlink>
      <w:r>
        <w:rPr>
          <w:rFonts w:ascii="Arial" w:hAnsi="Arial" w:cs="Arial"/>
          <w:sz w:val="24"/>
          <w:szCs w:val="24"/>
        </w:rPr>
        <w:t xml:space="preserve">). SARS-CoV-2 prevalence was used as the dependent </w:t>
      </w:r>
      <w:r>
        <w:rPr>
          <w:rFonts w:ascii="Arial" w:eastAsia="Yu Mincho" w:hAnsi="Arial" w:cs="Arial"/>
          <w:sz w:val="24"/>
          <w:szCs w:val="24"/>
        </w:rPr>
        <w:t>variable</w:t>
      </w:r>
      <w:r>
        <w:rPr>
          <w:rFonts w:ascii="Arial" w:hAnsi="Arial" w:cs="Arial"/>
          <w:sz w:val="24"/>
          <w:szCs w:val="24"/>
        </w:rPr>
        <w:t>, and spatial factors were used as the independent variables.</w:t>
      </w:r>
    </w:p>
    <w:p w14:paraId="37CBAB4F" w14:textId="77777777" w:rsidR="004F73D0" w:rsidRPr="00C5645B" w:rsidRDefault="004F73D0" w:rsidP="004F73D0">
      <w:pPr>
        <w:spacing w:line="480" w:lineRule="auto"/>
        <w:rPr>
          <w:rFonts w:ascii="Arial" w:eastAsia="MS Gothic" w:hAnsi="Arial" w:cs="Arial"/>
          <w:sz w:val="24"/>
          <w:szCs w:val="24"/>
        </w:rPr>
      </w:pPr>
    </w:p>
    <w:p w14:paraId="4A4DFD63" w14:textId="77777777" w:rsidR="00755780" w:rsidRDefault="00755780"/>
    <w:sectPr w:rsidR="00755780" w:rsidSect="00E0285B">
      <w:footerReference w:type="default" r:id="rId5"/>
      <w:pgSz w:w="11906" w:h="16838"/>
      <w:pgMar w:top="1985" w:right="1701" w:bottom="1701" w:left="1701"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5991593"/>
      <w:docPartObj>
        <w:docPartGallery w:val="Page Numbers (Bottom of Page)"/>
        <w:docPartUnique/>
      </w:docPartObj>
    </w:sdtPr>
    <w:sdtEndPr/>
    <w:sdtContent>
      <w:p w14:paraId="1B77CDF8" w14:textId="77777777" w:rsidR="006F0577" w:rsidRDefault="004F73D0">
        <w:pPr>
          <w:pStyle w:val="Footer"/>
          <w:jc w:val="center"/>
        </w:pPr>
        <w:r>
          <w:fldChar w:fldCharType="begin"/>
        </w:r>
        <w:r>
          <w:instrText>PAGE   \* MERGEFORMAT</w:instrText>
        </w:r>
        <w:r>
          <w:fldChar w:fldCharType="separate"/>
        </w:r>
        <w:r>
          <w:t>2</w:t>
        </w:r>
        <w:r>
          <w:fldChar w:fldCharType="end"/>
        </w:r>
      </w:p>
    </w:sdtContent>
  </w:sdt>
  <w:p w14:paraId="5E255585" w14:textId="77777777" w:rsidR="006F0577" w:rsidRDefault="004F73D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D0"/>
    <w:rsid w:val="004F73D0"/>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2AD6"/>
  <w15:chartTrackingRefBased/>
  <w15:docId w15:val="{3808FF5A-AF1E-4F48-8621-F8885834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3D0"/>
    <w:pPr>
      <w:widowControl w:val="0"/>
      <w:spacing w:after="0" w:line="240" w:lineRule="auto"/>
      <w:jc w:val="both"/>
    </w:pPr>
    <w:rPr>
      <w:rFonts w:eastAsiaTheme="minorEastAsia"/>
      <w:kern w:val="2"/>
      <w:sz w:val="21"/>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3D0"/>
    <w:rPr>
      <w:color w:val="0000FF"/>
      <w:u w:val="single"/>
    </w:rPr>
  </w:style>
  <w:style w:type="table" w:styleId="TableGrid">
    <w:name w:val="Table Grid"/>
    <w:basedOn w:val="TableNormal"/>
    <w:uiPriority w:val="39"/>
    <w:rsid w:val="004F73D0"/>
    <w:pPr>
      <w:spacing w:after="0" w:line="240" w:lineRule="auto"/>
    </w:pPr>
    <w:rPr>
      <w:rFonts w:eastAsiaTheme="minorEastAsia"/>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F73D0"/>
    <w:pPr>
      <w:tabs>
        <w:tab w:val="center" w:pos="4252"/>
        <w:tab w:val="right" w:pos="8504"/>
      </w:tabs>
      <w:snapToGrid w:val="0"/>
    </w:pPr>
  </w:style>
  <w:style w:type="character" w:customStyle="1" w:styleId="FooterChar">
    <w:name w:val="Footer Char"/>
    <w:basedOn w:val="DefaultParagraphFont"/>
    <w:link w:val="Footer"/>
    <w:uiPriority w:val="99"/>
    <w:rsid w:val="004F73D0"/>
    <w:rPr>
      <w:rFonts w:eastAsiaTheme="minorEastAsia"/>
      <w:kern w:val="2"/>
      <w:sz w:val="21"/>
      <w:lang w:val="en-GB" w:eastAsia="ja-JP"/>
    </w:rPr>
  </w:style>
  <w:style w:type="character" w:styleId="LineNumber">
    <w:name w:val="line number"/>
    <w:basedOn w:val="DefaultParagraphFont"/>
    <w:uiPriority w:val="99"/>
    <w:semiHidden/>
    <w:unhideWhenUsed/>
    <w:rsid w:val="004F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s://cran.r-project.org/web/packages/ca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529</Words>
  <Characters>3021</Characters>
  <Application>Microsoft Office Word</Application>
  <DocSecurity>0</DocSecurity>
  <Lines>25</Lines>
  <Paragraphs>7</Paragraphs>
  <ScaleCrop>false</ScaleCrop>
  <Company>Springer Nature</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2023-10-11T09:06:00Z</dcterms:created>
  <dcterms:modified xsi:type="dcterms:W3CDTF">2023-10-11T09:06:00Z</dcterms:modified>
</cp:coreProperties>
</file>