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A6E0A" w14:textId="53CEA191" w:rsidR="002A59F0" w:rsidRDefault="002A59F0" w:rsidP="002E504F">
      <w:pPr>
        <w:pStyle w:val="CPTInstructional"/>
        <w:bidi/>
        <w:jc w:val="center"/>
        <w:rPr>
          <w:b/>
          <w:bCs/>
          <w:rtl/>
        </w:rPr>
      </w:pPr>
    </w:p>
    <w:p w14:paraId="39192658" w14:textId="62B9AEAB" w:rsidR="002A59F0" w:rsidRDefault="002A59F0" w:rsidP="002A59F0">
      <w:pPr>
        <w:pStyle w:val="CPTInstructional"/>
        <w:bidi/>
        <w:jc w:val="center"/>
        <w:rPr>
          <w:b/>
          <w:bCs/>
          <w:rtl/>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665"/>
        <w:gridCol w:w="4665"/>
      </w:tblGrid>
      <w:tr w:rsidR="005F4E4E" w:rsidRPr="005F4E4E" w14:paraId="23F821AF" w14:textId="77777777" w:rsidTr="005F4E4E">
        <w:trPr>
          <w:trHeight w:val="300"/>
          <w:hidden/>
        </w:trPr>
        <w:tc>
          <w:tcPr>
            <w:tcW w:w="4665" w:type="dxa"/>
            <w:tcBorders>
              <w:top w:val="nil"/>
              <w:left w:val="nil"/>
              <w:bottom w:val="nil"/>
              <w:right w:val="nil"/>
            </w:tcBorders>
            <w:shd w:val="clear" w:color="auto" w:fill="auto"/>
            <w:hideMark/>
          </w:tcPr>
          <w:p w14:paraId="3669808E" w14:textId="472C7088" w:rsidR="005F4E4E" w:rsidRPr="005F4E4E" w:rsidRDefault="005F4E4E" w:rsidP="005F4E4E">
            <w:pPr>
              <w:spacing w:before="0" w:after="0" w:line="240" w:lineRule="auto"/>
              <w:textAlignment w:val="baseline"/>
              <w:rPr>
                <w:rFonts w:eastAsia="Times New Roman" w:cs="Times New Roman"/>
                <w:szCs w:val="24"/>
              </w:rPr>
            </w:pPr>
            <w:r w:rsidRPr="005F4E4E">
              <w:rPr>
                <w:rFonts w:cs="Arial"/>
                <w:b/>
                <w:bCs/>
                <w:noProof/>
                <w:vanish/>
                <w:color w:val="FF0000"/>
                <w:sz w:val="22"/>
                <w:szCs w:val="20"/>
              </w:rPr>
              <w:drawing>
                <wp:inline distT="0" distB="0" distL="0" distR="0" wp14:anchorId="365A4189" wp14:editId="173AD5E5">
                  <wp:extent cx="1733550" cy="571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33550" cy="571500"/>
                          </a:xfrm>
                          <a:prstGeom prst="rect">
                            <a:avLst/>
                          </a:prstGeom>
                          <a:noFill/>
                          <a:ln>
                            <a:noFill/>
                          </a:ln>
                        </pic:spPr>
                      </pic:pic>
                    </a:graphicData>
                  </a:graphic>
                </wp:inline>
              </w:drawing>
            </w:r>
            <w:r w:rsidRPr="005F4E4E">
              <w:rPr>
                <w:rFonts w:eastAsia="Times New Roman" w:cs="Times New Roman"/>
                <w:szCs w:val="24"/>
              </w:rPr>
              <w:t> </w:t>
            </w:r>
          </w:p>
        </w:tc>
        <w:tc>
          <w:tcPr>
            <w:tcW w:w="4665" w:type="dxa"/>
            <w:tcBorders>
              <w:top w:val="nil"/>
              <w:left w:val="nil"/>
              <w:bottom w:val="nil"/>
              <w:right w:val="nil"/>
            </w:tcBorders>
            <w:shd w:val="clear" w:color="auto" w:fill="auto"/>
            <w:hideMark/>
          </w:tcPr>
          <w:p w14:paraId="0875A2ED" w14:textId="48269C4C" w:rsidR="005F4E4E" w:rsidRPr="005F4E4E" w:rsidRDefault="0011556C" w:rsidP="005F4E4E">
            <w:pPr>
              <w:spacing w:before="0" w:after="0" w:line="240" w:lineRule="auto"/>
              <w:textAlignment w:val="baseline"/>
              <w:rPr>
                <w:rFonts w:eastAsia="Times New Roman" w:cs="Times New Roman"/>
                <w:szCs w:val="24"/>
              </w:rPr>
            </w:pPr>
            <w:r w:rsidRPr="005F4E4E">
              <w:rPr>
                <w:rFonts w:cs="Arial"/>
                <w:b/>
                <w:bCs/>
                <w:noProof/>
                <w:vanish/>
                <w:color w:val="FF0000"/>
                <w:sz w:val="22"/>
                <w:szCs w:val="20"/>
              </w:rPr>
              <w:drawing>
                <wp:anchor distT="0" distB="0" distL="114300" distR="114300" simplePos="0" relativeHeight="251658240" behindDoc="1" locked="0" layoutInCell="1" allowOverlap="1" wp14:anchorId="3DFAD948" wp14:editId="594946EE">
                  <wp:simplePos x="0" y="0"/>
                  <wp:positionH relativeFrom="column">
                    <wp:posOffset>1238250</wp:posOffset>
                  </wp:positionH>
                  <wp:positionV relativeFrom="paragraph">
                    <wp:posOffset>-3175</wp:posOffset>
                  </wp:positionV>
                  <wp:extent cx="1828800" cy="698500"/>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28800" cy="698500"/>
                          </a:xfrm>
                          <a:prstGeom prst="rect">
                            <a:avLst/>
                          </a:prstGeom>
                          <a:noFill/>
                          <a:ln>
                            <a:noFill/>
                          </a:ln>
                        </pic:spPr>
                      </pic:pic>
                    </a:graphicData>
                  </a:graphic>
                </wp:anchor>
              </w:drawing>
            </w:r>
            <w:r w:rsidR="005F4E4E" w:rsidRPr="005F4E4E">
              <w:rPr>
                <w:rFonts w:eastAsia="Times New Roman" w:cs="Times New Roman"/>
                <w:szCs w:val="24"/>
              </w:rPr>
              <w:t> </w:t>
            </w:r>
          </w:p>
        </w:tc>
      </w:tr>
    </w:tbl>
    <w:p w14:paraId="01310A46" w14:textId="77777777" w:rsidR="005F4E4E" w:rsidRPr="005F4E4E" w:rsidRDefault="005F4E4E" w:rsidP="005F4E4E">
      <w:pPr>
        <w:spacing w:before="0" w:after="0" w:line="240" w:lineRule="auto"/>
        <w:textAlignment w:val="baseline"/>
        <w:rPr>
          <w:rFonts w:ascii="Segoe UI" w:eastAsia="Times New Roman" w:hAnsi="Segoe UI" w:cs="Segoe UI"/>
          <w:sz w:val="18"/>
          <w:szCs w:val="18"/>
        </w:rPr>
      </w:pPr>
      <w:r w:rsidRPr="005F4E4E">
        <w:rPr>
          <w:rFonts w:eastAsia="Times New Roman" w:cs="Times New Roman"/>
          <w:szCs w:val="24"/>
        </w:rPr>
        <w:t> </w:t>
      </w:r>
    </w:p>
    <w:p w14:paraId="5163CEC9" w14:textId="77777777" w:rsidR="005F4E4E" w:rsidRPr="005F4E4E" w:rsidRDefault="005F4E4E" w:rsidP="005F4E4E">
      <w:pPr>
        <w:spacing w:before="0" w:after="0" w:line="240" w:lineRule="auto"/>
        <w:ind w:right="90"/>
        <w:jc w:val="center"/>
        <w:textAlignment w:val="baseline"/>
        <w:rPr>
          <w:rFonts w:ascii="Segoe UI" w:eastAsia="Times New Roman" w:hAnsi="Segoe UI" w:cs="Segoe UI"/>
          <w:color w:val="9BBB59"/>
          <w:sz w:val="18"/>
          <w:szCs w:val="18"/>
        </w:rPr>
      </w:pPr>
      <w:r w:rsidRPr="005F4E4E">
        <w:rPr>
          <w:rFonts w:ascii="Calibri" w:eastAsia="Times New Roman" w:hAnsi="Calibri" w:cs="Calibri"/>
          <w:b/>
          <w:bCs/>
          <w:color w:val="31849B"/>
          <w:sz w:val="48"/>
          <w:szCs w:val="48"/>
          <w:lang w:val="en-GB"/>
        </w:rPr>
        <w:t>Document title: </w:t>
      </w:r>
      <w:r w:rsidRPr="005F4E4E">
        <w:rPr>
          <w:rFonts w:ascii="Calibri" w:eastAsia="Times New Roman" w:hAnsi="Calibri" w:cs="Calibri"/>
          <w:color w:val="31849B"/>
          <w:sz w:val="48"/>
          <w:szCs w:val="48"/>
        </w:rPr>
        <w:t> </w:t>
      </w:r>
    </w:p>
    <w:p w14:paraId="21E1B883" w14:textId="6D0A75A5" w:rsidR="005F4E4E" w:rsidRDefault="005A08C2" w:rsidP="005F4E4E">
      <w:pPr>
        <w:spacing w:before="0" w:after="0" w:line="240" w:lineRule="auto"/>
        <w:ind w:right="90"/>
        <w:jc w:val="center"/>
        <w:textAlignment w:val="baseline"/>
        <w:rPr>
          <w:rFonts w:ascii="Calibri" w:eastAsia="Times New Roman" w:hAnsi="Calibri" w:cs="Calibri"/>
          <w:color w:val="31849B"/>
          <w:sz w:val="48"/>
          <w:szCs w:val="48"/>
        </w:rPr>
      </w:pPr>
      <w:r>
        <w:rPr>
          <w:rFonts w:ascii="Calibri" w:eastAsia="Times New Roman" w:hAnsi="Calibri" w:cs="Calibri"/>
          <w:b/>
          <w:bCs/>
          <w:color w:val="31849B"/>
          <w:sz w:val="48"/>
          <w:szCs w:val="48"/>
          <w:lang w:val="en-GB"/>
        </w:rPr>
        <w:t>Statistical Analysis Plan Template</w:t>
      </w:r>
    </w:p>
    <w:p w14:paraId="6F64A239" w14:textId="77777777" w:rsidR="005A08C2" w:rsidRPr="005F4E4E" w:rsidRDefault="005A08C2" w:rsidP="005F4E4E">
      <w:pPr>
        <w:spacing w:before="0" w:after="0" w:line="240" w:lineRule="auto"/>
        <w:ind w:right="90"/>
        <w:jc w:val="center"/>
        <w:textAlignment w:val="baseline"/>
        <w:rPr>
          <w:rFonts w:ascii="Segoe UI" w:eastAsia="Times New Roman" w:hAnsi="Segoe UI" w:cs="Segoe UI"/>
          <w:color w:val="9BBB59"/>
          <w:sz w:val="18"/>
          <w:szCs w:val="18"/>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344"/>
      </w:tblGrid>
      <w:tr w:rsidR="005F4E4E" w:rsidRPr="005F4E4E" w14:paraId="4938B9F4" w14:textId="77777777" w:rsidTr="005F4E4E">
        <w:trPr>
          <w:trHeight w:val="450"/>
        </w:trPr>
        <w:tc>
          <w:tcPr>
            <w:tcW w:w="9345" w:type="dxa"/>
            <w:tcBorders>
              <w:top w:val="single" w:sz="6" w:space="0" w:color="auto"/>
              <w:left w:val="single" w:sz="6" w:space="0" w:color="auto"/>
              <w:bottom w:val="single" w:sz="6" w:space="0" w:color="auto"/>
              <w:right w:val="single" w:sz="6" w:space="0" w:color="auto"/>
            </w:tcBorders>
            <w:shd w:val="clear" w:color="auto" w:fill="BFBFBF"/>
            <w:vAlign w:val="center"/>
            <w:hideMark/>
          </w:tcPr>
          <w:p w14:paraId="6B702B44" w14:textId="77777777" w:rsidR="005F4E4E" w:rsidRPr="005F4E4E" w:rsidRDefault="005F4E4E" w:rsidP="005F4E4E">
            <w:pPr>
              <w:spacing w:before="0" w:after="0" w:line="240" w:lineRule="auto"/>
              <w:ind w:left="2910" w:right="2910"/>
              <w:jc w:val="center"/>
              <w:textAlignment w:val="baseline"/>
              <w:divId w:val="1701514787"/>
              <w:rPr>
                <w:rFonts w:eastAsia="Times New Roman" w:cs="Times New Roman"/>
                <w:color w:val="9BBB59"/>
                <w:szCs w:val="24"/>
              </w:rPr>
            </w:pPr>
            <w:r w:rsidRPr="005F4E4E">
              <w:rPr>
                <w:rFonts w:ascii="Arial" w:eastAsia="Times New Roman" w:hAnsi="Arial" w:cs="Arial"/>
                <w:b/>
                <w:bCs/>
                <w:color w:val="FFFFFF"/>
                <w:szCs w:val="24"/>
                <w:lang w:val="en-GB"/>
              </w:rPr>
              <w:t>Document history and plan</w:t>
            </w:r>
            <w:r w:rsidRPr="005F4E4E">
              <w:rPr>
                <w:rFonts w:ascii="Arial" w:eastAsia="Times New Roman" w:hAnsi="Arial" w:cs="Arial"/>
                <w:color w:val="FFFFFF"/>
                <w:szCs w:val="24"/>
              </w:rPr>
              <w:t> </w:t>
            </w:r>
          </w:p>
        </w:tc>
      </w:tr>
      <w:tr w:rsidR="005F4E4E" w:rsidRPr="005F4E4E" w14:paraId="34749FCF" w14:textId="77777777" w:rsidTr="005F4E4E">
        <w:trPr>
          <w:trHeight w:val="15"/>
        </w:trPr>
        <w:tc>
          <w:tcPr>
            <w:tcW w:w="934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0428EFF" w14:textId="2F46033D" w:rsidR="005F4E4E" w:rsidRPr="005F4E4E" w:rsidRDefault="005F4E4E" w:rsidP="005F4E4E">
            <w:pPr>
              <w:spacing w:before="0" w:after="0" w:line="240" w:lineRule="auto"/>
              <w:ind w:right="-45"/>
              <w:textAlignment w:val="baseline"/>
              <w:rPr>
                <w:rFonts w:eastAsia="Times New Roman" w:cs="Times New Roman"/>
                <w:color w:val="9BBB59"/>
                <w:szCs w:val="24"/>
              </w:rPr>
            </w:pPr>
            <w:r w:rsidRPr="005F4E4E">
              <w:rPr>
                <w:rFonts w:ascii="Calibri" w:eastAsia="Times New Roman" w:hAnsi="Calibri" w:cs="Calibri"/>
                <w:sz w:val="22"/>
                <w:lang w:val="en-GB"/>
              </w:rPr>
              <w:t xml:space="preserve">This updated </w:t>
            </w:r>
            <w:r>
              <w:rPr>
                <w:rFonts w:ascii="Calibri" w:eastAsia="Times New Roman" w:hAnsi="Calibri" w:cs="Calibri"/>
                <w:sz w:val="22"/>
                <w:lang w:val="en-GB"/>
              </w:rPr>
              <w:t xml:space="preserve">SAP </w:t>
            </w:r>
            <w:r w:rsidRPr="005F4E4E">
              <w:rPr>
                <w:rFonts w:ascii="Calibri" w:eastAsia="Times New Roman" w:hAnsi="Calibri" w:cs="Calibri"/>
                <w:sz w:val="22"/>
                <w:lang w:val="en-GB"/>
              </w:rPr>
              <w:t>document</w:t>
            </w:r>
            <w:r w:rsidR="005A08C2">
              <w:rPr>
                <w:rFonts w:ascii="Calibri" w:eastAsia="Times New Roman" w:hAnsi="Calibri" w:cs="Calibri"/>
                <w:sz w:val="22"/>
                <w:lang w:val="en-GB"/>
              </w:rPr>
              <w:t xml:space="preserve"> (V3 25April2023)</w:t>
            </w:r>
            <w:r w:rsidRPr="005A08C2">
              <w:rPr>
                <w:rFonts w:ascii="Calibri" w:eastAsia="Times New Roman" w:hAnsi="Calibri" w:cs="Calibri"/>
                <w:sz w:val="22"/>
                <w:lang w:val="en-GB"/>
              </w:rPr>
              <w:t xml:space="preserve"> is</w:t>
            </w:r>
            <w:r w:rsidRPr="005F4E4E">
              <w:rPr>
                <w:rFonts w:ascii="Calibri" w:eastAsia="Times New Roman" w:hAnsi="Calibri" w:cs="Calibri"/>
                <w:sz w:val="22"/>
                <w:lang w:val="en-GB"/>
              </w:rPr>
              <w:t xml:space="preserve"> based on the </w:t>
            </w:r>
            <w:r w:rsidRPr="005F4E4E">
              <w:rPr>
                <w:rFonts w:ascii="Calibri" w:eastAsia="Times New Roman" w:hAnsi="Calibri" w:cs="Calibri"/>
                <w:b/>
                <w:bCs/>
                <w:sz w:val="22"/>
                <w:lang w:val="en-GB"/>
              </w:rPr>
              <w:t>EU-PEARL</w:t>
            </w:r>
            <w:r w:rsidRPr="005F4E4E">
              <w:rPr>
                <w:rFonts w:ascii="Calibri" w:eastAsia="Times New Roman" w:hAnsi="Calibri" w:cs="Calibri"/>
                <w:sz w:val="22"/>
                <w:lang w:val="en-GB"/>
              </w:rPr>
              <w:t xml:space="preserve"> </w:t>
            </w:r>
            <w:r w:rsidRPr="005F4E4E">
              <w:rPr>
                <w:rFonts w:ascii="Calibri" w:eastAsia="Times New Roman" w:hAnsi="Calibri" w:cs="Calibri"/>
                <w:b/>
                <w:bCs/>
                <w:sz w:val="22"/>
                <w:lang w:val="en-GB"/>
              </w:rPr>
              <w:t>D2.3</w:t>
            </w:r>
            <w:r w:rsidRPr="005F4E4E">
              <w:rPr>
                <w:rFonts w:ascii="Calibri" w:eastAsia="Times New Roman" w:hAnsi="Calibri" w:cs="Calibri"/>
                <w:sz w:val="22"/>
                <w:lang w:val="en-GB"/>
              </w:rPr>
              <w:t xml:space="preserve"> ‘Provisional Generic </w:t>
            </w:r>
            <w:r w:rsidR="005E0D6A" w:rsidRPr="00053730">
              <w:rPr>
                <w:rFonts w:ascii="Calibri" w:eastAsia="Times New Roman" w:hAnsi="Calibri" w:cs="Calibri"/>
                <w:sz w:val="22"/>
                <w:lang w:val="en-GB"/>
              </w:rPr>
              <w:t>Master Protocol</w:t>
            </w:r>
            <w:r w:rsidRPr="005F4E4E">
              <w:rPr>
                <w:rFonts w:ascii="Calibri" w:eastAsia="Times New Roman" w:hAnsi="Calibri" w:cs="Calibri"/>
                <w:sz w:val="22"/>
                <w:lang w:val="en-GB"/>
              </w:rPr>
              <w:t xml:space="preserve"> Template and Appendix for IRPs’ (V2 30 April 2021). </w:t>
            </w:r>
            <w:r w:rsidRPr="005F4E4E">
              <w:rPr>
                <w:rFonts w:ascii="Calibri" w:eastAsia="Times New Roman" w:hAnsi="Calibri" w:cs="Calibri"/>
                <w:sz w:val="22"/>
              </w:rPr>
              <w:t> </w:t>
            </w:r>
          </w:p>
        </w:tc>
      </w:tr>
      <w:tr w:rsidR="005F4E4E" w:rsidRPr="005F4E4E" w14:paraId="64DE8464" w14:textId="77777777" w:rsidTr="005F4E4E">
        <w:trPr>
          <w:trHeight w:val="15"/>
        </w:trPr>
        <w:tc>
          <w:tcPr>
            <w:tcW w:w="9345" w:type="dxa"/>
            <w:tcBorders>
              <w:top w:val="single" w:sz="6" w:space="0" w:color="auto"/>
              <w:left w:val="single" w:sz="6" w:space="0" w:color="auto"/>
              <w:bottom w:val="single" w:sz="6" w:space="0" w:color="auto"/>
              <w:right w:val="single" w:sz="6" w:space="0" w:color="auto"/>
            </w:tcBorders>
            <w:shd w:val="clear" w:color="auto" w:fill="auto"/>
            <w:hideMark/>
          </w:tcPr>
          <w:p w14:paraId="79239380" w14:textId="5B4993C3" w:rsidR="005F4E4E" w:rsidRPr="005F4E4E" w:rsidRDefault="005F4E4E" w:rsidP="005F4E4E">
            <w:pPr>
              <w:spacing w:before="0" w:after="0" w:line="240" w:lineRule="auto"/>
              <w:ind w:right="-45"/>
              <w:textAlignment w:val="baseline"/>
              <w:rPr>
                <w:rFonts w:eastAsia="Times New Roman" w:cs="Times New Roman"/>
                <w:color w:val="9BBB59"/>
                <w:szCs w:val="24"/>
              </w:rPr>
            </w:pPr>
            <w:r>
              <w:rPr>
                <w:rFonts w:ascii="Calibri" w:eastAsia="Times New Roman" w:hAnsi="Calibri" w:cs="Calibri"/>
                <w:sz w:val="22"/>
                <w:lang w:val="en-GB"/>
              </w:rPr>
              <w:t xml:space="preserve">The SAP of </w:t>
            </w:r>
            <w:r w:rsidRPr="005F4E4E">
              <w:rPr>
                <w:rFonts w:ascii="Calibri" w:eastAsia="Times New Roman" w:hAnsi="Calibri" w:cs="Calibri"/>
                <w:sz w:val="22"/>
                <w:lang w:val="en-GB"/>
              </w:rPr>
              <w:t xml:space="preserve">D2.3 was based on TransCelerate </w:t>
            </w:r>
            <w:r>
              <w:rPr>
                <w:rFonts w:ascii="Calibri" w:eastAsia="Times New Roman" w:hAnsi="Calibri" w:cs="Calibri"/>
                <w:sz w:val="22"/>
                <w:lang w:val="en-GB"/>
              </w:rPr>
              <w:t xml:space="preserve">Statistical Analysis Plan SAP V3.0, </w:t>
            </w:r>
            <w:r w:rsidRPr="005F4E4E">
              <w:rPr>
                <w:rFonts w:ascii="Calibri" w:eastAsia="Times New Roman" w:hAnsi="Calibri" w:cs="Calibri"/>
                <w:sz w:val="22"/>
                <w:lang w:val="en-GB"/>
              </w:rPr>
              <w:t>copyright TransCelerate Biopharma Inc. 201</w:t>
            </w:r>
            <w:r>
              <w:rPr>
                <w:rFonts w:ascii="Calibri" w:eastAsia="Times New Roman" w:hAnsi="Calibri" w:cs="Calibri"/>
                <w:sz w:val="22"/>
                <w:lang w:val="en-GB"/>
              </w:rPr>
              <w:t>8</w:t>
            </w:r>
            <w:r w:rsidRPr="005F4E4E">
              <w:rPr>
                <w:rFonts w:ascii="Calibri" w:eastAsia="Times New Roman" w:hAnsi="Calibri" w:cs="Calibri"/>
                <w:sz w:val="22"/>
                <w:lang w:val="en-GB"/>
              </w:rPr>
              <w:t xml:space="preserve"> – 202</w:t>
            </w:r>
            <w:r w:rsidR="005A08C2">
              <w:rPr>
                <w:rFonts w:ascii="Calibri" w:eastAsia="Times New Roman" w:hAnsi="Calibri" w:cs="Calibri"/>
                <w:sz w:val="22"/>
                <w:lang w:val="en-GB"/>
              </w:rPr>
              <w:t>0</w:t>
            </w:r>
            <w:r w:rsidRPr="005F4E4E">
              <w:rPr>
                <w:rFonts w:ascii="Calibri" w:eastAsia="Times New Roman" w:hAnsi="Calibri" w:cs="Calibri"/>
                <w:sz w:val="22"/>
                <w:lang w:val="en-GB"/>
              </w:rPr>
              <w:t>.      </w:t>
            </w:r>
            <w:r w:rsidRPr="005F4E4E">
              <w:rPr>
                <w:rFonts w:ascii="Calibri" w:eastAsia="Times New Roman" w:hAnsi="Calibri" w:cs="Calibri"/>
                <w:sz w:val="22"/>
              </w:rPr>
              <w:t> </w:t>
            </w:r>
          </w:p>
        </w:tc>
      </w:tr>
      <w:tr w:rsidR="005F4E4E" w:rsidRPr="005F4E4E" w14:paraId="10E06E76" w14:textId="77777777" w:rsidTr="005F4E4E">
        <w:trPr>
          <w:trHeight w:val="15"/>
        </w:trPr>
        <w:tc>
          <w:tcPr>
            <w:tcW w:w="9345" w:type="dxa"/>
            <w:tcBorders>
              <w:top w:val="single" w:sz="6" w:space="0" w:color="auto"/>
              <w:left w:val="single" w:sz="6" w:space="0" w:color="auto"/>
              <w:bottom w:val="single" w:sz="6" w:space="0" w:color="auto"/>
              <w:right w:val="single" w:sz="6" w:space="0" w:color="auto"/>
            </w:tcBorders>
            <w:shd w:val="clear" w:color="auto" w:fill="auto"/>
            <w:hideMark/>
          </w:tcPr>
          <w:p w14:paraId="4789E9F0" w14:textId="7528B61F" w:rsidR="005F4E4E" w:rsidRPr="005F4E4E" w:rsidRDefault="005F4E4E" w:rsidP="005F4E4E">
            <w:pPr>
              <w:spacing w:before="0" w:after="0" w:line="240" w:lineRule="auto"/>
              <w:ind w:right="-45"/>
              <w:textAlignment w:val="baseline"/>
              <w:rPr>
                <w:rFonts w:eastAsia="Times New Roman" w:cs="Times New Roman"/>
                <w:color w:val="9BBB59"/>
                <w:szCs w:val="24"/>
              </w:rPr>
            </w:pPr>
            <w:r w:rsidRPr="005F4E4E">
              <w:rPr>
                <w:rFonts w:ascii="Calibri" w:eastAsia="Times New Roman" w:hAnsi="Calibri" w:cs="Calibri"/>
                <w:sz w:val="22"/>
                <w:lang w:val="en-GB"/>
              </w:rPr>
              <w:t xml:space="preserve">Input received from the review committee </w:t>
            </w:r>
            <w:r>
              <w:rPr>
                <w:rFonts w:ascii="Calibri" w:eastAsia="Times New Roman" w:hAnsi="Calibri" w:cs="Calibri"/>
                <w:sz w:val="22"/>
                <w:lang w:val="en-GB"/>
              </w:rPr>
              <w:t>was</w:t>
            </w:r>
            <w:r w:rsidRPr="005F4E4E">
              <w:rPr>
                <w:rFonts w:ascii="Calibri" w:eastAsia="Times New Roman" w:hAnsi="Calibri" w:cs="Calibri"/>
                <w:sz w:val="22"/>
                <w:lang w:val="en-GB"/>
              </w:rPr>
              <w:t xml:space="preserve"> assessed for incorporation in the final deliverable D2.6 which </w:t>
            </w:r>
            <w:r w:rsidR="00674307">
              <w:rPr>
                <w:rFonts w:ascii="Calibri" w:eastAsia="Times New Roman" w:hAnsi="Calibri" w:cs="Calibri"/>
                <w:sz w:val="22"/>
                <w:lang w:val="en-GB"/>
              </w:rPr>
              <w:t xml:space="preserve">is </w:t>
            </w:r>
            <w:r w:rsidRPr="005F4E4E">
              <w:rPr>
                <w:rFonts w:ascii="Calibri" w:eastAsia="Times New Roman" w:hAnsi="Calibri" w:cs="Calibri"/>
                <w:sz w:val="22"/>
                <w:lang w:val="en-GB"/>
              </w:rPr>
              <w:t>publicly available at the end of the project (April 2023).</w:t>
            </w:r>
            <w:r w:rsidRPr="005F4E4E">
              <w:rPr>
                <w:rFonts w:ascii="Calibri" w:eastAsia="Times New Roman" w:hAnsi="Calibri" w:cs="Calibri"/>
                <w:sz w:val="22"/>
              </w:rPr>
              <w:t> </w:t>
            </w:r>
          </w:p>
        </w:tc>
      </w:tr>
    </w:tbl>
    <w:p w14:paraId="0CFA6948" w14:textId="77777777" w:rsidR="005F4E4E" w:rsidRPr="005F4E4E" w:rsidRDefault="005F4E4E" w:rsidP="005F4E4E">
      <w:pPr>
        <w:spacing w:before="0" w:after="0" w:line="240" w:lineRule="auto"/>
        <w:textAlignment w:val="baseline"/>
        <w:rPr>
          <w:rFonts w:ascii="Segoe UI" w:eastAsia="Times New Roman" w:hAnsi="Segoe UI" w:cs="Segoe UI"/>
          <w:sz w:val="18"/>
          <w:szCs w:val="18"/>
        </w:rPr>
      </w:pPr>
      <w:r w:rsidRPr="005F4E4E">
        <w:rPr>
          <w:rFonts w:eastAsia="Times New Roman" w:cs="Times New Roman"/>
          <w:szCs w:val="24"/>
        </w:rPr>
        <w:t> </w:t>
      </w: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70"/>
        <w:gridCol w:w="6674"/>
      </w:tblGrid>
      <w:tr w:rsidR="005F4E4E" w:rsidRPr="005F4E4E" w14:paraId="05FC8339" w14:textId="77777777" w:rsidTr="00674307">
        <w:trPr>
          <w:trHeight w:val="1305"/>
        </w:trPr>
        <w:tc>
          <w:tcPr>
            <w:tcW w:w="2670"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hideMark/>
          </w:tcPr>
          <w:p w14:paraId="7DA59C69" w14:textId="77777777" w:rsidR="005F4E4E" w:rsidRPr="005A08C2" w:rsidRDefault="005F4E4E" w:rsidP="005F4E4E">
            <w:pPr>
              <w:spacing w:before="0" w:after="0" w:line="240" w:lineRule="auto"/>
              <w:ind w:right="-45"/>
              <w:textAlignment w:val="baseline"/>
              <w:rPr>
                <w:rFonts w:eastAsia="Times New Roman" w:cs="Times New Roman"/>
                <w:color w:val="9BBB59"/>
                <w:szCs w:val="24"/>
              </w:rPr>
            </w:pPr>
            <w:r w:rsidRPr="005A08C2">
              <w:rPr>
                <w:rFonts w:ascii="Calibri" w:eastAsia="Times New Roman" w:hAnsi="Calibri" w:cs="Calibri"/>
                <w:b/>
                <w:bCs/>
                <w:color w:val="FFFFFF" w:themeColor="background1"/>
                <w:szCs w:val="24"/>
                <w:lang w:val="en-GB"/>
              </w:rPr>
              <w:t>Authors</w:t>
            </w:r>
            <w:r w:rsidRPr="005A08C2">
              <w:rPr>
                <w:rFonts w:ascii="Calibri" w:eastAsia="Times New Roman" w:hAnsi="Calibri" w:cs="Calibri"/>
                <w:color w:val="FFFFFF" w:themeColor="background1"/>
                <w:szCs w:val="24"/>
              </w:rPr>
              <w:t> </w:t>
            </w:r>
          </w:p>
        </w:tc>
        <w:tc>
          <w:tcPr>
            <w:tcW w:w="6674"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56E5D42" w14:textId="3B84DE2E" w:rsidR="005F4E4E" w:rsidRPr="005F4E4E" w:rsidRDefault="005F4E4E" w:rsidP="005F4E4E">
            <w:pPr>
              <w:spacing w:before="0" w:after="0" w:line="240" w:lineRule="auto"/>
              <w:ind w:right="-45"/>
              <w:textAlignment w:val="baseline"/>
              <w:rPr>
                <w:rFonts w:asciiTheme="minorHAnsi" w:eastAsia="Times New Roman" w:hAnsiTheme="minorHAnsi" w:cstheme="minorHAnsi"/>
                <w:color w:val="9BBB59"/>
                <w:szCs w:val="24"/>
              </w:rPr>
            </w:pPr>
            <w:r w:rsidRPr="0381BADC">
              <w:rPr>
                <w:rFonts w:asciiTheme="minorHAnsi" w:eastAsia="Times New Roman" w:hAnsiTheme="minorHAnsi" w:cstheme="minorBidi"/>
              </w:rPr>
              <w:t>Peter Mesenbrink</w:t>
            </w:r>
            <w:r w:rsidR="00664A5B" w:rsidRPr="0381BADC">
              <w:rPr>
                <w:rFonts w:asciiTheme="minorHAnsi" w:eastAsia="Times New Roman" w:hAnsiTheme="minorHAnsi" w:cstheme="minorBidi"/>
              </w:rPr>
              <w:t xml:space="preserve"> (Novartis)</w:t>
            </w:r>
            <w:r w:rsidRPr="0381BADC">
              <w:rPr>
                <w:rFonts w:asciiTheme="minorHAnsi" w:eastAsia="Times New Roman" w:hAnsiTheme="minorHAnsi" w:cstheme="minorBidi"/>
              </w:rPr>
              <w:t>, Franz Koenig</w:t>
            </w:r>
            <w:r w:rsidR="00664A5B" w:rsidRPr="0381BADC">
              <w:rPr>
                <w:rFonts w:asciiTheme="minorHAnsi" w:eastAsia="Times New Roman" w:hAnsiTheme="minorHAnsi" w:cstheme="minorBidi"/>
              </w:rPr>
              <w:t xml:space="preserve"> (MUW)</w:t>
            </w:r>
            <w:r w:rsidRPr="0381BADC">
              <w:rPr>
                <w:rFonts w:asciiTheme="minorHAnsi" w:eastAsia="Times New Roman" w:hAnsiTheme="minorHAnsi" w:cstheme="minorBidi"/>
              </w:rPr>
              <w:t>, Tobias Mielke</w:t>
            </w:r>
            <w:r w:rsidR="00664A5B" w:rsidRPr="0381BADC">
              <w:rPr>
                <w:rFonts w:asciiTheme="minorHAnsi" w:eastAsia="Times New Roman" w:hAnsiTheme="minorHAnsi" w:cstheme="minorBidi"/>
              </w:rPr>
              <w:t xml:space="preserve"> (Janssen)</w:t>
            </w:r>
            <w:r w:rsidRPr="0381BADC">
              <w:rPr>
                <w:rFonts w:asciiTheme="minorHAnsi" w:eastAsia="Times New Roman" w:hAnsiTheme="minorHAnsi" w:cstheme="minorBidi"/>
              </w:rPr>
              <w:t>, Dan Evans</w:t>
            </w:r>
            <w:r w:rsidR="00664A5B" w:rsidRPr="0381BADC">
              <w:rPr>
                <w:rFonts w:asciiTheme="minorHAnsi" w:eastAsia="Times New Roman" w:hAnsiTheme="minorHAnsi" w:cstheme="minorBidi"/>
              </w:rPr>
              <w:t xml:space="preserve"> (Pfizer)</w:t>
            </w:r>
            <w:r w:rsidRPr="0381BADC">
              <w:rPr>
                <w:rFonts w:asciiTheme="minorHAnsi" w:eastAsia="Times New Roman" w:hAnsiTheme="minorHAnsi" w:cstheme="minorBidi"/>
              </w:rPr>
              <w:t>, Ekkehard Glimm</w:t>
            </w:r>
            <w:r w:rsidR="00664A5B" w:rsidRPr="0381BADC">
              <w:rPr>
                <w:rFonts w:asciiTheme="minorHAnsi" w:eastAsia="Times New Roman" w:hAnsiTheme="minorHAnsi" w:cstheme="minorBidi"/>
              </w:rPr>
              <w:t xml:space="preserve"> (Novartis)</w:t>
            </w:r>
            <w:r w:rsidRPr="0381BADC">
              <w:rPr>
                <w:rFonts w:asciiTheme="minorHAnsi" w:eastAsia="Times New Roman" w:hAnsiTheme="minorHAnsi" w:cstheme="minorBidi"/>
              </w:rPr>
              <w:t>, Paola Rancoita</w:t>
            </w:r>
            <w:r w:rsidR="00664A5B" w:rsidRPr="0381BADC">
              <w:rPr>
                <w:rFonts w:asciiTheme="minorHAnsi" w:eastAsia="Times New Roman" w:hAnsiTheme="minorHAnsi" w:cstheme="minorBidi"/>
              </w:rPr>
              <w:t xml:space="preserve"> (USR)</w:t>
            </w:r>
            <w:r w:rsidRPr="0381BADC">
              <w:rPr>
                <w:rFonts w:asciiTheme="minorHAnsi" w:eastAsia="Times New Roman" w:hAnsiTheme="minorHAnsi" w:cstheme="minorBidi"/>
              </w:rPr>
              <w:t>, Yingwen Dong</w:t>
            </w:r>
            <w:r w:rsidR="00664A5B" w:rsidRPr="0381BADC">
              <w:rPr>
                <w:rFonts w:asciiTheme="minorHAnsi" w:eastAsia="Times New Roman" w:hAnsiTheme="minorHAnsi" w:cstheme="minorBidi"/>
              </w:rPr>
              <w:t xml:space="preserve"> (Sanofi)</w:t>
            </w:r>
          </w:p>
        </w:tc>
      </w:tr>
      <w:tr w:rsidR="00674307" w:rsidRPr="005F4E4E" w14:paraId="72345179" w14:textId="77777777" w:rsidTr="00674307">
        <w:trPr>
          <w:trHeight w:val="486"/>
        </w:trPr>
        <w:tc>
          <w:tcPr>
            <w:tcW w:w="2670"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14:paraId="144276E4" w14:textId="190D1E78" w:rsidR="00674307" w:rsidRPr="005A08C2" w:rsidRDefault="00674307" w:rsidP="005F4E4E">
            <w:pPr>
              <w:spacing w:before="0" w:after="0" w:line="240" w:lineRule="auto"/>
              <w:ind w:right="-45"/>
              <w:textAlignment w:val="baseline"/>
              <w:rPr>
                <w:rFonts w:ascii="Calibri" w:eastAsia="Times New Roman" w:hAnsi="Calibri" w:cs="Calibri"/>
                <w:b/>
                <w:bCs/>
                <w:color w:val="FFFFFF" w:themeColor="background1"/>
                <w:szCs w:val="24"/>
                <w:lang w:val="en-GB"/>
              </w:rPr>
            </w:pPr>
            <w:r>
              <w:rPr>
                <w:rFonts w:ascii="Calibri" w:eastAsia="Times New Roman" w:hAnsi="Calibri" w:cs="Calibri"/>
                <w:b/>
                <w:bCs/>
                <w:color w:val="FFFFFF" w:themeColor="background1"/>
                <w:szCs w:val="24"/>
                <w:lang w:val="en-GB"/>
              </w:rPr>
              <w:t>Contact person EU-PEARL</w:t>
            </w:r>
          </w:p>
        </w:tc>
        <w:tc>
          <w:tcPr>
            <w:tcW w:w="6674" w:type="dxa"/>
            <w:tcBorders>
              <w:top w:val="single" w:sz="6" w:space="0" w:color="auto"/>
              <w:left w:val="single" w:sz="6" w:space="0" w:color="auto"/>
              <w:bottom w:val="single" w:sz="6" w:space="0" w:color="auto"/>
              <w:right w:val="single" w:sz="6" w:space="0" w:color="auto"/>
            </w:tcBorders>
            <w:shd w:val="clear" w:color="auto" w:fill="auto"/>
            <w:vAlign w:val="center"/>
          </w:tcPr>
          <w:p w14:paraId="54D7B47F" w14:textId="4BA6EF67" w:rsidR="00674307" w:rsidRPr="0381BADC" w:rsidRDefault="00063F0C" w:rsidP="005F4E4E">
            <w:pPr>
              <w:spacing w:before="0" w:after="0" w:line="240" w:lineRule="auto"/>
              <w:ind w:right="-45"/>
              <w:textAlignment w:val="baseline"/>
              <w:rPr>
                <w:rFonts w:asciiTheme="minorHAnsi" w:eastAsia="Times New Roman" w:hAnsiTheme="minorHAnsi" w:cstheme="minorBidi"/>
              </w:rPr>
            </w:pPr>
            <w:r>
              <w:rPr>
                <w:rFonts w:asciiTheme="minorHAnsi" w:eastAsia="Times New Roman" w:hAnsiTheme="minorHAnsi" w:cstheme="minorBidi"/>
              </w:rPr>
              <w:t xml:space="preserve">ECRIN; </w:t>
            </w:r>
            <w:r w:rsidR="00674307">
              <w:rPr>
                <w:rFonts w:asciiTheme="minorHAnsi" w:eastAsia="Times New Roman" w:hAnsiTheme="minorHAnsi" w:cstheme="minorBidi"/>
              </w:rPr>
              <w:t>Peter Mesenb</w:t>
            </w:r>
            <w:r w:rsidR="00046F19">
              <w:rPr>
                <w:rFonts w:asciiTheme="minorHAnsi" w:eastAsia="Times New Roman" w:hAnsiTheme="minorHAnsi" w:cstheme="minorBidi"/>
              </w:rPr>
              <w:t>r</w:t>
            </w:r>
            <w:r w:rsidR="00674307">
              <w:rPr>
                <w:rFonts w:asciiTheme="minorHAnsi" w:eastAsia="Times New Roman" w:hAnsiTheme="minorHAnsi" w:cstheme="minorBidi"/>
              </w:rPr>
              <w:t>ink (Novartis)</w:t>
            </w:r>
          </w:p>
        </w:tc>
      </w:tr>
      <w:tr w:rsidR="00674307" w:rsidRPr="005F4E4E" w14:paraId="59D56546" w14:textId="77777777" w:rsidTr="00674307">
        <w:trPr>
          <w:trHeight w:val="486"/>
        </w:trPr>
        <w:tc>
          <w:tcPr>
            <w:tcW w:w="2670"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14:paraId="67A28782" w14:textId="19880E55" w:rsidR="00674307" w:rsidRDefault="00674307" w:rsidP="005F4E4E">
            <w:pPr>
              <w:spacing w:before="0" w:after="0" w:line="240" w:lineRule="auto"/>
              <w:ind w:right="-45"/>
              <w:textAlignment w:val="baseline"/>
              <w:rPr>
                <w:rFonts w:ascii="Calibri" w:eastAsia="Times New Roman" w:hAnsi="Calibri" w:cs="Calibri"/>
                <w:b/>
                <w:bCs/>
                <w:color w:val="FFFFFF" w:themeColor="background1"/>
                <w:szCs w:val="24"/>
                <w:lang w:val="en-GB"/>
              </w:rPr>
            </w:pPr>
            <w:r>
              <w:rPr>
                <w:rFonts w:ascii="Calibri" w:eastAsia="Times New Roman" w:hAnsi="Calibri" w:cs="Calibri"/>
                <w:b/>
                <w:bCs/>
                <w:color w:val="FFFFFF" w:themeColor="background1"/>
                <w:szCs w:val="24"/>
                <w:lang w:val="en-GB"/>
              </w:rPr>
              <w:t>Document version</w:t>
            </w:r>
          </w:p>
        </w:tc>
        <w:tc>
          <w:tcPr>
            <w:tcW w:w="6674" w:type="dxa"/>
            <w:tcBorders>
              <w:top w:val="single" w:sz="6" w:space="0" w:color="auto"/>
              <w:left w:val="single" w:sz="6" w:space="0" w:color="auto"/>
              <w:bottom w:val="single" w:sz="6" w:space="0" w:color="auto"/>
              <w:right w:val="single" w:sz="6" w:space="0" w:color="auto"/>
            </w:tcBorders>
            <w:shd w:val="clear" w:color="auto" w:fill="auto"/>
            <w:vAlign w:val="center"/>
          </w:tcPr>
          <w:p w14:paraId="61356E4D" w14:textId="6E656D74" w:rsidR="00674307" w:rsidRDefault="00674307" w:rsidP="005F4E4E">
            <w:pPr>
              <w:spacing w:before="0" w:after="0" w:line="240" w:lineRule="auto"/>
              <w:ind w:right="-45"/>
              <w:textAlignment w:val="baseline"/>
              <w:rPr>
                <w:rFonts w:asciiTheme="minorHAnsi" w:eastAsia="Times New Roman" w:hAnsiTheme="minorHAnsi" w:cstheme="minorBidi"/>
              </w:rPr>
            </w:pPr>
            <w:r>
              <w:rPr>
                <w:rFonts w:asciiTheme="minorHAnsi" w:eastAsia="Times New Roman" w:hAnsiTheme="minorHAnsi" w:cstheme="minorBidi"/>
              </w:rPr>
              <w:t>Version 3</w:t>
            </w:r>
          </w:p>
        </w:tc>
      </w:tr>
      <w:tr w:rsidR="00674307" w:rsidRPr="005F4E4E" w14:paraId="5267DAF6" w14:textId="77777777" w:rsidTr="00674307">
        <w:trPr>
          <w:trHeight w:val="486"/>
        </w:trPr>
        <w:tc>
          <w:tcPr>
            <w:tcW w:w="2670" w:type="dxa"/>
            <w:tcBorders>
              <w:top w:val="single" w:sz="6" w:space="0" w:color="auto"/>
              <w:left w:val="single" w:sz="6" w:space="0" w:color="auto"/>
              <w:bottom w:val="single" w:sz="6" w:space="0" w:color="auto"/>
              <w:right w:val="single" w:sz="6" w:space="0" w:color="auto"/>
            </w:tcBorders>
            <w:shd w:val="clear" w:color="auto" w:fill="BFBFBF" w:themeFill="background1" w:themeFillShade="BF"/>
            <w:vAlign w:val="center"/>
          </w:tcPr>
          <w:p w14:paraId="633AB9D0" w14:textId="6D85D77F" w:rsidR="00674307" w:rsidRDefault="00674307" w:rsidP="005F4E4E">
            <w:pPr>
              <w:spacing w:before="0" w:after="0" w:line="240" w:lineRule="auto"/>
              <w:ind w:right="-45"/>
              <w:textAlignment w:val="baseline"/>
              <w:rPr>
                <w:rFonts w:ascii="Calibri" w:eastAsia="Times New Roman" w:hAnsi="Calibri" w:cs="Calibri"/>
                <w:b/>
                <w:bCs/>
                <w:color w:val="FFFFFF" w:themeColor="background1"/>
                <w:szCs w:val="24"/>
                <w:lang w:val="en-GB"/>
              </w:rPr>
            </w:pPr>
            <w:r>
              <w:rPr>
                <w:rFonts w:ascii="Calibri" w:eastAsia="Times New Roman" w:hAnsi="Calibri" w:cs="Calibri"/>
                <w:b/>
                <w:bCs/>
                <w:color w:val="FFFFFF" w:themeColor="background1"/>
                <w:szCs w:val="24"/>
                <w:lang w:val="en-GB"/>
              </w:rPr>
              <w:t>Date</w:t>
            </w:r>
          </w:p>
        </w:tc>
        <w:tc>
          <w:tcPr>
            <w:tcW w:w="6674" w:type="dxa"/>
            <w:tcBorders>
              <w:top w:val="single" w:sz="6" w:space="0" w:color="auto"/>
              <w:left w:val="single" w:sz="6" w:space="0" w:color="auto"/>
              <w:bottom w:val="single" w:sz="6" w:space="0" w:color="auto"/>
              <w:right w:val="single" w:sz="6" w:space="0" w:color="auto"/>
            </w:tcBorders>
            <w:shd w:val="clear" w:color="auto" w:fill="auto"/>
            <w:vAlign w:val="center"/>
          </w:tcPr>
          <w:p w14:paraId="5EF75AEB" w14:textId="38D2AA5B" w:rsidR="00674307" w:rsidRDefault="00674307" w:rsidP="005F4E4E">
            <w:pPr>
              <w:spacing w:before="0" w:after="0" w:line="240" w:lineRule="auto"/>
              <w:ind w:right="-45"/>
              <w:textAlignment w:val="baseline"/>
              <w:rPr>
                <w:rFonts w:asciiTheme="minorHAnsi" w:eastAsia="Times New Roman" w:hAnsiTheme="minorHAnsi" w:cstheme="minorBidi"/>
              </w:rPr>
            </w:pPr>
            <w:r>
              <w:rPr>
                <w:rFonts w:asciiTheme="minorHAnsi" w:eastAsia="Times New Roman" w:hAnsiTheme="minorHAnsi" w:cstheme="minorBidi"/>
              </w:rPr>
              <w:t>25April2023</w:t>
            </w:r>
          </w:p>
        </w:tc>
      </w:tr>
    </w:tbl>
    <w:p w14:paraId="571C2797" w14:textId="77777777" w:rsidR="005F4E4E" w:rsidRPr="005F4E4E" w:rsidRDefault="005F4E4E" w:rsidP="005F4E4E">
      <w:pPr>
        <w:spacing w:before="0" w:after="0" w:line="240" w:lineRule="auto"/>
        <w:textAlignment w:val="baseline"/>
        <w:rPr>
          <w:rFonts w:ascii="Segoe UI" w:eastAsia="Times New Roman" w:hAnsi="Segoe UI" w:cs="Segoe UI"/>
          <w:sz w:val="18"/>
          <w:szCs w:val="18"/>
        </w:rPr>
      </w:pPr>
      <w:r w:rsidRPr="005F4E4E">
        <w:rPr>
          <w:rFonts w:eastAsia="Times New Roman" w:cs="Times New Roman"/>
          <w:szCs w:val="24"/>
        </w:rPr>
        <w:t> </w:t>
      </w:r>
    </w:p>
    <w:p w14:paraId="6E279F2C" w14:textId="77777777" w:rsidR="005F4E4E" w:rsidRPr="005F4E4E" w:rsidRDefault="005F4E4E" w:rsidP="005F4E4E">
      <w:pPr>
        <w:spacing w:before="0" w:after="0" w:line="240" w:lineRule="auto"/>
        <w:textAlignment w:val="baseline"/>
        <w:rPr>
          <w:rFonts w:ascii="Segoe UI" w:eastAsia="Times New Roman" w:hAnsi="Segoe UI" w:cs="Segoe UI"/>
          <w:sz w:val="18"/>
          <w:szCs w:val="18"/>
        </w:rPr>
      </w:pPr>
      <w:r w:rsidRPr="005F4E4E">
        <w:rPr>
          <w:rFonts w:eastAsia="Times New Roman" w:cs="Times New Roman"/>
          <w:szCs w:val="24"/>
        </w:rPr>
        <w:t> </w:t>
      </w:r>
    </w:p>
    <w:p w14:paraId="01125A97" w14:textId="0F42257B" w:rsidR="005F4E4E" w:rsidRPr="005F4E4E" w:rsidRDefault="005F4E4E" w:rsidP="005F4E4E">
      <w:pPr>
        <w:spacing w:before="0" w:after="0" w:line="240" w:lineRule="auto"/>
        <w:jc w:val="both"/>
        <w:textAlignment w:val="baseline"/>
        <w:rPr>
          <w:rFonts w:ascii="Segoe UI" w:eastAsia="Times New Roman" w:hAnsi="Segoe UI" w:cs="Segoe UI"/>
          <w:sz w:val="18"/>
          <w:szCs w:val="18"/>
        </w:rPr>
      </w:pPr>
      <w:r w:rsidRPr="005F4E4E">
        <w:rPr>
          <w:rFonts w:ascii="Calibri" w:eastAsia="Times New Roman" w:hAnsi="Calibri" w:cs="Calibri"/>
          <w:color w:val="808080"/>
          <w:sz w:val="22"/>
          <w:lang w:val="en-GB"/>
        </w:rPr>
        <w:t>The EU-PEARL project has received funding from the Innovative Medicines Initiative 2 Joint Undertaking (JU) under grant agreement No 853966. The JU receives support from the European Union’s Horizon 2020 research and innovation programme and EFPIA and CHILDREN'S TUMOR FOUNDATION, GLOBAL ALLIANCE FOR TB DRUG DEVELOPMENT NON</w:t>
      </w:r>
      <w:r w:rsidRPr="005F4E4E">
        <w:rPr>
          <w:rFonts w:ascii="Calibri" w:eastAsia="Times New Roman" w:hAnsi="Calibri" w:cs="Calibri"/>
          <w:color w:val="881798"/>
          <w:sz w:val="22"/>
          <w:u w:val="single"/>
          <w:lang w:val="en-GB"/>
        </w:rPr>
        <w:t>-</w:t>
      </w:r>
      <w:r w:rsidRPr="005F4E4E">
        <w:rPr>
          <w:rFonts w:ascii="Calibri" w:eastAsia="Times New Roman" w:hAnsi="Calibri" w:cs="Calibri"/>
          <w:strike/>
          <w:color w:val="881798"/>
          <w:sz w:val="22"/>
          <w:lang w:val="en-GB"/>
        </w:rPr>
        <w:t xml:space="preserve"> </w:t>
      </w:r>
      <w:r w:rsidRPr="005F4E4E">
        <w:rPr>
          <w:rFonts w:ascii="Calibri" w:eastAsia="Times New Roman" w:hAnsi="Calibri" w:cs="Calibri"/>
          <w:color w:val="808080"/>
          <w:sz w:val="22"/>
          <w:lang w:val="en-GB"/>
        </w:rPr>
        <w:t>PROFIT ORGAN</w:t>
      </w:r>
      <w:r w:rsidR="00674307">
        <w:rPr>
          <w:rFonts w:ascii="Calibri" w:eastAsia="Times New Roman" w:hAnsi="Calibri" w:cs="Calibri"/>
          <w:color w:val="808080"/>
          <w:sz w:val="22"/>
          <w:lang w:val="en-GB"/>
        </w:rPr>
        <w:t>IS</w:t>
      </w:r>
      <w:r w:rsidRPr="005F4E4E">
        <w:rPr>
          <w:rFonts w:ascii="Calibri" w:eastAsia="Times New Roman" w:hAnsi="Calibri" w:cs="Calibri"/>
          <w:color w:val="808080"/>
          <w:sz w:val="22"/>
          <w:lang w:val="en-GB"/>
        </w:rPr>
        <w:t>ATION, SPRINGWORKS THERAPEUTICS INC.</w:t>
      </w:r>
      <w:r w:rsidRPr="005F4E4E">
        <w:rPr>
          <w:rFonts w:ascii="Calibri" w:eastAsia="Times New Roman" w:hAnsi="Calibri" w:cs="Calibri"/>
          <w:color w:val="808080"/>
          <w:sz w:val="22"/>
        </w:rPr>
        <w:t> </w:t>
      </w:r>
    </w:p>
    <w:p w14:paraId="086EBBCD" w14:textId="0C46E512" w:rsidR="002A59F0" w:rsidRPr="00674307" w:rsidRDefault="002A59F0" w:rsidP="002A59F0">
      <w:pPr>
        <w:pStyle w:val="CPTInstructional"/>
        <w:bidi/>
        <w:jc w:val="center"/>
        <w:rPr>
          <w:b/>
          <w:bCs/>
          <w:rtl/>
        </w:rPr>
      </w:pPr>
    </w:p>
    <w:p w14:paraId="16CE8A0E" w14:textId="581407F2" w:rsidR="00674307" w:rsidRDefault="00674307">
      <w:pPr>
        <w:spacing w:before="0" w:after="0" w:line="240" w:lineRule="auto"/>
        <w:rPr>
          <w:b/>
          <w:bCs/>
          <w:rtl/>
        </w:rPr>
      </w:pPr>
      <w:r>
        <w:rPr>
          <w:b/>
          <w:bCs/>
          <w:rtl/>
        </w:rPr>
        <w:br w:type="page"/>
      </w:r>
    </w:p>
    <w:p w14:paraId="40645670" w14:textId="77777777" w:rsidR="0024217D" w:rsidRDefault="0024217D" w:rsidP="0024217D">
      <w:pPr>
        <w:pStyle w:val="paragraph0"/>
        <w:jc w:val="both"/>
        <w:textAlignment w:val="baseline"/>
        <w:rPr>
          <w:rStyle w:val="normaltextrun"/>
          <w:rFonts w:ascii="Arial" w:eastAsia="MS Gothic" w:hAnsi="Arial" w:cs="Arial"/>
          <w:b/>
          <w:bCs/>
          <w:color w:val="000000"/>
        </w:rPr>
      </w:pPr>
      <w:r>
        <w:rPr>
          <w:rStyle w:val="normaltextrun"/>
          <w:rFonts w:ascii="Arial" w:eastAsia="MS Gothic" w:hAnsi="Arial" w:cs="Arial"/>
          <w:b/>
          <w:bCs/>
          <w:color w:val="000000"/>
        </w:rPr>
        <w:lastRenderedPageBreak/>
        <w:t xml:space="preserve">Disclaimer </w:t>
      </w:r>
    </w:p>
    <w:p w14:paraId="6454DF53" w14:textId="77777777" w:rsidR="0024217D" w:rsidRDefault="0024217D" w:rsidP="0024217D">
      <w:pPr>
        <w:pStyle w:val="paragraph0"/>
        <w:jc w:val="both"/>
        <w:textAlignment w:val="baseline"/>
        <w:rPr>
          <w:rFonts w:ascii="Segoe UI" w:hAnsi="Segoe UI" w:cs="Segoe UI"/>
          <w:sz w:val="18"/>
          <w:szCs w:val="18"/>
        </w:rPr>
      </w:pPr>
      <w:r>
        <w:rPr>
          <w:rStyle w:val="normaltextrun"/>
          <w:rFonts w:ascii="Arial" w:eastAsia="MS Gothic" w:hAnsi="Arial" w:cs="Arial"/>
          <w:color w:val="000000"/>
          <w:sz w:val="20"/>
          <w:szCs w:val="20"/>
        </w:rPr>
        <w:t>These materials are provided</w:t>
      </w:r>
      <w:r>
        <w:rPr>
          <w:rStyle w:val="normaltextrun"/>
          <w:rFonts w:eastAsia="MS Gothic"/>
        </w:rPr>
        <w:t xml:space="preserve"> AS IS WITHOUT WARRANTY OF ANY KIND, EITHER EXPRESSED OR IMPLIED, INCLUDING, BUT NOT LIMITED TO, THE IMPLIED WARRANTIES OF MERCHANTABILITY, FITNESS FOR A PARTICULAR PURPOSE, OR NONINFRINGEMENT. </w:t>
      </w:r>
      <w:r>
        <w:rPr>
          <w:rStyle w:val="eop"/>
          <w:rFonts w:ascii="Arial" w:eastAsia="MS Gothic" w:hAnsi="Arial" w:cs="Arial"/>
          <w:color w:val="000000"/>
          <w:sz w:val="20"/>
          <w:szCs w:val="20"/>
        </w:rPr>
        <w:t> </w:t>
      </w:r>
    </w:p>
    <w:p w14:paraId="27086EC9" w14:textId="77777777" w:rsidR="0024217D" w:rsidRDefault="0024217D" w:rsidP="0024217D">
      <w:pPr>
        <w:pStyle w:val="paragraph0"/>
        <w:jc w:val="both"/>
        <w:textAlignment w:val="baseline"/>
        <w:rPr>
          <w:rFonts w:ascii="Segoe UI" w:hAnsi="Segoe UI" w:cs="Segoe UI"/>
          <w:sz w:val="18"/>
          <w:szCs w:val="18"/>
        </w:rPr>
      </w:pPr>
      <w:r>
        <w:t> </w:t>
      </w:r>
    </w:p>
    <w:p w14:paraId="098EE39F" w14:textId="77777777" w:rsidR="0024217D" w:rsidRDefault="0024217D" w:rsidP="0024217D">
      <w:pPr>
        <w:pStyle w:val="paragraph0"/>
        <w:jc w:val="both"/>
        <w:textAlignment w:val="baseline"/>
        <w:rPr>
          <w:rFonts w:ascii="Segoe UI" w:hAnsi="Segoe UI" w:cs="Segoe UI"/>
          <w:sz w:val="18"/>
          <w:szCs w:val="18"/>
        </w:rPr>
      </w:pPr>
      <w:r>
        <w:rPr>
          <w:rStyle w:val="normaltextrun"/>
          <w:rFonts w:ascii="Arial" w:eastAsia="MS Gothic" w:hAnsi="Arial" w:cs="Arial"/>
          <w:color w:val="000000"/>
          <w:sz w:val="20"/>
          <w:szCs w:val="20"/>
        </w:rPr>
        <w:t>EU-PEARL and its members do not accept any responsibility for any loss of any kind including loss of revenue, business, anticipated savings or profits, loss of goodwill or data, or for any indirect consequential loss whatsoever to any person using these materials or acting or refraining from action as a result of the information contained in these materials. Any party using these materials bears sole and complete responsibility for ensuring that the materials, whether modified or not, are suitable for the particular use and are accurate, current, commercially reasonable under the circumstances, and comply with</w:t>
      </w:r>
      <w:r>
        <w:rPr>
          <w:rStyle w:val="normaltextrun"/>
          <w:rFonts w:eastAsia="MS Gothic"/>
        </w:rPr>
        <w:t xml:space="preserve"> all applicable laws and regulations. </w:t>
      </w:r>
      <w:r>
        <w:rPr>
          <w:rStyle w:val="eop"/>
          <w:rFonts w:ascii="Arial" w:eastAsia="MS Gothic" w:hAnsi="Arial" w:cs="Arial"/>
          <w:color w:val="000000"/>
          <w:sz w:val="20"/>
          <w:szCs w:val="20"/>
        </w:rPr>
        <w:t> </w:t>
      </w:r>
    </w:p>
    <w:p w14:paraId="49BF12FE" w14:textId="77777777" w:rsidR="0024217D" w:rsidRDefault="0024217D" w:rsidP="0024217D">
      <w:pPr>
        <w:pStyle w:val="paragraph0"/>
        <w:jc w:val="both"/>
        <w:textAlignment w:val="baseline"/>
        <w:rPr>
          <w:rFonts w:ascii="Segoe UI" w:hAnsi="Segoe UI" w:cs="Segoe UI"/>
          <w:sz w:val="18"/>
          <w:szCs w:val="18"/>
        </w:rPr>
      </w:pPr>
      <w:r>
        <w:t> </w:t>
      </w:r>
    </w:p>
    <w:p w14:paraId="1381A143" w14:textId="5586B722" w:rsidR="0024217D" w:rsidRDefault="0024217D" w:rsidP="0024217D">
      <w:pPr>
        <w:spacing w:before="0" w:after="0" w:line="240" w:lineRule="auto"/>
        <w:rPr>
          <w:rStyle w:val="normaltextrun"/>
          <w:rFonts w:ascii="Arial" w:hAnsi="Arial" w:cs="Arial"/>
          <w:color w:val="000000"/>
          <w:sz w:val="20"/>
          <w:szCs w:val="20"/>
        </w:rPr>
      </w:pPr>
      <w:r>
        <w:rPr>
          <w:rStyle w:val="normaltextrun"/>
          <w:rFonts w:ascii="Arial" w:hAnsi="Arial" w:cs="Arial"/>
          <w:color w:val="000000"/>
          <w:sz w:val="20"/>
          <w:szCs w:val="20"/>
        </w:rPr>
        <w:t>Nothing in this template should be construed to represent or warrant that persons using this template have complied with all applicable laws and regulations. All individuals and organizations using this template bear responsibility for complying with the applicable laws and regulations for the relevant jurisdiction</w:t>
      </w:r>
    </w:p>
    <w:p w14:paraId="2C2C70CA" w14:textId="2F9C6C4A" w:rsidR="0024217D" w:rsidRDefault="0024217D">
      <w:pPr>
        <w:spacing w:before="0" w:after="0" w:line="240" w:lineRule="auto"/>
        <w:rPr>
          <w:rStyle w:val="normaltextrun"/>
          <w:rFonts w:ascii="Arial" w:hAnsi="Arial" w:cs="Arial"/>
          <w:color w:val="000000"/>
          <w:sz w:val="20"/>
          <w:szCs w:val="20"/>
        </w:rPr>
      </w:pPr>
      <w:r>
        <w:rPr>
          <w:rStyle w:val="normaltextrun"/>
          <w:rFonts w:ascii="Arial" w:hAnsi="Arial" w:cs="Arial"/>
          <w:color w:val="000000"/>
          <w:sz w:val="20"/>
          <w:szCs w:val="20"/>
        </w:rPr>
        <w:br w:type="page"/>
      </w:r>
    </w:p>
    <w:p w14:paraId="1EF3126D" w14:textId="6E169445" w:rsidR="0024217D" w:rsidRDefault="0024217D">
      <w:pPr>
        <w:spacing w:before="0" w:after="0" w:line="240" w:lineRule="auto"/>
        <w:rPr>
          <w:rStyle w:val="normaltextrun"/>
          <w:rFonts w:ascii="Arial" w:hAnsi="Arial" w:cs="Arial"/>
          <w:color w:val="000000"/>
          <w:sz w:val="20"/>
          <w:szCs w:val="20"/>
        </w:rPr>
      </w:pPr>
      <w:r w:rsidRPr="00C8231F">
        <w:rPr>
          <w:noProof/>
        </w:rPr>
        <w:lastRenderedPageBreak/>
        <w:drawing>
          <wp:anchor distT="0" distB="0" distL="114300" distR="114300" simplePos="0" relativeHeight="251660288" behindDoc="0" locked="0" layoutInCell="1" allowOverlap="1" wp14:anchorId="73430F81" wp14:editId="0356C166">
            <wp:simplePos x="0" y="0"/>
            <wp:positionH relativeFrom="margin">
              <wp:posOffset>0</wp:posOffset>
            </wp:positionH>
            <wp:positionV relativeFrom="paragraph">
              <wp:posOffset>142875</wp:posOffset>
            </wp:positionV>
            <wp:extent cx="5448300" cy="6934200"/>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2017" t="1475" r="3250" b="10376"/>
                    <a:stretch/>
                  </pic:blipFill>
                  <pic:spPr bwMode="auto">
                    <a:xfrm>
                      <a:off x="0" y="0"/>
                      <a:ext cx="5448300" cy="6934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FC10DAA" w14:textId="631E9396" w:rsidR="002A59F0" w:rsidRDefault="002A59F0">
      <w:pPr>
        <w:spacing w:before="0" w:after="0" w:line="240" w:lineRule="auto"/>
        <w:rPr>
          <w:rFonts w:cs="Arial"/>
          <w:b/>
          <w:bCs/>
          <w:vanish/>
          <w:color w:val="FF0000"/>
          <w:sz w:val="22"/>
          <w:szCs w:val="20"/>
          <w:rtl/>
        </w:rPr>
      </w:pPr>
    </w:p>
    <w:p w14:paraId="0AF55B56" w14:textId="77777777" w:rsidR="0024217D" w:rsidRDefault="0024217D" w:rsidP="002A59F0">
      <w:pPr>
        <w:pStyle w:val="CPTInstructional"/>
        <w:bidi/>
        <w:jc w:val="center"/>
        <w:rPr>
          <w:b/>
          <w:bCs/>
        </w:rPr>
      </w:pPr>
    </w:p>
    <w:p w14:paraId="620746F9" w14:textId="77777777" w:rsidR="0024217D" w:rsidRDefault="0024217D" w:rsidP="0024217D">
      <w:pPr>
        <w:pStyle w:val="CPTInstructional"/>
        <w:bidi/>
        <w:jc w:val="center"/>
        <w:rPr>
          <w:b/>
          <w:bCs/>
        </w:rPr>
      </w:pPr>
    </w:p>
    <w:p w14:paraId="01C303D4" w14:textId="77777777" w:rsidR="0024217D" w:rsidRDefault="0024217D" w:rsidP="0024217D">
      <w:pPr>
        <w:pStyle w:val="CPTInstructional"/>
        <w:bidi/>
        <w:jc w:val="center"/>
        <w:rPr>
          <w:b/>
          <w:bCs/>
        </w:rPr>
      </w:pPr>
    </w:p>
    <w:p w14:paraId="2B35346B" w14:textId="77777777" w:rsidR="0024217D" w:rsidRDefault="0024217D" w:rsidP="0024217D">
      <w:pPr>
        <w:pStyle w:val="CPTInstructional"/>
        <w:bidi/>
        <w:jc w:val="center"/>
        <w:rPr>
          <w:b/>
          <w:bCs/>
        </w:rPr>
      </w:pPr>
    </w:p>
    <w:p w14:paraId="39B31B76" w14:textId="77777777" w:rsidR="0024217D" w:rsidRDefault="0024217D" w:rsidP="0024217D">
      <w:pPr>
        <w:pStyle w:val="CPTInstructional"/>
        <w:bidi/>
        <w:jc w:val="center"/>
        <w:rPr>
          <w:b/>
          <w:bCs/>
        </w:rPr>
      </w:pPr>
    </w:p>
    <w:p w14:paraId="28834902" w14:textId="77777777" w:rsidR="0024217D" w:rsidRDefault="0024217D" w:rsidP="0024217D">
      <w:pPr>
        <w:pStyle w:val="CPTInstructional"/>
        <w:bidi/>
        <w:jc w:val="center"/>
        <w:rPr>
          <w:b/>
          <w:bCs/>
        </w:rPr>
      </w:pPr>
    </w:p>
    <w:p w14:paraId="13F71D54" w14:textId="77777777" w:rsidR="0024217D" w:rsidRDefault="0024217D" w:rsidP="0024217D">
      <w:pPr>
        <w:pStyle w:val="CPTInstructional"/>
        <w:bidi/>
        <w:jc w:val="center"/>
        <w:rPr>
          <w:b/>
          <w:bCs/>
        </w:rPr>
      </w:pPr>
    </w:p>
    <w:p w14:paraId="7431513F" w14:textId="77777777" w:rsidR="0024217D" w:rsidRDefault="0024217D" w:rsidP="0024217D">
      <w:pPr>
        <w:pStyle w:val="CPTInstructional"/>
        <w:bidi/>
        <w:jc w:val="center"/>
        <w:rPr>
          <w:b/>
          <w:bCs/>
        </w:rPr>
      </w:pPr>
    </w:p>
    <w:p w14:paraId="5604F23F" w14:textId="77777777" w:rsidR="0024217D" w:rsidRDefault="0024217D" w:rsidP="0024217D">
      <w:pPr>
        <w:pStyle w:val="CPTInstructional"/>
        <w:bidi/>
        <w:jc w:val="center"/>
        <w:rPr>
          <w:b/>
          <w:bCs/>
        </w:rPr>
      </w:pPr>
    </w:p>
    <w:p w14:paraId="02111AFE" w14:textId="77777777" w:rsidR="0024217D" w:rsidRDefault="0024217D" w:rsidP="0024217D">
      <w:pPr>
        <w:pStyle w:val="CPTInstructional"/>
        <w:bidi/>
        <w:jc w:val="center"/>
        <w:rPr>
          <w:b/>
          <w:bCs/>
        </w:rPr>
      </w:pPr>
    </w:p>
    <w:p w14:paraId="2C372C66" w14:textId="77777777" w:rsidR="0024217D" w:rsidRDefault="0024217D" w:rsidP="0024217D">
      <w:pPr>
        <w:pStyle w:val="CPTInstructional"/>
        <w:bidi/>
        <w:jc w:val="center"/>
        <w:rPr>
          <w:b/>
          <w:bCs/>
        </w:rPr>
      </w:pPr>
    </w:p>
    <w:p w14:paraId="65F0E381" w14:textId="77777777" w:rsidR="0024217D" w:rsidRDefault="0024217D" w:rsidP="0024217D">
      <w:pPr>
        <w:pStyle w:val="CPTInstructional"/>
        <w:bidi/>
        <w:jc w:val="center"/>
        <w:rPr>
          <w:b/>
          <w:bCs/>
        </w:rPr>
      </w:pPr>
    </w:p>
    <w:p w14:paraId="7C12344D" w14:textId="77777777" w:rsidR="0024217D" w:rsidRDefault="0024217D" w:rsidP="0024217D">
      <w:pPr>
        <w:pStyle w:val="CPTInstructional"/>
        <w:bidi/>
        <w:jc w:val="center"/>
        <w:rPr>
          <w:b/>
          <w:bCs/>
        </w:rPr>
      </w:pPr>
    </w:p>
    <w:p w14:paraId="3B87E45B" w14:textId="77777777" w:rsidR="0024217D" w:rsidRDefault="0024217D" w:rsidP="0024217D">
      <w:pPr>
        <w:pStyle w:val="CPTInstructional"/>
        <w:bidi/>
        <w:jc w:val="center"/>
        <w:rPr>
          <w:b/>
          <w:bCs/>
        </w:rPr>
      </w:pPr>
    </w:p>
    <w:p w14:paraId="10FFA4ED" w14:textId="77777777" w:rsidR="0024217D" w:rsidRDefault="0024217D" w:rsidP="0024217D">
      <w:pPr>
        <w:pStyle w:val="CPTInstructional"/>
        <w:bidi/>
        <w:jc w:val="center"/>
        <w:rPr>
          <w:b/>
          <w:bCs/>
        </w:rPr>
      </w:pPr>
    </w:p>
    <w:p w14:paraId="1551AFEE" w14:textId="77777777" w:rsidR="0024217D" w:rsidRDefault="0024217D" w:rsidP="0024217D">
      <w:pPr>
        <w:pStyle w:val="CPTInstructional"/>
        <w:bidi/>
        <w:jc w:val="center"/>
        <w:rPr>
          <w:b/>
          <w:bCs/>
        </w:rPr>
      </w:pPr>
    </w:p>
    <w:p w14:paraId="472ACA3F" w14:textId="77777777" w:rsidR="0024217D" w:rsidRDefault="0024217D" w:rsidP="0024217D">
      <w:pPr>
        <w:pStyle w:val="CPTInstructional"/>
        <w:bidi/>
        <w:jc w:val="center"/>
        <w:rPr>
          <w:b/>
          <w:bCs/>
        </w:rPr>
      </w:pPr>
    </w:p>
    <w:p w14:paraId="6E1DB712" w14:textId="77777777" w:rsidR="0024217D" w:rsidRDefault="0024217D" w:rsidP="0024217D">
      <w:pPr>
        <w:pStyle w:val="CPTInstructional"/>
        <w:bidi/>
        <w:jc w:val="center"/>
        <w:rPr>
          <w:b/>
          <w:bCs/>
        </w:rPr>
      </w:pPr>
    </w:p>
    <w:p w14:paraId="2DD91BE6" w14:textId="77777777" w:rsidR="0024217D" w:rsidRDefault="0024217D" w:rsidP="0024217D">
      <w:pPr>
        <w:pStyle w:val="CPTInstructional"/>
        <w:bidi/>
        <w:jc w:val="center"/>
        <w:rPr>
          <w:b/>
          <w:bCs/>
        </w:rPr>
      </w:pPr>
    </w:p>
    <w:p w14:paraId="6D840233" w14:textId="77777777" w:rsidR="0024217D" w:rsidRDefault="0024217D" w:rsidP="0024217D">
      <w:pPr>
        <w:pStyle w:val="CPTInstructional"/>
        <w:bidi/>
        <w:jc w:val="center"/>
        <w:rPr>
          <w:b/>
          <w:bCs/>
        </w:rPr>
      </w:pPr>
    </w:p>
    <w:p w14:paraId="6F291FD2" w14:textId="77777777" w:rsidR="0024217D" w:rsidRDefault="0024217D" w:rsidP="0024217D">
      <w:pPr>
        <w:pStyle w:val="CPTInstructional"/>
        <w:bidi/>
        <w:jc w:val="center"/>
        <w:rPr>
          <w:b/>
          <w:bCs/>
        </w:rPr>
      </w:pPr>
    </w:p>
    <w:p w14:paraId="5591C18F" w14:textId="77777777" w:rsidR="0024217D" w:rsidRDefault="0024217D" w:rsidP="0024217D">
      <w:pPr>
        <w:pStyle w:val="CPTInstructional"/>
        <w:bidi/>
        <w:jc w:val="center"/>
        <w:rPr>
          <w:b/>
          <w:bCs/>
        </w:rPr>
      </w:pPr>
    </w:p>
    <w:p w14:paraId="56CE8E49" w14:textId="77777777" w:rsidR="0024217D" w:rsidRDefault="0024217D" w:rsidP="0024217D">
      <w:pPr>
        <w:pStyle w:val="CPTInstructional"/>
        <w:bidi/>
        <w:jc w:val="center"/>
        <w:rPr>
          <w:b/>
          <w:bCs/>
        </w:rPr>
      </w:pPr>
    </w:p>
    <w:p w14:paraId="179E2E7B" w14:textId="77777777" w:rsidR="0024217D" w:rsidRDefault="0024217D" w:rsidP="0024217D">
      <w:pPr>
        <w:pStyle w:val="CPTInstructional"/>
        <w:bidi/>
        <w:jc w:val="center"/>
        <w:rPr>
          <w:b/>
          <w:bCs/>
        </w:rPr>
      </w:pPr>
    </w:p>
    <w:p w14:paraId="392C135A" w14:textId="77777777" w:rsidR="0024217D" w:rsidRDefault="0024217D" w:rsidP="0024217D">
      <w:pPr>
        <w:pStyle w:val="CPTInstructional"/>
        <w:bidi/>
        <w:jc w:val="center"/>
        <w:rPr>
          <w:b/>
          <w:bCs/>
        </w:rPr>
      </w:pPr>
    </w:p>
    <w:p w14:paraId="76E1E4E5" w14:textId="77777777" w:rsidR="0024217D" w:rsidRDefault="0024217D" w:rsidP="0024217D">
      <w:pPr>
        <w:pStyle w:val="CPTInstructional"/>
        <w:bidi/>
        <w:jc w:val="center"/>
        <w:rPr>
          <w:b/>
          <w:bCs/>
        </w:rPr>
      </w:pPr>
    </w:p>
    <w:p w14:paraId="3A30635F" w14:textId="77777777" w:rsidR="0024217D" w:rsidRDefault="0024217D" w:rsidP="0024217D">
      <w:pPr>
        <w:pStyle w:val="CPTInstructional"/>
        <w:bidi/>
        <w:jc w:val="center"/>
        <w:rPr>
          <w:b/>
          <w:bCs/>
        </w:rPr>
      </w:pPr>
    </w:p>
    <w:p w14:paraId="3C224BB5" w14:textId="77777777" w:rsidR="0024217D" w:rsidRDefault="0024217D" w:rsidP="0024217D">
      <w:pPr>
        <w:pStyle w:val="CPTInstructional"/>
        <w:bidi/>
        <w:jc w:val="center"/>
        <w:rPr>
          <w:b/>
          <w:bCs/>
        </w:rPr>
      </w:pPr>
    </w:p>
    <w:p w14:paraId="65EDA540" w14:textId="77777777" w:rsidR="0024217D" w:rsidRDefault="0024217D" w:rsidP="0024217D">
      <w:pPr>
        <w:pStyle w:val="CPTInstructional"/>
        <w:bidi/>
        <w:jc w:val="center"/>
        <w:rPr>
          <w:b/>
          <w:bCs/>
        </w:rPr>
      </w:pPr>
    </w:p>
    <w:p w14:paraId="5E3C48D1" w14:textId="62BE9CFD" w:rsidR="0024217D" w:rsidRDefault="0024217D">
      <w:pPr>
        <w:spacing w:before="0" w:after="0" w:line="240" w:lineRule="auto"/>
        <w:rPr>
          <w:rFonts w:cs="Arial"/>
          <w:b/>
          <w:bCs/>
          <w:vanish/>
          <w:color w:val="FF0000"/>
          <w:sz w:val="22"/>
          <w:szCs w:val="20"/>
          <w:rtl/>
        </w:rPr>
      </w:pPr>
      <w:r>
        <w:rPr>
          <w:b/>
          <w:bCs/>
          <w:rtl/>
        </w:rPr>
        <w:br w:type="page"/>
      </w:r>
    </w:p>
    <w:p w14:paraId="41367F4E" w14:textId="77777777" w:rsidR="0024217D" w:rsidRDefault="0024217D" w:rsidP="0024217D">
      <w:pPr>
        <w:pStyle w:val="CPTInstructional"/>
        <w:bidi/>
        <w:jc w:val="center"/>
        <w:rPr>
          <w:b/>
          <w:bCs/>
        </w:rPr>
      </w:pPr>
    </w:p>
    <w:p w14:paraId="40F4A64B" w14:textId="49C26200" w:rsidR="002E504F" w:rsidRPr="00C64851" w:rsidRDefault="00B57FB2" w:rsidP="0024217D">
      <w:pPr>
        <w:pStyle w:val="CPTInstructional"/>
        <w:bidi/>
        <w:jc w:val="center"/>
        <w:rPr>
          <w:b/>
          <w:bCs/>
        </w:rPr>
      </w:pPr>
      <w:r>
        <w:rPr>
          <w:b/>
          <w:bCs/>
        </w:rPr>
        <w:t xml:space="preserve">Master Protocol Statistical Analysis Plan Template </w:t>
      </w:r>
      <w:r w:rsidR="004652FB">
        <w:rPr>
          <w:b/>
          <w:bCs/>
        </w:rPr>
        <w:t>V</w:t>
      </w:r>
      <w:r w:rsidR="00CD4E35">
        <w:rPr>
          <w:b/>
          <w:bCs/>
        </w:rPr>
        <w:t>1</w:t>
      </w:r>
    </w:p>
    <w:p w14:paraId="711C296D" w14:textId="77777777" w:rsidR="00EA3E2B" w:rsidRPr="0048507C" w:rsidRDefault="00EA3E2B" w:rsidP="0048507C">
      <w:pPr>
        <w:pStyle w:val="CPTInstructional"/>
        <w:jc w:val="center"/>
        <w:rPr>
          <w:b/>
          <w:bCs/>
        </w:rPr>
      </w:pPr>
      <w:r w:rsidRPr="0048507C">
        <w:rPr>
          <w:b/>
          <w:bCs/>
        </w:rPr>
        <w:t>About This Template</w:t>
      </w:r>
    </w:p>
    <w:p w14:paraId="606E304F" w14:textId="77777777" w:rsidR="00EA3E2B" w:rsidRPr="0048507C" w:rsidRDefault="00EA3E2B" w:rsidP="00C84EAF">
      <w:pPr>
        <w:pStyle w:val="CPTInstructional"/>
        <w:rPr>
          <w:b/>
          <w:bCs/>
        </w:rPr>
      </w:pPr>
      <w:r w:rsidRPr="0048507C">
        <w:rPr>
          <w:b/>
          <w:bCs/>
        </w:rPr>
        <w:t>Disclaimer</w:t>
      </w:r>
    </w:p>
    <w:p w14:paraId="2D9C4B7C" w14:textId="15F11095" w:rsidR="00EA3E2B" w:rsidRPr="00C64851" w:rsidRDefault="00EA3E2B" w:rsidP="00C84EAF">
      <w:pPr>
        <w:pStyle w:val="CPTInstructional"/>
      </w:pPr>
      <w:r>
        <w:t xml:space="preserve">This document is a template for a </w:t>
      </w:r>
      <w:r w:rsidR="00940C72">
        <w:t>statistical analysis plan (SAP)</w:t>
      </w:r>
      <w:r w:rsidR="00501E33">
        <w:t xml:space="preserve"> for </w:t>
      </w:r>
      <w:r w:rsidR="002C06AB">
        <w:t>platform study</w:t>
      </w:r>
      <w:r w:rsidR="00501E33">
        <w:t xml:space="preserve">s that can be utilized in the core </w:t>
      </w:r>
      <w:r w:rsidR="002F28B8">
        <w:t>M</w:t>
      </w:r>
      <w:r w:rsidR="00501E33">
        <w:t xml:space="preserve">aster </w:t>
      </w:r>
      <w:r w:rsidR="002F28B8">
        <w:t>P</w:t>
      </w:r>
      <w:r w:rsidR="00501E33">
        <w:t xml:space="preserve">rotocol </w:t>
      </w:r>
      <w:r w:rsidR="00E21221">
        <w:t xml:space="preserve">as Master SAP (mSAP) </w:t>
      </w:r>
      <w:r w:rsidR="00501E33">
        <w:t>as well as in its intervention-specific appendices (ISAs)</w:t>
      </w:r>
      <w:r w:rsidR="00E21221">
        <w:t xml:space="preserve"> as ISA SAP</w:t>
      </w:r>
      <w:r>
        <w:t xml:space="preserve">. It contains sections marked as common text that may be used across SAPs with little to no editing if the user chooses to do so. The use of this template is at the discretion of the user. </w:t>
      </w:r>
    </w:p>
    <w:p w14:paraId="7F3E0801" w14:textId="53F61F59" w:rsidR="00EA3E2B" w:rsidRPr="00C64851" w:rsidRDefault="00EA3E2B" w:rsidP="00C84EAF">
      <w:pPr>
        <w:pStyle w:val="CPTInstructional"/>
      </w:pPr>
      <w:r>
        <w:t xml:space="preserve">These materials are provided AS IS WITHOUT WARRANTY OF ANY KIND, EITHER EXPRESSED OR IMPLIED, INCLUDING, BUT NOT LIMITED TO, THE IMPLIED WARRANTIES OF MERCHANTABILITY, FITNESS FOR A PARTICULAR PURPOSE, OR NONINFRINGEMENT. TransCelerate and its members do not accept any responsibility for any loss of any kind including loss of revenue, business, anticipated savings or profits, loss of goodwill or data, or for any indirect consequential loss whatsoever to any person using these materials or acting or refraining from action as a result of the information contained in these materials. Any party using these materials bears sole and complete responsibility for ensuring that the materials, whether modified or not, are suitable for the particular use and are accurate, current, commercially reasonable under the circumstances, and comply with all applicable laws and regulations. </w:t>
      </w:r>
    </w:p>
    <w:p w14:paraId="09C6171C" w14:textId="77777777" w:rsidR="00EA3E2B" w:rsidRPr="00C64851" w:rsidRDefault="00EA3E2B" w:rsidP="00C84EAF">
      <w:pPr>
        <w:pStyle w:val="CPTInstructional"/>
      </w:pPr>
      <w:r>
        <w:t>Nothing in this template should be construed to represent or warrant that persons using this template have complied with all applicable laws and regulations. All individuals and organizations using this template bear responsibility for complying with the applicable laws and regulations for the relevant jurisdiction.</w:t>
      </w:r>
    </w:p>
    <w:p w14:paraId="655E755A" w14:textId="3FA27F1F" w:rsidR="470CD09C" w:rsidRPr="002F28B8" w:rsidRDefault="470CD09C" w:rsidP="590B9163">
      <w:pPr>
        <w:pStyle w:val="CPTInstructional"/>
      </w:pPr>
      <w:r w:rsidRPr="00674307">
        <w:t>Please note that currently there are comments which may apply either mainly to the mSAP or the ISA SAP. When drafting this first version focus was given mainly on the context for a mSAP.</w:t>
      </w:r>
    </w:p>
    <w:p w14:paraId="6006FFA2" w14:textId="4CC3A991" w:rsidR="470CD09C" w:rsidRDefault="470CD09C" w:rsidP="1D4C8F4E">
      <w:pPr>
        <w:pStyle w:val="CPTInstructional"/>
        <w:rPr>
          <w:lang w:val="en-GB"/>
        </w:rPr>
      </w:pPr>
      <w:r w:rsidRPr="00674307">
        <w:rPr>
          <w:lang w:val="en-GB"/>
        </w:rPr>
        <w:t xml:space="preserve">If the analyses are exactly the same for all ISAs and no deviations are expected, then it might be sufficient to have a single master SAP (mSAP). If there are (small) deviations, e.g., additional subgroup or sensitivity analyses for some of the ISA, then individualized SAPs for each ISA might be prepared as standalone documents in addition. However, in such case the mSAP defines the main analysis strategy for Master </w:t>
      </w:r>
      <w:r w:rsidR="271F41A1" w:rsidRPr="00674307">
        <w:rPr>
          <w:lang w:val="en-GB"/>
        </w:rPr>
        <w:t>P</w:t>
      </w:r>
      <w:r w:rsidRPr="00674307">
        <w:rPr>
          <w:lang w:val="en-GB"/>
        </w:rPr>
        <w:t>rotocol (including definition of estimands including analysis populations, analysis model (including definition of priors if applicable), multiple testing strategy,...). In such cases the mSAP serves as a template/blueprint of the standalone SAPs for each ISA of the platform trial concerned. If there are there separate Statistical Analysis Plan (SAP) for each new ISA, a stable draft SAP for the new ISA should be available at First Patient In (FPI) and a final one at least one week prior to unblinded DBL (and earlier, if the ISA will be used for registration</w:t>
      </w:r>
      <w:r w:rsidRPr="5C8302BB">
        <w:rPr>
          <w:lang w:val="en-GB"/>
        </w:rPr>
        <w:t>.</w:t>
      </w:r>
    </w:p>
    <w:p w14:paraId="0F7153AF" w14:textId="77777777" w:rsidR="00EA3E2B" w:rsidRPr="00916654" w:rsidRDefault="00EA3E2B" w:rsidP="00C84EAF">
      <w:pPr>
        <w:pStyle w:val="CPTInstructional"/>
        <w:keepNext/>
        <w:rPr>
          <w:b/>
          <w:bCs/>
        </w:rPr>
      </w:pPr>
      <w:r w:rsidRPr="7E2C4AF2">
        <w:rPr>
          <w:b/>
          <w:bCs/>
        </w:rPr>
        <w:t xml:space="preserve">Components of the SAP </w:t>
      </w:r>
      <w:r w:rsidRPr="00916654">
        <w:rPr>
          <w:b/>
          <w:bCs/>
        </w:rPr>
        <w:t>Template</w:t>
      </w:r>
    </w:p>
    <w:p w14:paraId="09A41122" w14:textId="7A8166FD" w:rsidR="00EA3E2B" w:rsidRPr="00916654" w:rsidRDefault="00EA3E2B" w:rsidP="00D65B50">
      <w:pPr>
        <w:pStyle w:val="CPTInstructional"/>
        <w:numPr>
          <w:ilvl w:val="0"/>
          <w:numId w:val="18"/>
        </w:numPr>
        <w:spacing w:before="0" w:after="200" w:line="276" w:lineRule="auto"/>
        <w:rPr>
          <w:rFonts w:eastAsia="Times New Roman" w:cs="Times New Roman"/>
        </w:rPr>
      </w:pPr>
      <w:r w:rsidRPr="00916654">
        <w:t xml:space="preserve">The </w:t>
      </w:r>
      <w:r w:rsidRPr="00916654">
        <w:rPr>
          <w:b/>
          <w:bCs/>
        </w:rPr>
        <w:t>Core Backbone</w:t>
      </w:r>
      <w:r w:rsidRPr="00916654">
        <w:t xml:space="preserve"> and </w:t>
      </w:r>
      <w:r w:rsidRPr="00916654">
        <w:rPr>
          <w:b/>
          <w:bCs/>
        </w:rPr>
        <w:t xml:space="preserve">Appendices </w:t>
      </w:r>
      <w:r w:rsidRPr="00916654">
        <w:t xml:space="preserve">are designed to cover, at minimum, the needs for regulatory reporting and the </w:t>
      </w:r>
      <w:r w:rsidR="005B542C">
        <w:t>c</w:t>
      </w:r>
      <w:r w:rsidRPr="00916654">
        <w:t xml:space="preserve">linical </w:t>
      </w:r>
      <w:r w:rsidR="005B542C">
        <w:t>s</w:t>
      </w:r>
      <w:r w:rsidRPr="00916654">
        <w:t xml:space="preserve">tudy </w:t>
      </w:r>
      <w:r w:rsidR="005B542C">
        <w:t>r</w:t>
      </w:r>
      <w:r w:rsidRPr="00916654">
        <w:t>eport (CSR). Level</w:t>
      </w:r>
      <w:r w:rsidR="005B542C">
        <w:t>s</w:t>
      </w:r>
      <w:r w:rsidRPr="00916654">
        <w:t xml:space="preserve"> 1 and 2 headings are aligned with Section 9 Statistical Considerat</w:t>
      </w:r>
      <w:r>
        <w:t>i</w:t>
      </w:r>
      <w:r w:rsidRPr="00916654">
        <w:t xml:space="preserve">ons in the </w:t>
      </w:r>
      <w:r w:rsidR="00FC6FDE">
        <w:t>c</w:t>
      </w:r>
      <w:r w:rsidRPr="00916654">
        <w:t xml:space="preserve">ommon </w:t>
      </w:r>
      <w:r w:rsidR="00FC6FDE">
        <w:t>p</w:t>
      </w:r>
      <w:r w:rsidRPr="00916654">
        <w:t xml:space="preserve">rotocol </w:t>
      </w:r>
      <w:r w:rsidR="00FC6FDE">
        <w:t>t</w:t>
      </w:r>
      <w:r w:rsidRPr="00916654">
        <w:t>emplate</w:t>
      </w:r>
      <w:r w:rsidR="00FC6FDE">
        <w:t xml:space="preserve"> (CPT)</w:t>
      </w:r>
      <w:r w:rsidRPr="00916654">
        <w:t>. Level 3 and lower headings can be deleted/added/modified if additional planned analyses need to be described.</w:t>
      </w:r>
    </w:p>
    <w:p w14:paraId="7631ED6F" w14:textId="77777777" w:rsidR="00EA3E2B" w:rsidRPr="00916654" w:rsidRDefault="00EA3E2B" w:rsidP="00D65B50">
      <w:pPr>
        <w:pStyle w:val="CPTInstructional"/>
        <w:numPr>
          <w:ilvl w:val="1"/>
          <w:numId w:val="18"/>
        </w:numPr>
        <w:spacing w:before="0" w:after="200" w:line="276" w:lineRule="auto"/>
        <w:rPr>
          <w:rFonts w:eastAsia="Times New Roman" w:cs="Times New Roman"/>
        </w:rPr>
      </w:pPr>
      <w:r w:rsidRPr="00916654">
        <w:t>The</w:t>
      </w:r>
      <w:r w:rsidRPr="00916654">
        <w:rPr>
          <w:b/>
          <w:bCs/>
        </w:rPr>
        <w:t xml:space="preserve"> Core Backbone</w:t>
      </w:r>
      <w:r w:rsidRPr="00916654">
        <w:t xml:space="preserve"> contains analysis plan information common to all phases, study populations, and therapeutic areas. The core backbone is streamlined and focused on the regulatory reporting recommendations and/or requirements. </w:t>
      </w:r>
    </w:p>
    <w:p w14:paraId="746EC258" w14:textId="5FD857C8" w:rsidR="00EA3E2B" w:rsidRPr="00916654" w:rsidRDefault="00EA3E2B" w:rsidP="00D65B50">
      <w:pPr>
        <w:pStyle w:val="CPTInstructional"/>
        <w:numPr>
          <w:ilvl w:val="1"/>
          <w:numId w:val="18"/>
        </w:numPr>
        <w:spacing w:before="0" w:after="200" w:line="276" w:lineRule="auto"/>
        <w:rPr>
          <w:rFonts w:eastAsia="Times New Roman" w:cs="Times New Roman"/>
        </w:rPr>
      </w:pPr>
      <w:r w:rsidRPr="000919FF">
        <w:rPr>
          <w:b/>
          <w:bCs/>
        </w:rPr>
        <w:lastRenderedPageBreak/>
        <w:t>Appendices</w:t>
      </w:r>
      <w:r w:rsidRPr="00916654">
        <w:t xml:space="preserve"> provide additional information that can be accessed when needed</w:t>
      </w:r>
      <w:r w:rsidR="00FC6FDE">
        <w:t>,</w:t>
      </w:r>
      <w:r w:rsidRPr="00916654">
        <w:t xml:space="preserve"> eg, abbreviations, data handling conventions, CSR items not critical for regulatory reportin</w:t>
      </w:r>
      <w:r w:rsidR="008D6CDE">
        <w:t>g</w:t>
      </w:r>
      <w:r w:rsidRPr="00916654">
        <w:t>.</w:t>
      </w:r>
    </w:p>
    <w:p w14:paraId="40F918FF" w14:textId="68545905" w:rsidR="00EA3E2B" w:rsidRPr="008D6CDE" w:rsidRDefault="00EA3E2B" w:rsidP="00D65B50">
      <w:pPr>
        <w:pStyle w:val="CPTInstructional"/>
        <w:numPr>
          <w:ilvl w:val="2"/>
          <w:numId w:val="18"/>
        </w:numPr>
        <w:spacing w:before="0" w:after="200" w:line="276" w:lineRule="auto"/>
        <w:rPr>
          <w:rFonts w:eastAsia="Times New Roman" w:cs="Times New Roman"/>
        </w:rPr>
      </w:pPr>
      <w:r w:rsidRPr="00916654">
        <w:t>This information may also be contained in separate documentation and referenced.</w:t>
      </w:r>
    </w:p>
    <w:p w14:paraId="2F40BF90" w14:textId="77777777" w:rsidR="00EA3E2B" w:rsidRPr="00916654" w:rsidRDefault="00EA3E2B" w:rsidP="00C84EAF">
      <w:pPr>
        <w:pStyle w:val="CPTInstructional"/>
        <w:keepNext/>
        <w:rPr>
          <w:b/>
          <w:bCs/>
        </w:rPr>
      </w:pPr>
      <w:r w:rsidRPr="00916654">
        <w:rPr>
          <w:b/>
          <w:bCs/>
        </w:rPr>
        <w:t>Core Backbone Headings</w:t>
      </w:r>
    </w:p>
    <w:p w14:paraId="6201B161" w14:textId="36DF0C5E" w:rsidR="00EA3E2B" w:rsidRPr="00916654" w:rsidRDefault="00EA3E2B" w:rsidP="00D65B50">
      <w:pPr>
        <w:pStyle w:val="CPTInstructional"/>
        <w:numPr>
          <w:ilvl w:val="0"/>
          <w:numId w:val="18"/>
        </w:numPr>
      </w:pPr>
      <w:r w:rsidRPr="00916654">
        <w:t>Level</w:t>
      </w:r>
      <w:r w:rsidR="008F225D">
        <w:t>s</w:t>
      </w:r>
      <w:r w:rsidRPr="00916654">
        <w:t xml:space="preserve"> 1 and 2 headings should be consistent across analysis plans that use the TransCelerate </w:t>
      </w:r>
      <w:r w:rsidR="000061B5">
        <w:t>c</w:t>
      </w:r>
      <w:r w:rsidRPr="00916654">
        <w:t>ommon SAP template for reference purposes.</w:t>
      </w:r>
      <w:r w:rsidR="007B720A" w:rsidRPr="007B720A">
        <w:t xml:space="preserve"> </w:t>
      </w:r>
      <w:r w:rsidR="007B720A" w:rsidRPr="00483AB0">
        <w:t xml:space="preserve">The structure of this template aligns with the structure of the </w:t>
      </w:r>
      <w:r w:rsidR="000061B5">
        <w:t>c</w:t>
      </w:r>
      <w:r w:rsidR="007B720A" w:rsidRPr="00483AB0">
        <w:t xml:space="preserve">ommon </w:t>
      </w:r>
      <w:r w:rsidR="000061B5">
        <w:t>p</w:t>
      </w:r>
      <w:r w:rsidR="007B720A" w:rsidRPr="00483AB0">
        <w:t xml:space="preserve">rotocol </w:t>
      </w:r>
      <w:r w:rsidR="000061B5">
        <w:t>t</w:t>
      </w:r>
      <w:r w:rsidR="007B720A" w:rsidRPr="00483AB0">
        <w:t>emplate</w:t>
      </w:r>
      <w:r w:rsidR="000061B5">
        <w:t>,</w:t>
      </w:r>
      <w:r w:rsidR="007B720A" w:rsidRPr="00483AB0">
        <w:t xml:space="preserve"> which is aligned with the United States National Institutes of Health (NIH) and Food and Drug Administration (FDA) Clinical Trials Protocol Template</w:t>
      </w:r>
      <w:r w:rsidR="000061B5">
        <w:t>.</w:t>
      </w:r>
      <w:r w:rsidR="007B720A">
        <w:t xml:space="preserve"> </w:t>
      </w:r>
    </w:p>
    <w:p w14:paraId="75FECDAC" w14:textId="4C68A386" w:rsidR="00EA3E2B" w:rsidRPr="00C64851" w:rsidRDefault="00EA3E2B" w:rsidP="00D65B50">
      <w:pPr>
        <w:pStyle w:val="CPTInstructional"/>
        <w:numPr>
          <w:ilvl w:val="0"/>
          <w:numId w:val="18"/>
        </w:numPr>
        <w:spacing w:before="0" w:after="200" w:line="276" w:lineRule="auto"/>
      </w:pPr>
      <w:r w:rsidRPr="00916654">
        <w:t>Level</w:t>
      </w:r>
      <w:r w:rsidR="00907A1B">
        <w:t>s</w:t>
      </w:r>
      <w:r w:rsidRPr="00916654">
        <w:t xml:space="preserve"> 1 and 2 headings should not be deleted. If they are not relevant to the study, </w:t>
      </w:r>
      <w:r w:rsidR="000061B5">
        <w:t>n</w:t>
      </w:r>
      <w:r w:rsidRPr="00916654">
        <w:t>ot applicable should be inserted</w:t>
      </w:r>
      <w:r>
        <w:t xml:space="preserve"> so that the numbering of subsequent sections is not changed.</w:t>
      </w:r>
    </w:p>
    <w:p w14:paraId="6C5CF376" w14:textId="75B992A8" w:rsidR="00EA3E2B" w:rsidRPr="00C64851" w:rsidRDefault="00EA3E2B" w:rsidP="00D65B50">
      <w:pPr>
        <w:pStyle w:val="CPTInstructional"/>
        <w:numPr>
          <w:ilvl w:val="0"/>
          <w:numId w:val="18"/>
        </w:numPr>
        <w:spacing w:before="0" w:after="200" w:line="276" w:lineRule="auto"/>
      </w:pPr>
      <w:r>
        <w:t xml:space="preserve">Level 3 and </w:t>
      </w:r>
      <w:r w:rsidR="000B30AA">
        <w:t>subsequent</w:t>
      </w:r>
      <w:r w:rsidR="00CD7E1A">
        <w:t xml:space="preserve"> sub</w:t>
      </w:r>
      <w:r>
        <w:t xml:space="preserve">headings </w:t>
      </w:r>
      <w:r w:rsidR="000061B5">
        <w:t xml:space="preserve">are suggested and </w:t>
      </w:r>
      <w:r>
        <w:t>can be deleted/added/modified as needed.</w:t>
      </w:r>
    </w:p>
    <w:p w14:paraId="44F4EBF4" w14:textId="77777777" w:rsidR="00EA3E2B" w:rsidRPr="0048507C" w:rsidRDefault="00EA3E2B" w:rsidP="00C84EAF">
      <w:pPr>
        <w:pStyle w:val="CPTInstructional"/>
        <w:keepNext/>
        <w:rPr>
          <w:b/>
          <w:bCs/>
        </w:rPr>
      </w:pPr>
      <w:r w:rsidRPr="0048507C">
        <w:rPr>
          <w:b/>
          <w:bCs/>
        </w:rPr>
        <w:t>Terminology</w:t>
      </w:r>
    </w:p>
    <w:p w14:paraId="68AF5AAC" w14:textId="77777777" w:rsidR="000061B5" w:rsidRDefault="000061B5" w:rsidP="00D65B50">
      <w:pPr>
        <w:pStyle w:val="CPTInstructional"/>
        <w:numPr>
          <w:ilvl w:val="0"/>
          <w:numId w:val="19"/>
        </w:numPr>
        <w:spacing w:before="0" w:after="200" w:line="276" w:lineRule="auto"/>
      </w:pPr>
      <w:r>
        <w:t>The terminology used in the SAP should match the protocol.</w:t>
      </w:r>
    </w:p>
    <w:p w14:paraId="030CD3AD" w14:textId="5EC91584" w:rsidR="00EA3E2B" w:rsidRPr="00C64851" w:rsidRDefault="00EA3E2B" w:rsidP="00D65B50">
      <w:pPr>
        <w:pStyle w:val="CPTInstructional"/>
        <w:numPr>
          <w:ilvl w:val="0"/>
          <w:numId w:val="19"/>
        </w:numPr>
        <w:spacing w:before="0" w:after="200" w:line="276" w:lineRule="auto"/>
      </w:pPr>
      <w:r>
        <w:t xml:space="preserve">The following terminology has been selected for use within </w:t>
      </w:r>
      <w:r w:rsidR="000061B5">
        <w:t xml:space="preserve">TransCelerate common templates (CPT, SAP, and CSR) </w:t>
      </w:r>
      <w:r>
        <w:t>and is considered to be appropriate for all phases, study populations, and therapeutic areas.</w:t>
      </w:r>
    </w:p>
    <w:p w14:paraId="1E2133C5" w14:textId="77777777" w:rsidR="00EA3E2B" w:rsidRPr="00C64851" w:rsidRDefault="00EA3E2B" w:rsidP="00D65B50">
      <w:pPr>
        <w:pStyle w:val="CPTInstructional"/>
        <w:numPr>
          <w:ilvl w:val="1"/>
          <w:numId w:val="19"/>
        </w:numPr>
        <w:spacing w:before="0" w:after="200" w:line="276" w:lineRule="auto"/>
        <w:ind w:left="1080"/>
      </w:pPr>
      <w:r w:rsidRPr="25265610">
        <w:rPr>
          <w:i/>
          <w:iCs/>
        </w:rPr>
        <w:t>Participant</w:t>
      </w:r>
      <w:r>
        <w:t xml:space="preserve"> is used rather than subject, healthy volunteer, or patient.</w:t>
      </w:r>
    </w:p>
    <w:p w14:paraId="7ACBCE94" w14:textId="634B5C91" w:rsidR="00EA3E2B" w:rsidRPr="00C64851" w:rsidRDefault="00EA3E2B" w:rsidP="00D65B50">
      <w:pPr>
        <w:pStyle w:val="CPTInstructional"/>
        <w:numPr>
          <w:ilvl w:val="1"/>
          <w:numId w:val="19"/>
        </w:numPr>
        <w:spacing w:before="0" w:after="200" w:line="276" w:lineRule="auto"/>
        <w:ind w:left="1080"/>
      </w:pPr>
      <w:r w:rsidRPr="25265610">
        <w:rPr>
          <w:i/>
          <w:iCs/>
        </w:rPr>
        <w:t>Study intervention</w:t>
      </w:r>
      <w:r>
        <w:t xml:space="preserve"> is used rather than study drug. Study intervention covers all types of investigational and noninvestigational products including medical devices and vaccines.</w:t>
      </w:r>
    </w:p>
    <w:p w14:paraId="409A2BAC" w14:textId="436BBB9D" w:rsidR="00EA3E2B" w:rsidRPr="00C64851" w:rsidRDefault="00EA3E2B" w:rsidP="00D65B50">
      <w:pPr>
        <w:pStyle w:val="CPTInstructional"/>
        <w:numPr>
          <w:ilvl w:val="2"/>
          <w:numId w:val="19"/>
        </w:numPr>
        <w:spacing w:before="0" w:after="200" w:line="276" w:lineRule="auto"/>
        <w:ind w:left="1440"/>
      </w:pPr>
      <w:r>
        <w:t>Study intervention is defined as investigational intervention(s), marketed product(s), placebo, or medical device(s) intended to be administered to a study participant per protocol.</w:t>
      </w:r>
    </w:p>
    <w:p w14:paraId="758A3787" w14:textId="77777777" w:rsidR="00EA3E2B" w:rsidRPr="00C64851" w:rsidRDefault="00EA3E2B" w:rsidP="001D73DE">
      <w:pPr>
        <w:pStyle w:val="CPTInstructional"/>
        <w:keepNext/>
        <w:rPr>
          <w:b/>
          <w:bCs/>
        </w:rPr>
      </w:pPr>
      <w:r w:rsidRPr="7E2C4AF2">
        <w:rPr>
          <w:b/>
          <w:bCs/>
        </w:rPr>
        <w:t>Formatting and Text Conventions</w:t>
      </w:r>
    </w:p>
    <w:p w14:paraId="61C1BB22" w14:textId="2BCF6A6C" w:rsidR="00EA3E2B" w:rsidRPr="00C64851" w:rsidRDefault="00EA3E2B" w:rsidP="00D65B50">
      <w:pPr>
        <w:pStyle w:val="CPTInstructional"/>
        <w:numPr>
          <w:ilvl w:val="0"/>
          <w:numId w:val="26"/>
        </w:numPr>
        <w:spacing w:before="0" w:after="200" w:line="276" w:lineRule="auto"/>
      </w:pPr>
      <w:r>
        <w:t xml:space="preserve">Common Text: Black font preceded by &lt;Start of common text&gt; and followed by &lt;End of </w:t>
      </w:r>
      <w:r w:rsidR="00084F7C">
        <w:t>c</w:t>
      </w:r>
      <w:r>
        <w:t xml:space="preserve">ommon </w:t>
      </w:r>
      <w:r w:rsidR="00084F7C">
        <w:t>t</w:t>
      </w:r>
      <w:r>
        <w:t xml:space="preserve">ext&gt; is common language intended to be harmonized across </w:t>
      </w:r>
      <w:r w:rsidR="00861A24">
        <w:t>SAP</w:t>
      </w:r>
      <w:r>
        <w:t>s. The recommendation is to use this text as written to maintain consistency across template users, but the text can be adapted</w:t>
      </w:r>
      <w:r w:rsidR="000061B5">
        <w:t xml:space="preserve"> or deleted</w:t>
      </w:r>
      <w:r w:rsidR="002862A6">
        <w:t>,</w:t>
      </w:r>
      <w:r>
        <w:t xml:space="preserve"> if required. The flags for the start and end of common text can be removed automatically at the time of SAP finalization if the </w:t>
      </w:r>
      <w:r w:rsidR="002862A6">
        <w:t>T</w:t>
      </w:r>
      <w:r>
        <w:t>echnology</w:t>
      </w:r>
      <w:r w:rsidR="00E9556E">
        <w:t>-</w:t>
      </w:r>
      <w:r>
        <w:t>enabled</w:t>
      </w:r>
      <w:r w:rsidR="00483AB0">
        <w:t xml:space="preserve"> </w:t>
      </w:r>
      <w:r w:rsidR="002862A6">
        <w:t xml:space="preserve">Edition </w:t>
      </w:r>
      <w:r w:rsidR="00483AB0">
        <w:t>SAP</w:t>
      </w:r>
      <w:r>
        <w:t xml:space="preserve"> has been used or should be removed manually by the author</w:t>
      </w:r>
      <w:r w:rsidR="002862A6">
        <w:t xml:space="preserve"> if the Basic Word Edition SAP has been used</w:t>
      </w:r>
      <w:r w:rsidR="001F3B57">
        <w:t>.</w:t>
      </w:r>
    </w:p>
    <w:p w14:paraId="3D7AFDF1" w14:textId="735F2464" w:rsidR="002862A6" w:rsidRDefault="002862A6" w:rsidP="00D65B50">
      <w:pPr>
        <w:pStyle w:val="CPTInstructional"/>
        <w:numPr>
          <w:ilvl w:val="0"/>
          <w:numId w:val="26"/>
        </w:numPr>
        <w:spacing w:before="0" w:after="200" w:line="276" w:lineRule="auto"/>
      </w:pPr>
      <w:r>
        <w:t>Suggested Text: Black text preceded by &lt;Start of suggested text&gt; and followed by &lt;End of suggested text&gt; is suggested language that can be adapted or deleted as needed.</w:t>
      </w:r>
    </w:p>
    <w:p w14:paraId="326CEDBA" w14:textId="77777777" w:rsidR="002862A6" w:rsidRDefault="002862A6" w:rsidP="00D65B50">
      <w:pPr>
        <w:pStyle w:val="CPTInstructional"/>
        <w:numPr>
          <w:ilvl w:val="0"/>
          <w:numId w:val="26"/>
        </w:numPr>
        <w:spacing w:before="0" w:after="200" w:line="276" w:lineRule="auto"/>
      </w:pPr>
      <w:r>
        <w:lastRenderedPageBreak/>
        <w:t>Variable Text: Blue bracketed text is variable text that should be addressed based on individual study needs.</w:t>
      </w:r>
    </w:p>
    <w:p w14:paraId="17E8D6FC" w14:textId="77777777" w:rsidR="002862A6" w:rsidRDefault="002862A6" w:rsidP="00D65B50">
      <w:pPr>
        <w:pStyle w:val="CPTInstructional"/>
        <w:numPr>
          <w:ilvl w:val="0"/>
          <w:numId w:val="26"/>
        </w:numPr>
        <w:spacing w:before="0" w:after="200" w:line="276" w:lineRule="auto"/>
      </w:pPr>
      <w:r>
        <w:t>Example Text: Green italicized text preceded by &lt;</w:t>
      </w:r>
      <w:r>
        <w:rPr>
          <w:i/>
          <w:iCs/>
        </w:rPr>
        <w:t>Start of example text</w:t>
      </w:r>
      <w:r>
        <w:t>&gt; and followed by &lt;</w:t>
      </w:r>
      <w:r>
        <w:rPr>
          <w:i/>
          <w:iCs/>
        </w:rPr>
        <w:t>End of example text</w:t>
      </w:r>
      <w:r>
        <w:t xml:space="preserve">&gt; should be removed by the author if not utilized. </w:t>
      </w:r>
    </w:p>
    <w:p w14:paraId="5A8C2FED" w14:textId="457971D0" w:rsidR="002862A6" w:rsidRDefault="002862A6" w:rsidP="00D65B50">
      <w:pPr>
        <w:pStyle w:val="CPTInstructional"/>
        <w:numPr>
          <w:ilvl w:val="0"/>
          <w:numId w:val="26"/>
        </w:numPr>
        <w:spacing w:before="0" w:after="200" w:line="276" w:lineRule="auto"/>
      </w:pPr>
      <w:r>
        <w:t>Instructional Text: Intended to aid in the authoring of the SAP. In the basic Word edition, it is red, hidden text, and paragraph marks must be enabled in order for it to be displayed. In the technology-enabled edition, it will appear only in the instructional text panel.</w:t>
      </w:r>
    </w:p>
    <w:p w14:paraId="5F100A75" w14:textId="77777777" w:rsidR="002862A6" w:rsidRDefault="002862A6" w:rsidP="002862A6">
      <w:pPr>
        <w:pStyle w:val="CPTInstructional"/>
        <w:spacing w:before="0" w:after="200" w:line="276" w:lineRule="auto"/>
      </w:pPr>
    </w:p>
    <w:p w14:paraId="415DF26C" w14:textId="77777777" w:rsidR="002862A6" w:rsidRDefault="002862A6" w:rsidP="002862A6">
      <w:pPr>
        <w:pStyle w:val="CPTInstructional"/>
        <w:keepNext/>
        <w:rPr>
          <w:b/>
        </w:rPr>
      </w:pPr>
      <w:r>
        <w:rPr>
          <w:b/>
        </w:rPr>
        <w:t>Disclosure</w:t>
      </w:r>
    </w:p>
    <w:p w14:paraId="4C29EFB4" w14:textId="77777777" w:rsidR="002862A6" w:rsidRDefault="002862A6" w:rsidP="00D65B50">
      <w:pPr>
        <w:pStyle w:val="CPTInstructional"/>
        <w:numPr>
          <w:ilvl w:val="0"/>
          <w:numId w:val="26"/>
        </w:numPr>
        <w:spacing w:before="0" w:after="160" w:line="256" w:lineRule="auto"/>
      </w:pPr>
      <w:r>
        <w:t xml:space="preserve">Users are reminded that many regulators have begun to require increased public disclosure of clinical trial documents. For recommendations related to using this template given the disclosure requirements, please refer to the best practices for disclosure in the implementation toolkit available on TransCelerate’s website.  </w:t>
      </w:r>
    </w:p>
    <w:p w14:paraId="0494CFF9" w14:textId="58D94AFF" w:rsidR="009A0668" w:rsidRDefault="009A0668" w:rsidP="00CB2B8C">
      <w:pPr>
        <w:pStyle w:val="CPTInstructional"/>
      </w:pPr>
    </w:p>
    <w:p w14:paraId="72174123" w14:textId="7490E387" w:rsidR="003415B2" w:rsidRPr="00AC7592" w:rsidRDefault="7E2C4AF2">
      <w:pPr>
        <w:pStyle w:val="Heading1NoTOC"/>
        <w:pageBreakBefore w:val="0"/>
        <w:rPr>
          <w:rFonts w:ascii="Times New Roman" w:eastAsia="Times New Roman" w:hAnsi="Times New Roman" w:cs="Times New Roman"/>
        </w:rPr>
      </w:pPr>
      <w:bookmarkStart w:id="0" w:name="_Toc52192283"/>
      <w:r w:rsidRPr="7E2C4AF2">
        <w:rPr>
          <w:rFonts w:ascii="Times New Roman" w:eastAsia="Times New Roman" w:hAnsi="Times New Roman" w:cs="Times New Roman"/>
        </w:rPr>
        <w:t xml:space="preserve">Title </w:t>
      </w:r>
      <w:bookmarkEnd w:id="0"/>
      <w:r w:rsidR="00B57FB2" w:rsidRPr="00F65D87">
        <w:rPr>
          <w:rFonts w:ascii="Times New Roman" w:eastAsia="Times New Roman" w:hAnsi="Times New Roman" w:cs="Times New Roman"/>
          <w:lang w:val="it-IT"/>
        </w:rPr>
        <w:t>Page</w:t>
      </w:r>
    </w:p>
    <w:p w14:paraId="53BD0C9F" w14:textId="434C7959" w:rsidR="00E14CD3" w:rsidRPr="00E90F3E" w:rsidRDefault="7E2C4AF2" w:rsidP="00E90F3E">
      <w:pPr>
        <w:rPr>
          <w:b/>
        </w:rPr>
      </w:pPr>
      <w:r w:rsidRPr="00E90F3E">
        <w:rPr>
          <w:b/>
        </w:rPr>
        <w:t xml:space="preserve">Protocol Title: </w:t>
      </w:r>
    </w:p>
    <w:p w14:paraId="056670C9" w14:textId="67D82997" w:rsidR="00411C2B" w:rsidRPr="00850EB9" w:rsidRDefault="7E2C4AF2" w:rsidP="002862A6">
      <w:pPr>
        <w:spacing w:before="240" w:after="0"/>
        <w:rPr>
          <w:b/>
        </w:rPr>
      </w:pPr>
      <w:r w:rsidRPr="00850EB9">
        <w:rPr>
          <w:b/>
        </w:rPr>
        <w:t xml:space="preserve">Protocol Number: </w:t>
      </w:r>
      <w:r w:rsidR="37978F8F" w:rsidRPr="00850EB9">
        <w:rPr>
          <w:b/>
        </w:rPr>
        <w:t xml:space="preserve"> </w:t>
      </w:r>
    </w:p>
    <w:p w14:paraId="2948EC7D" w14:textId="6AC07306" w:rsidR="00411C2B" w:rsidRDefault="7E2C4AF2" w:rsidP="7E2C4AF2">
      <w:pPr>
        <w:spacing w:before="240" w:after="0"/>
        <w:rPr>
          <w:b/>
          <w:bCs/>
        </w:rPr>
      </w:pPr>
      <w:r w:rsidRPr="7E2C4AF2">
        <w:rPr>
          <w:b/>
          <w:bCs/>
        </w:rPr>
        <w:t xml:space="preserve">Compound Number: </w:t>
      </w:r>
    </w:p>
    <w:p w14:paraId="3DF655D2" w14:textId="74099FF8" w:rsidR="00411C2B" w:rsidRPr="00CB4A9A" w:rsidRDefault="7E2C4AF2" w:rsidP="7E2C4AF2">
      <w:pPr>
        <w:spacing w:before="240" w:after="0"/>
        <w:rPr>
          <w:b/>
          <w:bCs/>
        </w:rPr>
      </w:pPr>
      <w:r w:rsidRPr="7E2C4AF2">
        <w:rPr>
          <w:b/>
          <w:bCs/>
        </w:rPr>
        <w:t xml:space="preserve">Short Title: </w:t>
      </w:r>
    </w:p>
    <w:p w14:paraId="066ED3AF" w14:textId="304AD16D" w:rsidR="00F5503D" w:rsidRPr="00CB4A9A" w:rsidRDefault="7E2C4AF2" w:rsidP="7E2C4AF2">
      <w:pPr>
        <w:spacing w:before="240" w:after="0"/>
      </w:pPr>
      <w:r w:rsidRPr="00BE6D5F">
        <w:rPr>
          <w:rStyle w:val="CPTVariable"/>
        </w:rPr>
        <w:t>[Acronym:]</w:t>
      </w:r>
      <w:r w:rsidRPr="0048507C">
        <w:t xml:space="preserve"> </w:t>
      </w:r>
    </w:p>
    <w:p w14:paraId="747F7978" w14:textId="4150FE77" w:rsidR="00D87175" w:rsidRPr="00E943EA" w:rsidRDefault="7E2C4AF2" w:rsidP="7E2C4AF2">
      <w:pPr>
        <w:spacing w:before="240" w:after="0"/>
        <w:rPr>
          <w:b/>
          <w:bCs/>
          <w:lang w:eastAsia="ja-JP"/>
        </w:rPr>
      </w:pPr>
      <w:r w:rsidRPr="7E2C4AF2">
        <w:rPr>
          <w:b/>
          <w:bCs/>
        </w:rPr>
        <w:t xml:space="preserve">Sponsor Name: </w:t>
      </w:r>
    </w:p>
    <w:p w14:paraId="5963D6DF" w14:textId="5B3EFA17" w:rsidR="00D87175" w:rsidRPr="0048507C" w:rsidRDefault="7E2C4AF2" w:rsidP="7E2C4AF2">
      <w:pPr>
        <w:spacing w:before="240" w:after="0"/>
      </w:pPr>
      <w:r w:rsidRPr="7E2C4AF2">
        <w:rPr>
          <w:b/>
          <w:bCs/>
        </w:rPr>
        <w:t xml:space="preserve">Legal Registered Address: </w:t>
      </w:r>
    </w:p>
    <w:p w14:paraId="7F44E0B7" w14:textId="4DC68554" w:rsidR="00BB2265" w:rsidRDefault="00BB2265" w:rsidP="00596FA9">
      <w:pPr>
        <w:spacing w:before="240" w:after="0"/>
        <w:rPr>
          <w:b/>
        </w:rPr>
      </w:pPr>
      <w:r w:rsidRPr="00596FA9">
        <w:rPr>
          <w:b/>
          <w:bCs/>
        </w:rPr>
        <w:t>Regulatory Agency Identifier Number(s)</w:t>
      </w:r>
      <w:r w:rsidR="001C15A2">
        <w:rPr>
          <w:b/>
        </w:rPr>
        <w:t>:</w:t>
      </w:r>
    </w:p>
    <w:p w14:paraId="53F5B344" w14:textId="77777777" w:rsidR="00947452" w:rsidRPr="00596FA9" w:rsidRDefault="00947452" w:rsidP="00596FA9">
      <w:pPr>
        <w:spacing w:before="240" w:after="0"/>
        <w:rPr>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4"/>
        <w:gridCol w:w="7846"/>
      </w:tblGrid>
      <w:tr w:rsidR="00BB2265" w:rsidRPr="00850ABA" w14:paraId="10CE4A2D" w14:textId="77777777" w:rsidTr="25265610">
        <w:tc>
          <w:tcPr>
            <w:tcW w:w="1526" w:type="dxa"/>
          </w:tcPr>
          <w:p w14:paraId="106DDB26" w14:textId="77777777" w:rsidR="00BB2265" w:rsidRPr="00596FA9" w:rsidRDefault="00BB2265">
            <w:pPr>
              <w:rPr>
                <w:b/>
                <w:bCs/>
              </w:rPr>
            </w:pPr>
            <w:r w:rsidRPr="00596FA9">
              <w:rPr>
                <w:b/>
                <w:bCs/>
              </w:rPr>
              <w:t>Registry</w:t>
            </w:r>
          </w:p>
        </w:tc>
        <w:tc>
          <w:tcPr>
            <w:tcW w:w="8050" w:type="dxa"/>
          </w:tcPr>
          <w:p w14:paraId="617CEE49" w14:textId="77777777" w:rsidR="00BB2265" w:rsidRPr="00596FA9" w:rsidRDefault="00BB2265">
            <w:pPr>
              <w:rPr>
                <w:b/>
                <w:bCs/>
              </w:rPr>
            </w:pPr>
            <w:r w:rsidRPr="00596FA9">
              <w:rPr>
                <w:b/>
                <w:bCs/>
              </w:rPr>
              <w:t>ID</w:t>
            </w:r>
          </w:p>
        </w:tc>
      </w:tr>
      <w:tr w:rsidR="00BB2265" w:rsidRPr="004E26D2" w14:paraId="585D67F5" w14:textId="77777777" w:rsidTr="25265610">
        <w:trPr>
          <w:hidden/>
        </w:trPr>
        <w:tc>
          <w:tcPr>
            <w:tcW w:w="1526" w:type="dxa"/>
          </w:tcPr>
          <w:p w14:paraId="55006A27" w14:textId="6BD55009" w:rsidR="00BB2265" w:rsidRPr="00B24DC5" w:rsidRDefault="0064416D" w:rsidP="00B24DC5">
            <w:pPr>
              <w:pStyle w:val="CPTInstructional"/>
            </w:pPr>
            <w:r w:rsidRPr="00B24DC5">
              <w:t>Enter Registry Name</w:t>
            </w:r>
          </w:p>
        </w:tc>
        <w:tc>
          <w:tcPr>
            <w:tcW w:w="8050" w:type="dxa"/>
          </w:tcPr>
          <w:p w14:paraId="0BF530CA" w14:textId="59088350" w:rsidR="00BB2265" w:rsidRPr="00B24DC5" w:rsidRDefault="0064416D" w:rsidP="00B24DC5">
            <w:pPr>
              <w:pStyle w:val="CPTInstructional"/>
            </w:pPr>
            <w:r w:rsidRPr="00B24DC5">
              <w:t>Enter Registry ID</w:t>
            </w:r>
          </w:p>
        </w:tc>
      </w:tr>
    </w:tbl>
    <w:p w14:paraId="5242E3FB" w14:textId="6BFCD623" w:rsidR="002902A3" w:rsidRPr="00523793" w:rsidRDefault="002902A3" w:rsidP="00BC7141">
      <w:pPr>
        <w:spacing w:before="0" w:after="0"/>
      </w:pPr>
    </w:p>
    <w:p w14:paraId="7217413D" w14:textId="6FFFB8B0" w:rsidR="00E00700" w:rsidRDefault="00E00700" w:rsidP="00F77D16">
      <w:pPr>
        <w:rPr>
          <w:rFonts w:eastAsia="Times New Roman" w:cs="Times New Roman"/>
          <w:szCs w:val="24"/>
        </w:rPr>
      </w:pPr>
    </w:p>
    <w:p w14:paraId="405D3059" w14:textId="52149C46" w:rsidR="00136BE8" w:rsidRDefault="00136BE8" w:rsidP="00F77D16">
      <w:pPr>
        <w:rPr>
          <w:rFonts w:eastAsia="Times New Roman" w:cs="Times New Roman"/>
          <w:szCs w:val="24"/>
        </w:rPr>
      </w:pPr>
    </w:p>
    <w:p w14:paraId="7BBC1061" w14:textId="5273E760" w:rsidR="00136BE8" w:rsidRDefault="00136BE8" w:rsidP="00F77D16">
      <w:pPr>
        <w:rPr>
          <w:rFonts w:eastAsia="Times New Roman" w:cs="Times New Roman"/>
          <w:szCs w:val="24"/>
        </w:rPr>
      </w:pPr>
    </w:p>
    <w:p w14:paraId="43804071" w14:textId="77777777" w:rsidR="00136BE8" w:rsidRPr="00C64851" w:rsidRDefault="00136BE8" w:rsidP="00F77D16">
      <w:pPr>
        <w:rPr>
          <w:rFonts w:eastAsia="Times New Roman" w:cs="Times New Roman"/>
          <w:szCs w:val="24"/>
        </w:rPr>
      </w:pPr>
    </w:p>
    <w:p w14:paraId="479ABE12" w14:textId="5159DC13" w:rsidR="002A6C5E" w:rsidRPr="00C64851" w:rsidRDefault="7E2C4AF2">
      <w:pPr>
        <w:pStyle w:val="Heading3NoTOC"/>
      </w:pPr>
      <w:bookmarkStart w:id="1" w:name="_Toc518466152"/>
      <w:bookmarkStart w:id="2" w:name="_Toc518655967"/>
      <w:bookmarkStart w:id="3" w:name="_Toc52192284"/>
      <w:r>
        <w:lastRenderedPageBreak/>
        <w:t>Table of Contents</w:t>
      </w:r>
      <w:bookmarkEnd w:id="1"/>
      <w:bookmarkEnd w:id="2"/>
      <w:bookmarkEnd w:id="3"/>
    </w:p>
    <w:p w14:paraId="27F95924" w14:textId="3A3154A6" w:rsidR="00E420B5" w:rsidRDefault="00FF05B0">
      <w:pPr>
        <w:pStyle w:val="TOC1"/>
        <w:rPr>
          <w:rFonts w:asciiTheme="minorHAnsi" w:eastAsiaTheme="minorEastAsia" w:hAnsiTheme="minorHAnsi" w:cstheme="minorBidi"/>
          <w:b w:val="0"/>
          <w:color w:val="auto"/>
          <w:sz w:val="22"/>
          <w:szCs w:val="22"/>
        </w:rPr>
      </w:pPr>
      <w:r>
        <w:fldChar w:fldCharType="begin"/>
      </w:r>
      <w:r>
        <w:instrText xml:space="preserve"> TOC \o "1-3" \h \z \u </w:instrText>
      </w:r>
      <w:r>
        <w:fldChar w:fldCharType="separate"/>
      </w:r>
      <w:hyperlink w:anchor="_Toc52192283" w:history="1">
        <w:r w:rsidR="00E420B5" w:rsidRPr="005A3DDB">
          <w:rPr>
            <w:rStyle w:val="Hyperlink"/>
            <w:rFonts w:eastAsia="Times New Roman"/>
          </w:rPr>
          <w:t>Title Page</w:t>
        </w:r>
        <w:r w:rsidR="00E420B5">
          <w:rPr>
            <w:webHidden/>
          </w:rPr>
          <w:tab/>
        </w:r>
        <w:r w:rsidR="00E420B5">
          <w:rPr>
            <w:webHidden/>
          </w:rPr>
          <w:fldChar w:fldCharType="begin"/>
        </w:r>
        <w:r w:rsidR="00E420B5">
          <w:rPr>
            <w:webHidden/>
          </w:rPr>
          <w:instrText xml:space="preserve"> PAGEREF _Toc52192283 \h </w:instrText>
        </w:r>
        <w:r w:rsidR="00E420B5">
          <w:rPr>
            <w:webHidden/>
          </w:rPr>
        </w:r>
        <w:r w:rsidR="00E420B5">
          <w:rPr>
            <w:webHidden/>
          </w:rPr>
          <w:fldChar w:fldCharType="separate"/>
        </w:r>
        <w:r w:rsidR="004652FB">
          <w:rPr>
            <w:webHidden/>
          </w:rPr>
          <w:t>3</w:t>
        </w:r>
        <w:r w:rsidR="00E420B5">
          <w:rPr>
            <w:webHidden/>
          </w:rPr>
          <w:fldChar w:fldCharType="end"/>
        </w:r>
      </w:hyperlink>
    </w:p>
    <w:p w14:paraId="23DD8FF3" w14:textId="0FBA3B86" w:rsidR="00E420B5" w:rsidRDefault="00063F0C">
      <w:pPr>
        <w:pStyle w:val="TOC1"/>
        <w:rPr>
          <w:rFonts w:asciiTheme="minorHAnsi" w:eastAsiaTheme="minorEastAsia" w:hAnsiTheme="minorHAnsi" w:cstheme="minorBidi"/>
          <w:b w:val="0"/>
          <w:color w:val="auto"/>
          <w:sz w:val="22"/>
          <w:szCs w:val="22"/>
        </w:rPr>
      </w:pPr>
      <w:hyperlink w:anchor="_Toc52192284" w:history="1">
        <w:r w:rsidR="00E420B5" w:rsidRPr="005A3DDB">
          <w:rPr>
            <w:rStyle w:val="Hyperlink"/>
          </w:rPr>
          <w:t>Table of Contents</w:t>
        </w:r>
        <w:r w:rsidR="00E420B5">
          <w:rPr>
            <w:webHidden/>
          </w:rPr>
          <w:tab/>
        </w:r>
        <w:r w:rsidR="00E420B5">
          <w:rPr>
            <w:webHidden/>
          </w:rPr>
          <w:fldChar w:fldCharType="begin"/>
        </w:r>
        <w:r w:rsidR="00E420B5">
          <w:rPr>
            <w:webHidden/>
          </w:rPr>
          <w:instrText xml:space="preserve"> PAGEREF _Toc52192284 \h </w:instrText>
        </w:r>
        <w:r w:rsidR="00E420B5">
          <w:rPr>
            <w:webHidden/>
          </w:rPr>
        </w:r>
        <w:r w:rsidR="00E420B5">
          <w:rPr>
            <w:webHidden/>
          </w:rPr>
          <w:fldChar w:fldCharType="separate"/>
        </w:r>
        <w:r w:rsidR="004652FB">
          <w:rPr>
            <w:webHidden/>
          </w:rPr>
          <w:t>4</w:t>
        </w:r>
        <w:r w:rsidR="00E420B5">
          <w:rPr>
            <w:webHidden/>
          </w:rPr>
          <w:fldChar w:fldCharType="end"/>
        </w:r>
      </w:hyperlink>
    </w:p>
    <w:p w14:paraId="05E816E7" w14:textId="578E2349" w:rsidR="00E420B5" w:rsidRDefault="00063F0C">
      <w:pPr>
        <w:pStyle w:val="TOC1"/>
        <w:rPr>
          <w:rFonts w:asciiTheme="minorHAnsi" w:eastAsiaTheme="minorEastAsia" w:hAnsiTheme="minorHAnsi" w:cstheme="minorBidi"/>
          <w:b w:val="0"/>
          <w:color w:val="auto"/>
          <w:sz w:val="22"/>
          <w:szCs w:val="22"/>
        </w:rPr>
      </w:pPr>
      <w:hyperlink w:anchor="_Toc52192285" w:history="1">
        <w:r w:rsidR="00E420B5" w:rsidRPr="005A3DDB">
          <w:rPr>
            <w:rStyle w:val="Hyperlink"/>
          </w:rPr>
          <w:t>Version History</w:t>
        </w:r>
        <w:r w:rsidR="00E420B5">
          <w:rPr>
            <w:webHidden/>
          </w:rPr>
          <w:tab/>
        </w:r>
        <w:r w:rsidR="00E420B5">
          <w:rPr>
            <w:webHidden/>
          </w:rPr>
          <w:fldChar w:fldCharType="begin"/>
        </w:r>
        <w:r w:rsidR="00E420B5">
          <w:rPr>
            <w:webHidden/>
          </w:rPr>
          <w:instrText xml:space="preserve"> PAGEREF _Toc52192285 \h </w:instrText>
        </w:r>
        <w:r w:rsidR="00E420B5">
          <w:rPr>
            <w:webHidden/>
          </w:rPr>
        </w:r>
        <w:r w:rsidR="00E420B5">
          <w:rPr>
            <w:webHidden/>
          </w:rPr>
          <w:fldChar w:fldCharType="separate"/>
        </w:r>
        <w:r w:rsidR="004652FB">
          <w:rPr>
            <w:webHidden/>
          </w:rPr>
          <w:t>5</w:t>
        </w:r>
        <w:r w:rsidR="00E420B5">
          <w:rPr>
            <w:webHidden/>
          </w:rPr>
          <w:fldChar w:fldCharType="end"/>
        </w:r>
      </w:hyperlink>
    </w:p>
    <w:p w14:paraId="33C3432E" w14:textId="0A289484" w:rsidR="00E420B5" w:rsidRDefault="00063F0C">
      <w:pPr>
        <w:pStyle w:val="TOC1"/>
        <w:rPr>
          <w:rFonts w:asciiTheme="minorHAnsi" w:eastAsiaTheme="minorEastAsia" w:hAnsiTheme="minorHAnsi" w:cstheme="minorBidi"/>
          <w:b w:val="0"/>
          <w:color w:val="auto"/>
          <w:sz w:val="22"/>
          <w:szCs w:val="22"/>
        </w:rPr>
      </w:pPr>
      <w:hyperlink w:anchor="_Toc52192286" w:history="1">
        <w:r w:rsidR="00E420B5" w:rsidRPr="005A3DDB">
          <w:rPr>
            <w:rStyle w:val="Hyperlink"/>
          </w:rPr>
          <w:t>1.</w:t>
        </w:r>
        <w:r w:rsidR="00E420B5">
          <w:rPr>
            <w:rFonts w:asciiTheme="minorHAnsi" w:eastAsiaTheme="minorEastAsia" w:hAnsiTheme="minorHAnsi" w:cstheme="minorBidi"/>
            <w:b w:val="0"/>
            <w:color w:val="auto"/>
            <w:sz w:val="22"/>
            <w:szCs w:val="22"/>
          </w:rPr>
          <w:tab/>
        </w:r>
        <w:r w:rsidR="00E420B5" w:rsidRPr="005A3DDB">
          <w:rPr>
            <w:rStyle w:val="Hyperlink"/>
          </w:rPr>
          <w:t>Introduction</w:t>
        </w:r>
        <w:r w:rsidR="00E420B5">
          <w:rPr>
            <w:webHidden/>
          </w:rPr>
          <w:tab/>
        </w:r>
        <w:r w:rsidR="00E420B5">
          <w:rPr>
            <w:webHidden/>
          </w:rPr>
          <w:fldChar w:fldCharType="begin"/>
        </w:r>
        <w:r w:rsidR="00E420B5">
          <w:rPr>
            <w:webHidden/>
          </w:rPr>
          <w:instrText xml:space="preserve"> PAGEREF _Toc52192286 \h </w:instrText>
        </w:r>
        <w:r w:rsidR="00E420B5">
          <w:rPr>
            <w:webHidden/>
          </w:rPr>
        </w:r>
        <w:r w:rsidR="00E420B5">
          <w:rPr>
            <w:webHidden/>
          </w:rPr>
          <w:fldChar w:fldCharType="separate"/>
        </w:r>
        <w:r w:rsidR="004652FB">
          <w:rPr>
            <w:webHidden/>
          </w:rPr>
          <w:t>6</w:t>
        </w:r>
        <w:r w:rsidR="00E420B5">
          <w:rPr>
            <w:webHidden/>
          </w:rPr>
          <w:fldChar w:fldCharType="end"/>
        </w:r>
      </w:hyperlink>
    </w:p>
    <w:p w14:paraId="64F51C71" w14:textId="03B9CB93" w:rsidR="00E420B5" w:rsidRDefault="00063F0C">
      <w:pPr>
        <w:pStyle w:val="TOC2"/>
        <w:rPr>
          <w:rFonts w:asciiTheme="minorHAnsi" w:eastAsiaTheme="minorEastAsia" w:hAnsiTheme="minorHAnsi" w:cstheme="minorBidi"/>
          <w:color w:val="auto"/>
          <w:sz w:val="22"/>
          <w:szCs w:val="22"/>
        </w:rPr>
      </w:pPr>
      <w:hyperlink w:anchor="_Toc52192287" w:history="1">
        <w:r w:rsidR="00E420B5" w:rsidRPr="005A3DDB">
          <w:rPr>
            <w:rStyle w:val="Hyperlink"/>
          </w:rPr>
          <w:t>1.1.</w:t>
        </w:r>
        <w:r w:rsidR="00E420B5">
          <w:rPr>
            <w:rFonts w:asciiTheme="minorHAnsi" w:eastAsiaTheme="minorEastAsia" w:hAnsiTheme="minorHAnsi" w:cstheme="minorBidi"/>
            <w:color w:val="auto"/>
            <w:sz w:val="22"/>
            <w:szCs w:val="22"/>
          </w:rPr>
          <w:tab/>
        </w:r>
        <w:r w:rsidR="00E420B5" w:rsidRPr="005A3DDB">
          <w:rPr>
            <w:rStyle w:val="Hyperlink"/>
          </w:rPr>
          <w:t>Objectives, Endpoints, and Estimands</w:t>
        </w:r>
        <w:r w:rsidR="00E420B5">
          <w:rPr>
            <w:webHidden/>
          </w:rPr>
          <w:tab/>
        </w:r>
        <w:r w:rsidR="00E420B5">
          <w:rPr>
            <w:webHidden/>
          </w:rPr>
          <w:fldChar w:fldCharType="begin"/>
        </w:r>
        <w:r w:rsidR="00E420B5">
          <w:rPr>
            <w:webHidden/>
          </w:rPr>
          <w:instrText xml:space="preserve"> PAGEREF _Toc52192287 \h </w:instrText>
        </w:r>
        <w:r w:rsidR="00E420B5">
          <w:rPr>
            <w:webHidden/>
          </w:rPr>
        </w:r>
        <w:r w:rsidR="00E420B5">
          <w:rPr>
            <w:webHidden/>
          </w:rPr>
          <w:fldChar w:fldCharType="separate"/>
        </w:r>
        <w:r w:rsidR="004652FB">
          <w:rPr>
            <w:webHidden/>
          </w:rPr>
          <w:t>7</w:t>
        </w:r>
        <w:r w:rsidR="00E420B5">
          <w:rPr>
            <w:webHidden/>
          </w:rPr>
          <w:fldChar w:fldCharType="end"/>
        </w:r>
      </w:hyperlink>
    </w:p>
    <w:p w14:paraId="2A510800" w14:textId="426B6722" w:rsidR="00E420B5" w:rsidRDefault="00063F0C">
      <w:pPr>
        <w:pStyle w:val="TOC2"/>
        <w:rPr>
          <w:rFonts w:asciiTheme="minorHAnsi" w:eastAsiaTheme="minorEastAsia" w:hAnsiTheme="minorHAnsi" w:cstheme="minorBidi"/>
          <w:color w:val="auto"/>
          <w:sz w:val="22"/>
          <w:szCs w:val="22"/>
        </w:rPr>
      </w:pPr>
      <w:hyperlink w:anchor="_Toc52192288" w:history="1">
        <w:r w:rsidR="00E420B5" w:rsidRPr="005A3DDB">
          <w:rPr>
            <w:rStyle w:val="Hyperlink"/>
          </w:rPr>
          <w:t>1.2.</w:t>
        </w:r>
        <w:r w:rsidR="00E420B5">
          <w:rPr>
            <w:rFonts w:asciiTheme="minorHAnsi" w:eastAsiaTheme="minorEastAsia" w:hAnsiTheme="minorHAnsi" w:cstheme="minorBidi"/>
            <w:color w:val="auto"/>
            <w:sz w:val="22"/>
            <w:szCs w:val="22"/>
          </w:rPr>
          <w:tab/>
        </w:r>
        <w:r w:rsidR="00E420B5" w:rsidRPr="005A3DDB">
          <w:rPr>
            <w:rStyle w:val="Hyperlink"/>
          </w:rPr>
          <w:t>Study Design</w:t>
        </w:r>
        <w:r w:rsidR="00E420B5">
          <w:rPr>
            <w:webHidden/>
          </w:rPr>
          <w:tab/>
        </w:r>
        <w:r w:rsidR="00E420B5">
          <w:rPr>
            <w:webHidden/>
          </w:rPr>
          <w:fldChar w:fldCharType="begin"/>
        </w:r>
        <w:r w:rsidR="00E420B5">
          <w:rPr>
            <w:webHidden/>
          </w:rPr>
          <w:instrText xml:space="preserve"> PAGEREF _Toc52192288 \h </w:instrText>
        </w:r>
        <w:r w:rsidR="00E420B5">
          <w:rPr>
            <w:webHidden/>
          </w:rPr>
        </w:r>
        <w:r w:rsidR="00E420B5">
          <w:rPr>
            <w:webHidden/>
          </w:rPr>
          <w:fldChar w:fldCharType="separate"/>
        </w:r>
        <w:r w:rsidR="004652FB">
          <w:rPr>
            <w:webHidden/>
          </w:rPr>
          <w:t>8</w:t>
        </w:r>
        <w:r w:rsidR="00E420B5">
          <w:rPr>
            <w:webHidden/>
          </w:rPr>
          <w:fldChar w:fldCharType="end"/>
        </w:r>
      </w:hyperlink>
    </w:p>
    <w:p w14:paraId="01AC9F87" w14:textId="58AE3A45" w:rsidR="00E420B5" w:rsidRDefault="00063F0C">
      <w:pPr>
        <w:pStyle w:val="TOC1"/>
        <w:rPr>
          <w:rFonts w:asciiTheme="minorHAnsi" w:eastAsiaTheme="minorEastAsia" w:hAnsiTheme="minorHAnsi" w:cstheme="minorBidi"/>
          <w:b w:val="0"/>
          <w:color w:val="auto"/>
          <w:sz w:val="22"/>
          <w:szCs w:val="22"/>
        </w:rPr>
      </w:pPr>
      <w:hyperlink w:anchor="_Toc52192289" w:history="1">
        <w:r w:rsidR="00E420B5" w:rsidRPr="005A3DDB">
          <w:rPr>
            <w:rStyle w:val="Hyperlink"/>
          </w:rPr>
          <w:t>2.</w:t>
        </w:r>
        <w:r w:rsidR="00E420B5">
          <w:rPr>
            <w:rFonts w:asciiTheme="minorHAnsi" w:eastAsiaTheme="minorEastAsia" w:hAnsiTheme="minorHAnsi" w:cstheme="minorBidi"/>
            <w:b w:val="0"/>
            <w:color w:val="auto"/>
            <w:sz w:val="22"/>
            <w:szCs w:val="22"/>
          </w:rPr>
          <w:tab/>
        </w:r>
        <w:r w:rsidR="00E420B5" w:rsidRPr="005A3DDB">
          <w:rPr>
            <w:rStyle w:val="Hyperlink"/>
          </w:rPr>
          <w:t>Statistical Hypotheses</w:t>
        </w:r>
        <w:r w:rsidR="00E420B5">
          <w:rPr>
            <w:webHidden/>
          </w:rPr>
          <w:tab/>
        </w:r>
        <w:r w:rsidR="00E420B5">
          <w:rPr>
            <w:webHidden/>
          </w:rPr>
          <w:fldChar w:fldCharType="begin"/>
        </w:r>
        <w:r w:rsidR="00E420B5">
          <w:rPr>
            <w:webHidden/>
          </w:rPr>
          <w:instrText xml:space="preserve"> PAGEREF _Toc52192289 \h </w:instrText>
        </w:r>
        <w:r w:rsidR="00E420B5">
          <w:rPr>
            <w:webHidden/>
          </w:rPr>
        </w:r>
        <w:r w:rsidR="00E420B5">
          <w:rPr>
            <w:webHidden/>
          </w:rPr>
          <w:fldChar w:fldCharType="separate"/>
        </w:r>
        <w:r w:rsidR="004652FB">
          <w:rPr>
            <w:webHidden/>
          </w:rPr>
          <w:t>11</w:t>
        </w:r>
        <w:r w:rsidR="00E420B5">
          <w:rPr>
            <w:webHidden/>
          </w:rPr>
          <w:fldChar w:fldCharType="end"/>
        </w:r>
      </w:hyperlink>
    </w:p>
    <w:p w14:paraId="5670A202" w14:textId="6577E89A" w:rsidR="00E420B5" w:rsidRDefault="00063F0C">
      <w:pPr>
        <w:pStyle w:val="TOC2"/>
        <w:rPr>
          <w:rFonts w:asciiTheme="minorHAnsi" w:eastAsiaTheme="minorEastAsia" w:hAnsiTheme="minorHAnsi" w:cstheme="minorBidi"/>
          <w:color w:val="auto"/>
          <w:sz w:val="22"/>
          <w:szCs w:val="22"/>
        </w:rPr>
      </w:pPr>
      <w:hyperlink w:anchor="_Toc52192290" w:history="1">
        <w:r w:rsidR="00E420B5" w:rsidRPr="005A3DDB">
          <w:rPr>
            <w:rStyle w:val="Hyperlink"/>
          </w:rPr>
          <w:t>2.1.</w:t>
        </w:r>
        <w:r w:rsidR="00E420B5">
          <w:rPr>
            <w:rFonts w:asciiTheme="minorHAnsi" w:eastAsiaTheme="minorEastAsia" w:hAnsiTheme="minorHAnsi" w:cstheme="minorBidi"/>
            <w:color w:val="auto"/>
            <w:sz w:val="22"/>
            <w:szCs w:val="22"/>
          </w:rPr>
          <w:tab/>
        </w:r>
        <w:r w:rsidR="00E420B5" w:rsidRPr="005A3DDB">
          <w:rPr>
            <w:rStyle w:val="Hyperlink"/>
          </w:rPr>
          <w:t>Multiplicity Adjustment</w:t>
        </w:r>
        <w:r w:rsidR="00E420B5">
          <w:rPr>
            <w:webHidden/>
          </w:rPr>
          <w:tab/>
        </w:r>
        <w:r w:rsidR="00E420B5">
          <w:rPr>
            <w:webHidden/>
          </w:rPr>
          <w:fldChar w:fldCharType="begin"/>
        </w:r>
        <w:r w:rsidR="00E420B5">
          <w:rPr>
            <w:webHidden/>
          </w:rPr>
          <w:instrText xml:space="preserve"> PAGEREF _Toc52192290 \h </w:instrText>
        </w:r>
        <w:r w:rsidR="00E420B5">
          <w:rPr>
            <w:webHidden/>
          </w:rPr>
        </w:r>
        <w:r w:rsidR="00E420B5">
          <w:rPr>
            <w:webHidden/>
          </w:rPr>
          <w:fldChar w:fldCharType="separate"/>
        </w:r>
        <w:r w:rsidR="004652FB">
          <w:rPr>
            <w:webHidden/>
          </w:rPr>
          <w:t>11</w:t>
        </w:r>
        <w:r w:rsidR="00E420B5">
          <w:rPr>
            <w:webHidden/>
          </w:rPr>
          <w:fldChar w:fldCharType="end"/>
        </w:r>
      </w:hyperlink>
    </w:p>
    <w:p w14:paraId="3A0407C3" w14:textId="6FB4A359" w:rsidR="00E420B5" w:rsidRDefault="00063F0C">
      <w:pPr>
        <w:pStyle w:val="TOC1"/>
        <w:rPr>
          <w:rFonts w:asciiTheme="minorHAnsi" w:eastAsiaTheme="minorEastAsia" w:hAnsiTheme="minorHAnsi" w:cstheme="minorBidi"/>
          <w:b w:val="0"/>
          <w:color w:val="auto"/>
          <w:sz w:val="22"/>
          <w:szCs w:val="22"/>
        </w:rPr>
      </w:pPr>
      <w:hyperlink w:anchor="_Toc52192291" w:history="1">
        <w:r w:rsidR="00E420B5" w:rsidRPr="005A3DDB">
          <w:rPr>
            <w:rStyle w:val="Hyperlink"/>
          </w:rPr>
          <w:t>3.</w:t>
        </w:r>
        <w:r w:rsidR="00E420B5">
          <w:rPr>
            <w:rFonts w:asciiTheme="minorHAnsi" w:eastAsiaTheme="minorEastAsia" w:hAnsiTheme="minorHAnsi" w:cstheme="minorBidi"/>
            <w:b w:val="0"/>
            <w:color w:val="auto"/>
            <w:sz w:val="22"/>
            <w:szCs w:val="22"/>
          </w:rPr>
          <w:tab/>
        </w:r>
        <w:r w:rsidR="00E420B5" w:rsidRPr="005A3DDB">
          <w:rPr>
            <w:rStyle w:val="Hyperlink"/>
          </w:rPr>
          <w:t>Analysis Sets</w:t>
        </w:r>
        <w:r w:rsidR="00E420B5">
          <w:rPr>
            <w:webHidden/>
          </w:rPr>
          <w:tab/>
        </w:r>
        <w:r w:rsidR="00E420B5">
          <w:rPr>
            <w:webHidden/>
          </w:rPr>
          <w:fldChar w:fldCharType="begin"/>
        </w:r>
        <w:r w:rsidR="00E420B5">
          <w:rPr>
            <w:webHidden/>
          </w:rPr>
          <w:instrText xml:space="preserve"> PAGEREF _Toc52192291 \h </w:instrText>
        </w:r>
        <w:r w:rsidR="00E420B5">
          <w:rPr>
            <w:webHidden/>
          </w:rPr>
        </w:r>
        <w:r w:rsidR="00E420B5">
          <w:rPr>
            <w:webHidden/>
          </w:rPr>
          <w:fldChar w:fldCharType="separate"/>
        </w:r>
        <w:r w:rsidR="004652FB">
          <w:rPr>
            <w:webHidden/>
          </w:rPr>
          <w:t>13</w:t>
        </w:r>
        <w:r w:rsidR="00E420B5">
          <w:rPr>
            <w:webHidden/>
          </w:rPr>
          <w:fldChar w:fldCharType="end"/>
        </w:r>
      </w:hyperlink>
    </w:p>
    <w:p w14:paraId="47AA96EF" w14:textId="65D3FE7D" w:rsidR="00E420B5" w:rsidRDefault="00063F0C">
      <w:pPr>
        <w:pStyle w:val="TOC1"/>
        <w:rPr>
          <w:rFonts w:asciiTheme="minorHAnsi" w:eastAsiaTheme="minorEastAsia" w:hAnsiTheme="minorHAnsi" w:cstheme="minorBidi"/>
          <w:b w:val="0"/>
          <w:color w:val="auto"/>
          <w:sz w:val="22"/>
          <w:szCs w:val="22"/>
        </w:rPr>
      </w:pPr>
      <w:hyperlink w:anchor="_Toc52192292" w:history="1">
        <w:r w:rsidR="00E420B5" w:rsidRPr="005A3DDB">
          <w:rPr>
            <w:rStyle w:val="Hyperlink"/>
          </w:rPr>
          <w:t>4.</w:t>
        </w:r>
        <w:r w:rsidR="00E420B5">
          <w:rPr>
            <w:rFonts w:asciiTheme="minorHAnsi" w:eastAsiaTheme="minorEastAsia" w:hAnsiTheme="minorHAnsi" w:cstheme="minorBidi"/>
            <w:b w:val="0"/>
            <w:color w:val="auto"/>
            <w:sz w:val="22"/>
            <w:szCs w:val="22"/>
          </w:rPr>
          <w:tab/>
        </w:r>
        <w:r w:rsidR="00E420B5" w:rsidRPr="005A3DDB">
          <w:rPr>
            <w:rStyle w:val="Hyperlink"/>
          </w:rPr>
          <w:t>Statistical Analyses</w:t>
        </w:r>
        <w:r w:rsidR="00E420B5">
          <w:rPr>
            <w:webHidden/>
          </w:rPr>
          <w:tab/>
        </w:r>
        <w:r w:rsidR="00E420B5">
          <w:rPr>
            <w:webHidden/>
          </w:rPr>
          <w:fldChar w:fldCharType="begin"/>
        </w:r>
        <w:r w:rsidR="00E420B5">
          <w:rPr>
            <w:webHidden/>
          </w:rPr>
          <w:instrText xml:space="preserve"> PAGEREF _Toc52192292 \h </w:instrText>
        </w:r>
        <w:r w:rsidR="00E420B5">
          <w:rPr>
            <w:webHidden/>
          </w:rPr>
        </w:r>
        <w:r w:rsidR="00E420B5">
          <w:rPr>
            <w:webHidden/>
          </w:rPr>
          <w:fldChar w:fldCharType="separate"/>
        </w:r>
        <w:r w:rsidR="004652FB">
          <w:rPr>
            <w:webHidden/>
          </w:rPr>
          <w:t>16</w:t>
        </w:r>
        <w:r w:rsidR="00E420B5">
          <w:rPr>
            <w:webHidden/>
          </w:rPr>
          <w:fldChar w:fldCharType="end"/>
        </w:r>
      </w:hyperlink>
    </w:p>
    <w:p w14:paraId="766D3985" w14:textId="3445B21D" w:rsidR="00E420B5" w:rsidRDefault="00063F0C">
      <w:pPr>
        <w:pStyle w:val="TOC2"/>
        <w:rPr>
          <w:rFonts w:asciiTheme="minorHAnsi" w:eastAsiaTheme="minorEastAsia" w:hAnsiTheme="minorHAnsi" w:cstheme="minorBidi"/>
          <w:color w:val="auto"/>
          <w:sz w:val="22"/>
          <w:szCs w:val="22"/>
        </w:rPr>
      </w:pPr>
      <w:hyperlink w:anchor="_Toc52192293" w:history="1">
        <w:r w:rsidR="00E420B5" w:rsidRPr="005A3DDB">
          <w:rPr>
            <w:rStyle w:val="Hyperlink"/>
          </w:rPr>
          <w:t>4.1.</w:t>
        </w:r>
        <w:r w:rsidR="00E420B5">
          <w:rPr>
            <w:rFonts w:asciiTheme="minorHAnsi" w:eastAsiaTheme="minorEastAsia" w:hAnsiTheme="minorHAnsi" w:cstheme="minorBidi"/>
            <w:color w:val="auto"/>
            <w:sz w:val="22"/>
            <w:szCs w:val="22"/>
          </w:rPr>
          <w:tab/>
        </w:r>
        <w:r w:rsidR="00E420B5" w:rsidRPr="005A3DDB">
          <w:rPr>
            <w:rStyle w:val="Hyperlink"/>
          </w:rPr>
          <w:t>General Considerations</w:t>
        </w:r>
        <w:r w:rsidR="00E420B5">
          <w:rPr>
            <w:webHidden/>
          </w:rPr>
          <w:tab/>
        </w:r>
        <w:r w:rsidR="00E420B5">
          <w:rPr>
            <w:webHidden/>
          </w:rPr>
          <w:fldChar w:fldCharType="begin"/>
        </w:r>
        <w:r w:rsidR="00E420B5">
          <w:rPr>
            <w:webHidden/>
          </w:rPr>
          <w:instrText xml:space="preserve"> PAGEREF _Toc52192293 \h </w:instrText>
        </w:r>
        <w:r w:rsidR="00E420B5">
          <w:rPr>
            <w:webHidden/>
          </w:rPr>
        </w:r>
        <w:r w:rsidR="00E420B5">
          <w:rPr>
            <w:webHidden/>
          </w:rPr>
          <w:fldChar w:fldCharType="separate"/>
        </w:r>
        <w:r w:rsidR="004652FB">
          <w:rPr>
            <w:webHidden/>
          </w:rPr>
          <w:t>16</w:t>
        </w:r>
        <w:r w:rsidR="00E420B5">
          <w:rPr>
            <w:webHidden/>
          </w:rPr>
          <w:fldChar w:fldCharType="end"/>
        </w:r>
      </w:hyperlink>
    </w:p>
    <w:p w14:paraId="57449655" w14:textId="10C04F43" w:rsidR="00E420B5" w:rsidRDefault="00063F0C">
      <w:pPr>
        <w:pStyle w:val="TOC2"/>
        <w:rPr>
          <w:rFonts w:asciiTheme="minorHAnsi" w:eastAsiaTheme="minorEastAsia" w:hAnsiTheme="minorHAnsi" w:cstheme="minorBidi"/>
          <w:color w:val="auto"/>
          <w:sz w:val="22"/>
          <w:szCs w:val="22"/>
        </w:rPr>
      </w:pPr>
      <w:hyperlink w:anchor="_Toc52192294" w:history="1">
        <w:r w:rsidR="00E420B5" w:rsidRPr="005A3DDB">
          <w:rPr>
            <w:rStyle w:val="Hyperlink"/>
          </w:rPr>
          <w:t>4.2.</w:t>
        </w:r>
        <w:r w:rsidR="00E420B5">
          <w:rPr>
            <w:rFonts w:asciiTheme="minorHAnsi" w:eastAsiaTheme="minorEastAsia" w:hAnsiTheme="minorHAnsi" w:cstheme="minorBidi"/>
            <w:color w:val="auto"/>
            <w:sz w:val="22"/>
            <w:szCs w:val="22"/>
          </w:rPr>
          <w:tab/>
        </w:r>
        <w:r w:rsidR="00E420B5" w:rsidRPr="005A3DDB">
          <w:rPr>
            <w:rStyle w:val="Hyperlink"/>
          </w:rPr>
          <w:t>Primary [Endpoint(s)/Estimand(s)] Analysis</w:t>
        </w:r>
        <w:r w:rsidR="00E420B5">
          <w:rPr>
            <w:webHidden/>
          </w:rPr>
          <w:tab/>
        </w:r>
        <w:r w:rsidR="00E420B5">
          <w:rPr>
            <w:webHidden/>
          </w:rPr>
          <w:fldChar w:fldCharType="begin"/>
        </w:r>
        <w:r w:rsidR="00E420B5">
          <w:rPr>
            <w:webHidden/>
          </w:rPr>
          <w:instrText xml:space="preserve"> PAGEREF _Toc52192294 \h </w:instrText>
        </w:r>
        <w:r w:rsidR="00E420B5">
          <w:rPr>
            <w:webHidden/>
          </w:rPr>
        </w:r>
        <w:r w:rsidR="00E420B5">
          <w:rPr>
            <w:webHidden/>
          </w:rPr>
          <w:fldChar w:fldCharType="separate"/>
        </w:r>
        <w:r w:rsidR="004652FB">
          <w:rPr>
            <w:webHidden/>
          </w:rPr>
          <w:t>17</w:t>
        </w:r>
        <w:r w:rsidR="00E420B5">
          <w:rPr>
            <w:webHidden/>
          </w:rPr>
          <w:fldChar w:fldCharType="end"/>
        </w:r>
      </w:hyperlink>
    </w:p>
    <w:p w14:paraId="7D480DD2" w14:textId="09F6A6F7" w:rsidR="00E420B5" w:rsidRDefault="00063F0C">
      <w:pPr>
        <w:pStyle w:val="TOC3"/>
        <w:rPr>
          <w:rFonts w:asciiTheme="minorHAnsi" w:eastAsiaTheme="minorEastAsia" w:hAnsiTheme="minorHAnsi" w:cstheme="minorBidi"/>
          <w:color w:val="auto"/>
          <w:sz w:val="22"/>
          <w:szCs w:val="22"/>
        </w:rPr>
      </w:pPr>
      <w:hyperlink w:anchor="_Toc52192295" w:history="1">
        <w:r w:rsidR="00E420B5" w:rsidRPr="005A3DDB">
          <w:rPr>
            <w:rStyle w:val="Hyperlink"/>
          </w:rPr>
          <w:t>4.2.1.</w:t>
        </w:r>
        <w:r w:rsidR="00E420B5">
          <w:rPr>
            <w:rFonts w:asciiTheme="minorHAnsi" w:eastAsiaTheme="minorEastAsia" w:hAnsiTheme="minorHAnsi" w:cstheme="minorBidi"/>
            <w:color w:val="auto"/>
            <w:sz w:val="22"/>
            <w:szCs w:val="22"/>
          </w:rPr>
          <w:tab/>
        </w:r>
        <w:r w:rsidR="00E420B5" w:rsidRPr="005A3DDB">
          <w:rPr>
            <w:rStyle w:val="Hyperlink"/>
          </w:rPr>
          <w:t>Definition of Endpoint(s)</w:t>
        </w:r>
        <w:r w:rsidR="00E420B5">
          <w:rPr>
            <w:webHidden/>
          </w:rPr>
          <w:tab/>
        </w:r>
        <w:r w:rsidR="00E420B5">
          <w:rPr>
            <w:webHidden/>
          </w:rPr>
          <w:fldChar w:fldCharType="begin"/>
        </w:r>
        <w:r w:rsidR="00E420B5">
          <w:rPr>
            <w:webHidden/>
          </w:rPr>
          <w:instrText xml:space="preserve"> PAGEREF _Toc52192295 \h </w:instrText>
        </w:r>
        <w:r w:rsidR="00E420B5">
          <w:rPr>
            <w:webHidden/>
          </w:rPr>
        </w:r>
        <w:r w:rsidR="00E420B5">
          <w:rPr>
            <w:webHidden/>
          </w:rPr>
          <w:fldChar w:fldCharType="separate"/>
        </w:r>
        <w:r w:rsidR="004652FB">
          <w:rPr>
            <w:webHidden/>
          </w:rPr>
          <w:t>17</w:t>
        </w:r>
        <w:r w:rsidR="00E420B5">
          <w:rPr>
            <w:webHidden/>
          </w:rPr>
          <w:fldChar w:fldCharType="end"/>
        </w:r>
      </w:hyperlink>
    </w:p>
    <w:p w14:paraId="5047346A" w14:textId="4F5DFC5C" w:rsidR="00E420B5" w:rsidRDefault="00063F0C">
      <w:pPr>
        <w:pStyle w:val="TOC3"/>
        <w:rPr>
          <w:rFonts w:asciiTheme="minorHAnsi" w:eastAsiaTheme="minorEastAsia" w:hAnsiTheme="minorHAnsi" w:cstheme="minorBidi"/>
          <w:color w:val="auto"/>
          <w:sz w:val="22"/>
          <w:szCs w:val="22"/>
        </w:rPr>
      </w:pPr>
      <w:hyperlink w:anchor="_Toc52192296" w:history="1">
        <w:r w:rsidR="00E420B5" w:rsidRPr="005A3DDB">
          <w:rPr>
            <w:rStyle w:val="Hyperlink"/>
          </w:rPr>
          <w:t>4.2.2.</w:t>
        </w:r>
        <w:r w:rsidR="00E420B5">
          <w:rPr>
            <w:rFonts w:asciiTheme="minorHAnsi" w:eastAsiaTheme="minorEastAsia" w:hAnsiTheme="minorHAnsi" w:cstheme="minorBidi"/>
            <w:color w:val="auto"/>
            <w:sz w:val="22"/>
            <w:szCs w:val="22"/>
          </w:rPr>
          <w:tab/>
        </w:r>
        <w:r w:rsidR="00E420B5" w:rsidRPr="005A3DDB">
          <w:rPr>
            <w:rStyle w:val="Hyperlink"/>
          </w:rPr>
          <w:t>Main Analytical Approach</w:t>
        </w:r>
        <w:r w:rsidR="00E420B5">
          <w:rPr>
            <w:webHidden/>
          </w:rPr>
          <w:tab/>
        </w:r>
        <w:r w:rsidR="00E420B5">
          <w:rPr>
            <w:webHidden/>
          </w:rPr>
          <w:fldChar w:fldCharType="begin"/>
        </w:r>
        <w:r w:rsidR="00E420B5">
          <w:rPr>
            <w:webHidden/>
          </w:rPr>
          <w:instrText xml:space="preserve"> PAGEREF _Toc52192296 \h </w:instrText>
        </w:r>
        <w:r w:rsidR="00E420B5">
          <w:rPr>
            <w:webHidden/>
          </w:rPr>
        </w:r>
        <w:r w:rsidR="00E420B5">
          <w:rPr>
            <w:webHidden/>
          </w:rPr>
          <w:fldChar w:fldCharType="separate"/>
        </w:r>
        <w:r w:rsidR="004652FB">
          <w:rPr>
            <w:webHidden/>
          </w:rPr>
          <w:t>18</w:t>
        </w:r>
        <w:r w:rsidR="00E420B5">
          <w:rPr>
            <w:webHidden/>
          </w:rPr>
          <w:fldChar w:fldCharType="end"/>
        </w:r>
      </w:hyperlink>
    </w:p>
    <w:p w14:paraId="56B29B8D" w14:textId="4926E1CF" w:rsidR="00E420B5" w:rsidRDefault="00063F0C">
      <w:pPr>
        <w:pStyle w:val="TOC3"/>
        <w:rPr>
          <w:rFonts w:asciiTheme="minorHAnsi" w:eastAsiaTheme="minorEastAsia" w:hAnsiTheme="minorHAnsi" w:cstheme="minorBidi"/>
          <w:color w:val="auto"/>
          <w:sz w:val="22"/>
          <w:szCs w:val="22"/>
        </w:rPr>
      </w:pPr>
      <w:hyperlink w:anchor="_Toc52192297" w:history="1">
        <w:r w:rsidR="00E420B5" w:rsidRPr="005A3DDB">
          <w:rPr>
            <w:rStyle w:val="Hyperlink"/>
          </w:rPr>
          <w:t>4.2.3.</w:t>
        </w:r>
        <w:r w:rsidR="00E420B5">
          <w:rPr>
            <w:rFonts w:asciiTheme="minorHAnsi" w:eastAsiaTheme="minorEastAsia" w:hAnsiTheme="minorHAnsi" w:cstheme="minorBidi"/>
            <w:color w:val="auto"/>
            <w:sz w:val="22"/>
            <w:szCs w:val="22"/>
          </w:rPr>
          <w:tab/>
        </w:r>
        <w:r w:rsidR="00E420B5" w:rsidRPr="005A3DDB">
          <w:rPr>
            <w:rStyle w:val="Hyperlink"/>
          </w:rPr>
          <w:t>Sensitivity [Analysis/Analyses]</w:t>
        </w:r>
        <w:r w:rsidR="00E420B5">
          <w:rPr>
            <w:webHidden/>
          </w:rPr>
          <w:tab/>
        </w:r>
        <w:r w:rsidR="00E420B5">
          <w:rPr>
            <w:webHidden/>
          </w:rPr>
          <w:fldChar w:fldCharType="begin"/>
        </w:r>
        <w:r w:rsidR="00E420B5">
          <w:rPr>
            <w:webHidden/>
          </w:rPr>
          <w:instrText xml:space="preserve"> PAGEREF _Toc52192297 \h </w:instrText>
        </w:r>
        <w:r w:rsidR="00E420B5">
          <w:rPr>
            <w:webHidden/>
          </w:rPr>
        </w:r>
        <w:r w:rsidR="00E420B5">
          <w:rPr>
            <w:webHidden/>
          </w:rPr>
          <w:fldChar w:fldCharType="separate"/>
        </w:r>
        <w:r w:rsidR="004652FB">
          <w:rPr>
            <w:webHidden/>
          </w:rPr>
          <w:t>19</w:t>
        </w:r>
        <w:r w:rsidR="00E420B5">
          <w:rPr>
            <w:webHidden/>
          </w:rPr>
          <w:fldChar w:fldCharType="end"/>
        </w:r>
      </w:hyperlink>
    </w:p>
    <w:p w14:paraId="1D065048" w14:textId="2F2F2150" w:rsidR="00E420B5" w:rsidRDefault="00063F0C">
      <w:pPr>
        <w:pStyle w:val="TOC3"/>
        <w:rPr>
          <w:rFonts w:asciiTheme="minorHAnsi" w:eastAsiaTheme="minorEastAsia" w:hAnsiTheme="minorHAnsi" w:cstheme="minorBidi"/>
          <w:color w:val="auto"/>
          <w:sz w:val="22"/>
          <w:szCs w:val="22"/>
        </w:rPr>
      </w:pPr>
      <w:hyperlink w:anchor="_Toc52192298" w:history="1">
        <w:r w:rsidR="00E420B5" w:rsidRPr="005A3DDB">
          <w:rPr>
            <w:rStyle w:val="Hyperlink"/>
          </w:rPr>
          <w:t>4.2.4.</w:t>
        </w:r>
        <w:r w:rsidR="00E420B5">
          <w:rPr>
            <w:rFonts w:asciiTheme="minorHAnsi" w:eastAsiaTheme="minorEastAsia" w:hAnsiTheme="minorHAnsi" w:cstheme="minorBidi"/>
            <w:color w:val="auto"/>
            <w:sz w:val="22"/>
            <w:szCs w:val="22"/>
          </w:rPr>
          <w:tab/>
        </w:r>
        <w:r w:rsidR="00E420B5" w:rsidRPr="005A3DDB">
          <w:rPr>
            <w:rStyle w:val="Hyperlink"/>
          </w:rPr>
          <w:t>Supplementary Analyses</w:t>
        </w:r>
        <w:r w:rsidR="00E420B5">
          <w:rPr>
            <w:webHidden/>
          </w:rPr>
          <w:tab/>
        </w:r>
        <w:r w:rsidR="00E420B5">
          <w:rPr>
            <w:webHidden/>
          </w:rPr>
          <w:fldChar w:fldCharType="begin"/>
        </w:r>
        <w:r w:rsidR="00E420B5">
          <w:rPr>
            <w:webHidden/>
          </w:rPr>
          <w:instrText xml:space="preserve"> PAGEREF _Toc52192298 \h </w:instrText>
        </w:r>
        <w:r w:rsidR="00E420B5">
          <w:rPr>
            <w:webHidden/>
          </w:rPr>
        </w:r>
        <w:r w:rsidR="00E420B5">
          <w:rPr>
            <w:webHidden/>
          </w:rPr>
          <w:fldChar w:fldCharType="separate"/>
        </w:r>
        <w:r w:rsidR="004652FB">
          <w:rPr>
            <w:webHidden/>
          </w:rPr>
          <w:t>19</w:t>
        </w:r>
        <w:r w:rsidR="00E420B5">
          <w:rPr>
            <w:webHidden/>
          </w:rPr>
          <w:fldChar w:fldCharType="end"/>
        </w:r>
      </w:hyperlink>
    </w:p>
    <w:p w14:paraId="1642AEC1" w14:textId="5A8ABE0F" w:rsidR="00E420B5" w:rsidRDefault="00063F0C">
      <w:pPr>
        <w:pStyle w:val="TOC2"/>
        <w:rPr>
          <w:rFonts w:asciiTheme="minorHAnsi" w:eastAsiaTheme="minorEastAsia" w:hAnsiTheme="minorHAnsi" w:cstheme="minorBidi"/>
          <w:color w:val="auto"/>
          <w:sz w:val="22"/>
          <w:szCs w:val="22"/>
        </w:rPr>
      </w:pPr>
      <w:hyperlink w:anchor="_Toc52192299" w:history="1">
        <w:r w:rsidR="00E420B5" w:rsidRPr="005A3DDB">
          <w:rPr>
            <w:rStyle w:val="Hyperlink"/>
          </w:rPr>
          <w:t>4.3.</w:t>
        </w:r>
        <w:r w:rsidR="00E420B5">
          <w:rPr>
            <w:rFonts w:asciiTheme="minorHAnsi" w:eastAsiaTheme="minorEastAsia" w:hAnsiTheme="minorHAnsi" w:cstheme="minorBidi"/>
            <w:color w:val="auto"/>
            <w:sz w:val="22"/>
            <w:szCs w:val="22"/>
          </w:rPr>
          <w:tab/>
        </w:r>
        <w:r w:rsidR="00E420B5" w:rsidRPr="005A3DDB">
          <w:rPr>
            <w:rStyle w:val="Hyperlink"/>
          </w:rPr>
          <w:t>Secondary [Endpoint(s)/Estimand(s)] Analysis</w:t>
        </w:r>
        <w:r w:rsidR="00E420B5">
          <w:rPr>
            <w:webHidden/>
          </w:rPr>
          <w:tab/>
        </w:r>
        <w:r w:rsidR="00E420B5">
          <w:rPr>
            <w:webHidden/>
          </w:rPr>
          <w:fldChar w:fldCharType="begin"/>
        </w:r>
        <w:r w:rsidR="00E420B5">
          <w:rPr>
            <w:webHidden/>
          </w:rPr>
          <w:instrText xml:space="preserve"> PAGEREF _Toc52192299 \h </w:instrText>
        </w:r>
        <w:r w:rsidR="00E420B5">
          <w:rPr>
            <w:webHidden/>
          </w:rPr>
        </w:r>
        <w:r w:rsidR="00E420B5">
          <w:rPr>
            <w:webHidden/>
          </w:rPr>
          <w:fldChar w:fldCharType="separate"/>
        </w:r>
        <w:r w:rsidR="004652FB">
          <w:rPr>
            <w:webHidden/>
          </w:rPr>
          <w:t>20</w:t>
        </w:r>
        <w:r w:rsidR="00E420B5">
          <w:rPr>
            <w:webHidden/>
          </w:rPr>
          <w:fldChar w:fldCharType="end"/>
        </w:r>
      </w:hyperlink>
    </w:p>
    <w:p w14:paraId="1736D85D" w14:textId="1C95FFFE" w:rsidR="00E420B5" w:rsidRDefault="00063F0C">
      <w:pPr>
        <w:pStyle w:val="TOC3"/>
        <w:rPr>
          <w:rFonts w:asciiTheme="minorHAnsi" w:eastAsiaTheme="minorEastAsia" w:hAnsiTheme="minorHAnsi" w:cstheme="minorBidi"/>
          <w:color w:val="auto"/>
          <w:sz w:val="22"/>
          <w:szCs w:val="22"/>
        </w:rPr>
      </w:pPr>
      <w:hyperlink w:anchor="_Toc52192300" w:history="1">
        <w:r w:rsidR="00E420B5" w:rsidRPr="005A3DDB">
          <w:rPr>
            <w:rStyle w:val="Hyperlink"/>
          </w:rPr>
          <w:t>4.3.1.</w:t>
        </w:r>
        <w:r w:rsidR="00E420B5">
          <w:rPr>
            <w:rFonts w:asciiTheme="minorHAnsi" w:eastAsiaTheme="minorEastAsia" w:hAnsiTheme="minorHAnsi" w:cstheme="minorBidi"/>
            <w:color w:val="auto"/>
            <w:sz w:val="22"/>
            <w:szCs w:val="22"/>
          </w:rPr>
          <w:tab/>
        </w:r>
        <w:r w:rsidR="00E420B5" w:rsidRPr="005A3DDB">
          <w:rPr>
            <w:rStyle w:val="Hyperlink"/>
          </w:rPr>
          <w:t>[Key/Confirmatory] Secondary [Endpoint(s)/Estimand(s)]</w:t>
        </w:r>
        <w:r w:rsidR="00E420B5">
          <w:rPr>
            <w:webHidden/>
          </w:rPr>
          <w:tab/>
        </w:r>
        <w:r w:rsidR="00E420B5">
          <w:rPr>
            <w:webHidden/>
          </w:rPr>
          <w:fldChar w:fldCharType="begin"/>
        </w:r>
        <w:r w:rsidR="00E420B5">
          <w:rPr>
            <w:webHidden/>
          </w:rPr>
          <w:instrText xml:space="preserve"> PAGEREF _Toc52192300 \h </w:instrText>
        </w:r>
        <w:r w:rsidR="00E420B5">
          <w:rPr>
            <w:webHidden/>
          </w:rPr>
        </w:r>
        <w:r w:rsidR="00E420B5">
          <w:rPr>
            <w:webHidden/>
          </w:rPr>
          <w:fldChar w:fldCharType="separate"/>
        </w:r>
        <w:r w:rsidR="004652FB">
          <w:rPr>
            <w:webHidden/>
          </w:rPr>
          <w:t>20</w:t>
        </w:r>
        <w:r w:rsidR="00E420B5">
          <w:rPr>
            <w:webHidden/>
          </w:rPr>
          <w:fldChar w:fldCharType="end"/>
        </w:r>
      </w:hyperlink>
    </w:p>
    <w:p w14:paraId="2E172EBE" w14:textId="11B5B871" w:rsidR="00E420B5" w:rsidRDefault="00063F0C">
      <w:pPr>
        <w:pStyle w:val="TOC3"/>
        <w:rPr>
          <w:rFonts w:asciiTheme="minorHAnsi" w:eastAsiaTheme="minorEastAsia" w:hAnsiTheme="minorHAnsi" w:cstheme="minorBidi"/>
          <w:color w:val="auto"/>
          <w:sz w:val="22"/>
          <w:szCs w:val="22"/>
        </w:rPr>
      </w:pPr>
      <w:hyperlink w:anchor="_Toc52192301" w:history="1">
        <w:r w:rsidR="00E420B5" w:rsidRPr="005A3DDB">
          <w:rPr>
            <w:rStyle w:val="Hyperlink"/>
          </w:rPr>
          <w:t>4.3.2.</w:t>
        </w:r>
        <w:r w:rsidR="00E420B5">
          <w:rPr>
            <w:rFonts w:asciiTheme="minorHAnsi" w:eastAsiaTheme="minorEastAsia" w:hAnsiTheme="minorHAnsi" w:cstheme="minorBidi"/>
            <w:color w:val="auto"/>
            <w:sz w:val="22"/>
            <w:szCs w:val="22"/>
          </w:rPr>
          <w:tab/>
        </w:r>
        <w:r w:rsidR="00E420B5" w:rsidRPr="005A3DDB">
          <w:rPr>
            <w:rStyle w:val="Hyperlink"/>
          </w:rPr>
          <w:t>Supportive Secondary [Endpoint(s)/Estimand(s)]</w:t>
        </w:r>
        <w:r w:rsidR="00E420B5">
          <w:rPr>
            <w:webHidden/>
          </w:rPr>
          <w:tab/>
        </w:r>
        <w:r w:rsidR="00E420B5">
          <w:rPr>
            <w:webHidden/>
          </w:rPr>
          <w:fldChar w:fldCharType="begin"/>
        </w:r>
        <w:r w:rsidR="00E420B5">
          <w:rPr>
            <w:webHidden/>
          </w:rPr>
          <w:instrText xml:space="preserve"> PAGEREF _Toc52192301 \h </w:instrText>
        </w:r>
        <w:r w:rsidR="00E420B5">
          <w:rPr>
            <w:webHidden/>
          </w:rPr>
        </w:r>
        <w:r w:rsidR="00E420B5">
          <w:rPr>
            <w:webHidden/>
          </w:rPr>
          <w:fldChar w:fldCharType="separate"/>
        </w:r>
        <w:r w:rsidR="004652FB">
          <w:rPr>
            <w:webHidden/>
          </w:rPr>
          <w:t>22</w:t>
        </w:r>
        <w:r w:rsidR="00E420B5">
          <w:rPr>
            <w:webHidden/>
          </w:rPr>
          <w:fldChar w:fldCharType="end"/>
        </w:r>
      </w:hyperlink>
    </w:p>
    <w:p w14:paraId="4A690963" w14:textId="744672C9" w:rsidR="00E420B5" w:rsidRDefault="00063F0C">
      <w:pPr>
        <w:pStyle w:val="TOC2"/>
        <w:rPr>
          <w:rFonts w:asciiTheme="minorHAnsi" w:eastAsiaTheme="minorEastAsia" w:hAnsiTheme="minorHAnsi" w:cstheme="minorBidi"/>
          <w:color w:val="auto"/>
          <w:sz w:val="22"/>
          <w:szCs w:val="22"/>
        </w:rPr>
      </w:pPr>
      <w:hyperlink w:anchor="_Toc52192302" w:history="1">
        <w:r w:rsidR="00E420B5" w:rsidRPr="005A3DDB">
          <w:rPr>
            <w:rStyle w:val="Hyperlink"/>
          </w:rPr>
          <w:t>4.4.</w:t>
        </w:r>
        <w:r w:rsidR="00E420B5">
          <w:rPr>
            <w:rFonts w:asciiTheme="minorHAnsi" w:eastAsiaTheme="minorEastAsia" w:hAnsiTheme="minorHAnsi" w:cstheme="minorBidi"/>
            <w:color w:val="auto"/>
            <w:sz w:val="22"/>
            <w:szCs w:val="22"/>
          </w:rPr>
          <w:tab/>
        </w:r>
        <w:r w:rsidR="00E420B5" w:rsidRPr="005A3DDB">
          <w:rPr>
            <w:rStyle w:val="Hyperlink"/>
          </w:rPr>
          <w:t>[Tertiary/Exploratory/Other] [Endpoint(s)/Estimand(s)] Analysis</w:t>
        </w:r>
        <w:r w:rsidR="00E420B5">
          <w:rPr>
            <w:webHidden/>
          </w:rPr>
          <w:tab/>
        </w:r>
        <w:r w:rsidR="00E420B5">
          <w:rPr>
            <w:webHidden/>
          </w:rPr>
          <w:fldChar w:fldCharType="begin"/>
        </w:r>
        <w:r w:rsidR="00E420B5">
          <w:rPr>
            <w:webHidden/>
          </w:rPr>
          <w:instrText xml:space="preserve"> PAGEREF _Toc52192302 \h </w:instrText>
        </w:r>
        <w:r w:rsidR="00E420B5">
          <w:rPr>
            <w:webHidden/>
          </w:rPr>
        </w:r>
        <w:r w:rsidR="00E420B5">
          <w:rPr>
            <w:webHidden/>
          </w:rPr>
          <w:fldChar w:fldCharType="separate"/>
        </w:r>
        <w:r w:rsidR="004652FB">
          <w:rPr>
            <w:webHidden/>
          </w:rPr>
          <w:t>22</w:t>
        </w:r>
        <w:r w:rsidR="00E420B5">
          <w:rPr>
            <w:webHidden/>
          </w:rPr>
          <w:fldChar w:fldCharType="end"/>
        </w:r>
      </w:hyperlink>
    </w:p>
    <w:p w14:paraId="3A99F70D" w14:textId="2C6ECCD7" w:rsidR="00E420B5" w:rsidRDefault="00063F0C">
      <w:pPr>
        <w:pStyle w:val="TOC2"/>
        <w:rPr>
          <w:rFonts w:asciiTheme="minorHAnsi" w:eastAsiaTheme="minorEastAsia" w:hAnsiTheme="minorHAnsi" w:cstheme="minorBidi"/>
          <w:color w:val="auto"/>
          <w:sz w:val="22"/>
          <w:szCs w:val="22"/>
        </w:rPr>
      </w:pPr>
      <w:hyperlink w:anchor="_Toc52192303" w:history="1">
        <w:r w:rsidR="00E420B5" w:rsidRPr="005A3DDB">
          <w:rPr>
            <w:rStyle w:val="Hyperlink"/>
          </w:rPr>
          <w:t>4.5.</w:t>
        </w:r>
        <w:r w:rsidR="00E420B5">
          <w:rPr>
            <w:rFonts w:asciiTheme="minorHAnsi" w:eastAsiaTheme="minorEastAsia" w:hAnsiTheme="minorHAnsi" w:cstheme="minorBidi"/>
            <w:color w:val="auto"/>
            <w:sz w:val="22"/>
            <w:szCs w:val="22"/>
          </w:rPr>
          <w:tab/>
        </w:r>
        <w:r w:rsidR="00E420B5" w:rsidRPr="005A3DDB">
          <w:rPr>
            <w:rStyle w:val="Hyperlink"/>
          </w:rPr>
          <w:t>[Other] Safety Analyses</w:t>
        </w:r>
        <w:r w:rsidR="00E420B5">
          <w:rPr>
            <w:webHidden/>
          </w:rPr>
          <w:tab/>
        </w:r>
        <w:r w:rsidR="00E420B5">
          <w:rPr>
            <w:webHidden/>
          </w:rPr>
          <w:fldChar w:fldCharType="begin"/>
        </w:r>
        <w:r w:rsidR="00E420B5">
          <w:rPr>
            <w:webHidden/>
          </w:rPr>
          <w:instrText xml:space="preserve"> PAGEREF _Toc52192303 \h </w:instrText>
        </w:r>
        <w:r w:rsidR="00E420B5">
          <w:rPr>
            <w:webHidden/>
          </w:rPr>
        </w:r>
        <w:r w:rsidR="00E420B5">
          <w:rPr>
            <w:webHidden/>
          </w:rPr>
          <w:fldChar w:fldCharType="separate"/>
        </w:r>
        <w:r w:rsidR="004652FB">
          <w:rPr>
            <w:webHidden/>
          </w:rPr>
          <w:t>23</w:t>
        </w:r>
        <w:r w:rsidR="00E420B5">
          <w:rPr>
            <w:webHidden/>
          </w:rPr>
          <w:fldChar w:fldCharType="end"/>
        </w:r>
      </w:hyperlink>
    </w:p>
    <w:p w14:paraId="3FA790A1" w14:textId="2782304A" w:rsidR="00E420B5" w:rsidRDefault="00063F0C">
      <w:pPr>
        <w:pStyle w:val="TOC3"/>
        <w:rPr>
          <w:rFonts w:asciiTheme="minorHAnsi" w:eastAsiaTheme="minorEastAsia" w:hAnsiTheme="minorHAnsi" w:cstheme="minorBidi"/>
          <w:color w:val="auto"/>
          <w:sz w:val="22"/>
          <w:szCs w:val="22"/>
        </w:rPr>
      </w:pPr>
      <w:hyperlink w:anchor="_Toc52192304" w:history="1">
        <w:r w:rsidR="00E420B5" w:rsidRPr="005A3DDB">
          <w:rPr>
            <w:rStyle w:val="Hyperlink"/>
          </w:rPr>
          <w:t>4.5.1.</w:t>
        </w:r>
        <w:r w:rsidR="00E420B5">
          <w:rPr>
            <w:rFonts w:asciiTheme="minorHAnsi" w:eastAsiaTheme="minorEastAsia" w:hAnsiTheme="minorHAnsi" w:cstheme="minorBidi"/>
            <w:color w:val="auto"/>
            <w:sz w:val="22"/>
            <w:szCs w:val="22"/>
          </w:rPr>
          <w:tab/>
        </w:r>
        <w:r w:rsidR="00E420B5" w:rsidRPr="005A3DDB">
          <w:rPr>
            <w:rStyle w:val="Hyperlink"/>
          </w:rPr>
          <w:t>Extent of Exposure</w:t>
        </w:r>
        <w:r w:rsidR="00E420B5">
          <w:rPr>
            <w:webHidden/>
          </w:rPr>
          <w:tab/>
        </w:r>
        <w:r w:rsidR="00E420B5">
          <w:rPr>
            <w:webHidden/>
          </w:rPr>
          <w:fldChar w:fldCharType="begin"/>
        </w:r>
        <w:r w:rsidR="00E420B5">
          <w:rPr>
            <w:webHidden/>
          </w:rPr>
          <w:instrText xml:space="preserve"> PAGEREF _Toc52192304 \h </w:instrText>
        </w:r>
        <w:r w:rsidR="00E420B5">
          <w:rPr>
            <w:webHidden/>
          </w:rPr>
        </w:r>
        <w:r w:rsidR="00E420B5">
          <w:rPr>
            <w:webHidden/>
          </w:rPr>
          <w:fldChar w:fldCharType="separate"/>
        </w:r>
        <w:r w:rsidR="004652FB">
          <w:rPr>
            <w:webHidden/>
          </w:rPr>
          <w:t>23</w:t>
        </w:r>
        <w:r w:rsidR="00E420B5">
          <w:rPr>
            <w:webHidden/>
          </w:rPr>
          <w:fldChar w:fldCharType="end"/>
        </w:r>
      </w:hyperlink>
    </w:p>
    <w:p w14:paraId="1A644157" w14:textId="6387761A" w:rsidR="00E420B5" w:rsidRDefault="00063F0C">
      <w:pPr>
        <w:pStyle w:val="TOC3"/>
        <w:rPr>
          <w:rFonts w:asciiTheme="minorHAnsi" w:eastAsiaTheme="minorEastAsia" w:hAnsiTheme="minorHAnsi" w:cstheme="minorBidi"/>
          <w:color w:val="auto"/>
          <w:sz w:val="22"/>
          <w:szCs w:val="22"/>
        </w:rPr>
      </w:pPr>
      <w:hyperlink w:anchor="_Toc52192305" w:history="1">
        <w:r w:rsidR="00E420B5" w:rsidRPr="005A3DDB">
          <w:rPr>
            <w:rStyle w:val="Hyperlink"/>
          </w:rPr>
          <w:t>4.5.2.</w:t>
        </w:r>
        <w:r w:rsidR="00E420B5">
          <w:rPr>
            <w:rFonts w:asciiTheme="minorHAnsi" w:eastAsiaTheme="minorEastAsia" w:hAnsiTheme="minorHAnsi" w:cstheme="minorBidi"/>
            <w:color w:val="auto"/>
            <w:sz w:val="22"/>
            <w:szCs w:val="22"/>
          </w:rPr>
          <w:tab/>
        </w:r>
        <w:r w:rsidR="00E420B5" w:rsidRPr="005A3DDB">
          <w:rPr>
            <w:rStyle w:val="Hyperlink"/>
          </w:rPr>
          <w:t>Adverse Events</w:t>
        </w:r>
        <w:r w:rsidR="00E420B5">
          <w:rPr>
            <w:webHidden/>
          </w:rPr>
          <w:tab/>
        </w:r>
        <w:r w:rsidR="00E420B5">
          <w:rPr>
            <w:webHidden/>
          </w:rPr>
          <w:fldChar w:fldCharType="begin"/>
        </w:r>
        <w:r w:rsidR="00E420B5">
          <w:rPr>
            <w:webHidden/>
          </w:rPr>
          <w:instrText xml:space="preserve"> PAGEREF _Toc52192305 \h </w:instrText>
        </w:r>
        <w:r w:rsidR="00E420B5">
          <w:rPr>
            <w:webHidden/>
          </w:rPr>
        </w:r>
        <w:r w:rsidR="00E420B5">
          <w:rPr>
            <w:webHidden/>
          </w:rPr>
          <w:fldChar w:fldCharType="separate"/>
        </w:r>
        <w:r w:rsidR="004652FB">
          <w:rPr>
            <w:webHidden/>
          </w:rPr>
          <w:t>24</w:t>
        </w:r>
        <w:r w:rsidR="00E420B5">
          <w:rPr>
            <w:webHidden/>
          </w:rPr>
          <w:fldChar w:fldCharType="end"/>
        </w:r>
      </w:hyperlink>
    </w:p>
    <w:p w14:paraId="132B59B6" w14:textId="3EE71A11" w:rsidR="00E420B5" w:rsidRDefault="00063F0C">
      <w:pPr>
        <w:pStyle w:val="TOC3"/>
        <w:rPr>
          <w:rFonts w:asciiTheme="minorHAnsi" w:eastAsiaTheme="minorEastAsia" w:hAnsiTheme="minorHAnsi" w:cstheme="minorBidi"/>
          <w:color w:val="auto"/>
          <w:sz w:val="22"/>
          <w:szCs w:val="22"/>
        </w:rPr>
      </w:pPr>
      <w:hyperlink w:anchor="_Toc52192306" w:history="1">
        <w:r w:rsidR="00E420B5" w:rsidRPr="005A3DDB">
          <w:rPr>
            <w:rStyle w:val="Hyperlink"/>
          </w:rPr>
          <w:t>4.5.3.</w:t>
        </w:r>
        <w:r w:rsidR="00E420B5">
          <w:rPr>
            <w:rFonts w:asciiTheme="minorHAnsi" w:eastAsiaTheme="minorEastAsia" w:hAnsiTheme="minorHAnsi" w:cstheme="minorBidi"/>
            <w:color w:val="auto"/>
            <w:sz w:val="22"/>
            <w:szCs w:val="22"/>
          </w:rPr>
          <w:tab/>
        </w:r>
        <w:r w:rsidR="00E420B5" w:rsidRPr="005A3DDB">
          <w:rPr>
            <w:rStyle w:val="Hyperlink"/>
          </w:rPr>
          <w:t>Additional Safety Assessments (if applicable)</w:t>
        </w:r>
        <w:r w:rsidR="00E420B5">
          <w:rPr>
            <w:webHidden/>
          </w:rPr>
          <w:tab/>
        </w:r>
        <w:r w:rsidR="00E420B5">
          <w:rPr>
            <w:webHidden/>
          </w:rPr>
          <w:fldChar w:fldCharType="begin"/>
        </w:r>
        <w:r w:rsidR="00E420B5">
          <w:rPr>
            <w:webHidden/>
          </w:rPr>
          <w:instrText xml:space="preserve"> PAGEREF _Toc52192306 \h </w:instrText>
        </w:r>
        <w:r w:rsidR="00E420B5">
          <w:rPr>
            <w:webHidden/>
          </w:rPr>
        </w:r>
        <w:r w:rsidR="00E420B5">
          <w:rPr>
            <w:webHidden/>
          </w:rPr>
          <w:fldChar w:fldCharType="separate"/>
        </w:r>
        <w:r w:rsidR="004652FB">
          <w:rPr>
            <w:webHidden/>
          </w:rPr>
          <w:t>25</w:t>
        </w:r>
        <w:r w:rsidR="00E420B5">
          <w:rPr>
            <w:webHidden/>
          </w:rPr>
          <w:fldChar w:fldCharType="end"/>
        </w:r>
      </w:hyperlink>
    </w:p>
    <w:p w14:paraId="011D49F4" w14:textId="316DD059" w:rsidR="00E420B5" w:rsidRDefault="00063F0C">
      <w:pPr>
        <w:pStyle w:val="TOC2"/>
        <w:rPr>
          <w:rFonts w:asciiTheme="minorHAnsi" w:eastAsiaTheme="minorEastAsia" w:hAnsiTheme="minorHAnsi" w:cstheme="minorBidi"/>
          <w:color w:val="auto"/>
          <w:sz w:val="22"/>
          <w:szCs w:val="22"/>
        </w:rPr>
      </w:pPr>
      <w:hyperlink w:anchor="_Toc52192307" w:history="1">
        <w:r w:rsidR="00E420B5" w:rsidRPr="005A3DDB">
          <w:rPr>
            <w:rStyle w:val="Hyperlink"/>
          </w:rPr>
          <w:t>4.6.</w:t>
        </w:r>
        <w:r w:rsidR="00E420B5">
          <w:rPr>
            <w:rFonts w:asciiTheme="minorHAnsi" w:eastAsiaTheme="minorEastAsia" w:hAnsiTheme="minorHAnsi" w:cstheme="minorBidi"/>
            <w:color w:val="auto"/>
            <w:sz w:val="22"/>
            <w:szCs w:val="22"/>
          </w:rPr>
          <w:tab/>
        </w:r>
        <w:r w:rsidR="00E420B5" w:rsidRPr="005A3DDB">
          <w:rPr>
            <w:rStyle w:val="Hyperlink"/>
          </w:rPr>
          <w:t>Other Analyses</w:t>
        </w:r>
        <w:r w:rsidR="00E420B5">
          <w:rPr>
            <w:webHidden/>
          </w:rPr>
          <w:tab/>
        </w:r>
        <w:r w:rsidR="00E420B5">
          <w:rPr>
            <w:webHidden/>
          </w:rPr>
          <w:fldChar w:fldCharType="begin"/>
        </w:r>
        <w:r w:rsidR="00E420B5">
          <w:rPr>
            <w:webHidden/>
          </w:rPr>
          <w:instrText xml:space="preserve"> PAGEREF _Toc52192307 \h </w:instrText>
        </w:r>
        <w:r w:rsidR="00E420B5">
          <w:rPr>
            <w:webHidden/>
          </w:rPr>
        </w:r>
        <w:r w:rsidR="00E420B5">
          <w:rPr>
            <w:webHidden/>
          </w:rPr>
          <w:fldChar w:fldCharType="separate"/>
        </w:r>
        <w:r w:rsidR="004652FB">
          <w:rPr>
            <w:webHidden/>
          </w:rPr>
          <w:t>26</w:t>
        </w:r>
        <w:r w:rsidR="00E420B5">
          <w:rPr>
            <w:webHidden/>
          </w:rPr>
          <w:fldChar w:fldCharType="end"/>
        </w:r>
      </w:hyperlink>
    </w:p>
    <w:p w14:paraId="5BAAB6E8" w14:textId="59E08C03" w:rsidR="00E420B5" w:rsidRDefault="00063F0C">
      <w:pPr>
        <w:pStyle w:val="TOC3"/>
        <w:rPr>
          <w:rFonts w:asciiTheme="minorHAnsi" w:eastAsiaTheme="minorEastAsia" w:hAnsiTheme="minorHAnsi" w:cstheme="minorBidi"/>
          <w:color w:val="auto"/>
          <w:sz w:val="22"/>
          <w:szCs w:val="22"/>
        </w:rPr>
      </w:pPr>
      <w:hyperlink w:anchor="_Toc52192308" w:history="1">
        <w:r w:rsidR="00E420B5" w:rsidRPr="005A3DDB">
          <w:rPr>
            <w:rStyle w:val="Hyperlink"/>
          </w:rPr>
          <w:t>4.6.1.</w:t>
        </w:r>
        <w:r w:rsidR="00E420B5">
          <w:rPr>
            <w:rFonts w:asciiTheme="minorHAnsi" w:eastAsiaTheme="minorEastAsia" w:hAnsiTheme="minorHAnsi" w:cstheme="minorBidi"/>
            <w:color w:val="auto"/>
            <w:sz w:val="22"/>
            <w:szCs w:val="22"/>
          </w:rPr>
          <w:tab/>
        </w:r>
        <w:r w:rsidR="00E420B5" w:rsidRPr="005A3DDB">
          <w:rPr>
            <w:rStyle w:val="Hyperlink"/>
          </w:rPr>
          <w:t>Other Variables and/or Parameters</w:t>
        </w:r>
        <w:r w:rsidR="00E420B5">
          <w:rPr>
            <w:webHidden/>
          </w:rPr>
          <w:tab/>
        </w:r>
        <w:r w:rsidR="00E420B5">
          <w:rPr>
            <w:webHidden/>
          </w:rPr>
          <w:fldChar w:fldCharType="begin"/>
        </w:r>
        <w:r w:rsidR="00E420B5">
          <w:rPr>
            <w:webHidden/>
          </w:rPr>
          <w:instrText xml:space="preserve"> PAGEREF _Toc52192308 \h </w:instrText>
        </w:r>
        <w:r w:rsidR="00E420B5">
          <w:rPr>
            <w:webHidden/>
          </w:rPr>
        </w:r>
        <w:r w:rsidR="00E420B5">
          <w:rPr>
            <w:webHidden/>
          </w:rPr>
          <w:fldChar w:fldCharType="separate"/>
        </w:r>
        <w:r w:rsidR="004652FB">
          <w:rPr>
            <w:webHidden/>
          </w:rPr>
          <w:t>27</w:t>
        </w:r>
        <w:r w:rsidR="00E420B5">
          <w:rPr>
            <w:webHidden/>
          </w:rPr>
          <w:fldChar w:fldCharType="end"/>
        </w:r>
      </w:hyperlink>
    </w:p>
    <w:p w14:paraId="3F37D4FF" w14:textId="55D533AB" w:rsidR="00E420B5" w:rsidRDefault="00063F0C">
      <w:pPr>
        <w:pStyle w:val="TOC3"/>
        <w:rPr>
          <w:rFonts w:asciiTheme="minorHAnsi" w:eastAsiaTheme="minorEastAsia" w:hAnsiTheme="minorHAnsi" w:cstheme="minorBidi"/>
          <w:color w:val="auto"/>
          <w:sz w:val="22"/>
          <w:szCs w:val="22"/>
        </w:rPr>
      </w:pPr>
      <w:hyperlink w:anchor="_Toc52192309" w:history="1">
        <w:r w:rsidR="00E420B5" w:rsidRPr="005A3DDB">
          <w:rPr>
            <w:rStyle w:val="Hyperlink"/>
          </w:rPr>
          <w:t>4.6.2.</w:t>
        </w:r>
        <w:r w:rsidR="00E420B5">
          <w:rPr>
            <w:rFonts w:asciiTheme="minorHAnsi" w:eastAsiaTheme="minorEastAsia" w:hAnsiTheme="minorHAnsi" w:cstheme="minorBidi"/>
            <w:color w:val="auto"/>
            <w:sz w:val="22"/>
            <w:szCs w:val="22"/>
          </w:rPr>
          <w:tab/>
        </w:r>
        <w:r w:rsidR="00E420B5" w:rsidRPr="005A3DDB">
          <w:rPr>
            <w:rStyle w:val="Hyperlink"/>
          </w:rPr>
          <w:t>Subgroup Analyses</w:t>
        </w:r>
        <w:r w:rsidR="00E420B5">
          <w:rPr>
            <w:webHidden/>
          </w:rPr>
          <w:tab/>
        </w:r>
        <w:r w:rsidR="00E420B5">
          <w:rPr>
            <w:webHidden/>
          </w:rPr>
          <w:fldChar w:fldCharType="begin"/>
        </w:r>
        <w:r w:rsidR="00E420B5">
          <w:rPr>
            <w:webHidden/>
          </w:rPr>
          <w:instrText xml:space="preserve"> PAGEREF _Toc52192309 \h </w:instrText>
        </w:r>
        <w:r w:rsidR="00E420B5">
          <w:rPr>
            <w:webHidden/>
          </w:rPr>
        </w:r>
        <w:r w:rsidR="00E420B5">
          <w:rPr>
            <w:webHidden/>
          </w:rPr>
          <w:fldChar w:fldCharType="separate"/>
        </w:r>
        <w:r w:rsidR="004652FB">
          <w:rPr>
            <w:webHidden/>
          </w:rPr>
          <w:t>27</w:t>
        </w:r>
        <w:r w:rsidR="00E420B5">
          <w:rPr>
            <w:webHidden/>
          </w:rPr>
          <w:fldChar w:fldCharType="end"/>
        </w:r>
      </w:hyperlink>
    </w:p>
    <w:p w14:paraId="5BF32376" w14:textId="6C550CBC" w:rsidR="00E420B5" w:rsidRDefault="00063F0C">
      <w:pPr>
        <w:pStyle w:val="TOC2"/>
        <w:rPr>
          <w:rFonts w:asciiTheme="minorHAnsi" w:eastAsiaTheme="minorEastAsia" w:hAnsiTheme="minorHAnsi" w:cstheme="minorBidi"/>
          <w:color w:val="auto"/>
          <w:sz w:val="22"/>
          <w:szCs w:val="22"/>
        </w:rPr>
      </w:pPr>
      <w:hyperlink w:anchor="_Toc52192310" w:history="1">
        <w:r w:rsidR="00E420B5" w:rsidRPr="005A3DDB">
          <w:rPr>
            <w:rStyle w:val="Hyperlink"/>
          </w:rPr>
          <w:t>4.7.</w:t>
        </w:r>
        <w:r w:rsidR="00E420B5">
          <w:rPr>
            <w:rFonts w:asciiTheme="minorHAnsi" w:eastAsiaTheme="minorEastAsia" w:hAnsiTheme="minorHAnsi" w:cstheme="minorBidi"/>
            <w:color w:val="auto"/>
            <w:sz w:val="22"/>
            <w:szCs w:val="22"/>
          </w:rPr>
          <w:tab/>
        </w:r>
        <w:r w:rsidR="00E420B5" w:rsidRPr="005A3DDB">
          <w:rPr>
            <w:rStyle w:val="Hyperlink"/>
          </w:rPr>
          <w:t>Interim Analysis</w:t>
        </w:r>
        <w:r w:rsidR="00E420B5">
          <w:rPr>
            <w:webHidden/>
          </w:rPr>
          <w:tab/>
        </w:r>
        <w:r w:rsidR="00E420B5">
          <w:rPr>
            <w:webHidden/>
          </w:rPr>
          <w:fldChar w:fldCharType="begin"/>
        </w:r>
        <w:r w:rsidR="00E420B5">
          <w:rPr>
            <w:webHidden/>
          </w:rPr>
          <w:instrText xml:space="preserve"> PAGEREF _Toc52192310 \h </w:instrText>
        </w:r>
        <w:r w:rsidR="00E420B5">
          <w:rPr>
            <w:webHidden/>
          </w:rPr>
        </w:r>
        <w:r w:rsidR="00E420B5">
          <w:rPr>
            <w:webHidden/>
          </w:rPr>
          <w:fldChar w:fldCharType="separate"/>
        </w:r>
        <w:r w:rsidR="004652FB">
          <w:rPr>
            <w:webHidden/>
          </w:rPr>
          <w:t>28</w:t>
        </w:r>
        <w:r w:rsidR="00E420B5">
          <w:rPr>
            <w:webHidden/>
          </w:rPr>
          <w:fldChar w:fldCharType="end"/>
        </w:r>
      </w:hyperlink>
    </w:p>
    <w:p w14:paraId="19A44421" w14:textId="78C9A687" w:rsidR="00E420B5" w:rsidRDefault="00063F0C">
      <w:pPr>
        <w:pStyle w:val="TOC2"/>
        <w:rPr>
          <w:rFonts w:asciiTheme="minorHAnsi" w:eastAsiaTheme="minorEastAsia" w:hAnsiTheme="minorHAnsi" w:cstheme="minorBidi"/>
          <w:color w:val="auto"/>
          <w:sz w:val="22"/>
          <w:szCs w:val="22"/>
        </w:rPr>
      </w:pPr>
      <w:hyperlink w:anchor="_Toc52192311" w:history="1">
        <w:r w:rsidR="00E420B5" w:rsidRPr="005A3DDB">
          <w:rPr>
            <w:rStyle w:val="Hyperlink"/>
          </w:rPr>
          <w:t>4.8.</w:t>
        </w:r>
        <w:r w:rsidR="00E420B5">
          <w:rPr>
            <w:rFonts w:asciiTheme="minorHAnsi" w:eastAsiaTheme="minorEastAsia" w:hAnsiTheme="minorHAnsi" w:cstheme="minorBidi"/>
            <w:color w:val="auto"/>
            <w:sz w:val="22"/>
            <w:szCs w:val="22"/>
          </w:rPr>
          <w:tab/>
        </w:r>
        <w:r w:rsidR="00E420B5" w:rsidRPr="005A3DDB">
          <w:rPr>
            <w:rStyle w:val="Hyperlink"/>
          </w:rPr>
          <w:t>Changes to Protocol-planned Analyses</w:t>
        </w:r>
        <w:r w:rsidR="00E420B5">
          <w:rPr>
            <w:webHidden/>
          </w:rPr>
          <w:tab/>
        </w:r>
        <w:r w:rsidR="00E420B5">
          <w:rPr>
            <w:webHidden/>
          </w:rPr>
          <w:fldChar w:fldCharType="begin"/>
        </w:r>
        <w:r w:rsidR="00E420B5">
          <w:rPr>
            <w:webHidden/>
          </w:rPr>
          <w:instrText xml:space="preserve"> PAGEREF _Toc52192311 \h </w:instrText>
        </w:r>
        <w:r w:rsidR="00E420B5">
          <w:rPr>
            <w:webHidden/>
          </w:rPr>
        </w:r>
        <w:r w:rsidR="00E420B5">
          <w:rPr>
            <w:webHidden/>
          </w:rPr>
          <w:fldChar w:fldCharType="separate"/>
        </w:r>
        <w:r w:rsidR="004652FB">
          <w:rPr>
            <w:webHidden/>
          </w:rPr>
          <w:t>30</w:t>
        </w:r>
        <w:r w:rsidR="00E420B5">
          <w:rPr>
            <w:webHidden/>
          </w:rPr>
          <w:fldChar w:fldCharType="end"/>
        </w:r>
      </w:hyperlink>
    </w:p>
    <w:p w14:paraId="4DD66CCC" w14:textId="15280862" w:rsidR="00E420B5" w:rsidRDefault="00063F0C">
      <w:pPr>
        <w:pStyle w:val="TOC1"/>
        <w:rPr>
          <w:rFonts w:asciiTheme="minorHAnsi" w:eastAsiaTheme="minorEastAsia" w:hAnsiTheme="minorHAnsi" w:cstheme="minorBidi"/>
          <w:b w:val="0"/>
          <w:color w:val="auto"/>
          <w:sz w:val="22"/>
          <w:szCs w:val="22"/>
        </w:rPr>
      </w:pPr>
      <w:hyperlink w:anchor="_Toc52192312" w:history="1">
        <w:r w:rsidR="00E420B5" w:rsidRPr="005A3DDB">
          <w:rPr>
            <w:rStyle w:val="Hyperlink"/>
          </w:rPr>
          <w:t>5.</w:t>
        </w:r>
        <w:r w:rsidR="00E420B5">
          <w:rPr>
            <w:rFonts w:asciiTheme="minorHAnsi" w:eastAsiaTheme="minorEastAsia" w:hAnsiTheme="minorHAnsi" w:cstheme="minorBidi"/>
            <w:b w:val="0"/>
            <w:color w:val="auto"/>
            <w:sz w:val="22"/>
            <w:szCs w:val="22"/>
          </w:rPr>
          <w:tab/>
        </w:r>
        <w:r w:rsidR="00E420B5" w:rsidRPr="005A3DDB">
          <w:rPr>
            <w:rStyle w:val="Hyperlink"/>
          </w:rPr>
          <w:t>Sample Size Determination</w:t>
        </w:r>
        <w:r w:rsidR="00E420B5">
          <w:rPr>
            <w:webHidden/>
          </w:rPr>
          <w:tab/>
        </w:r>
        <w:r w:rsidR="00E420B5">
          <w:rPr>
            <w:webHidden/>
          </w:rPr>
          <w:fldChar w:fldCharType="begin"/>
        </w:r>
        <w:r w:rsidR="00E420B5">
          <w:rPr>
            <w:webHidden/>
          </w:rPr>
          <w:instrText xml:space="preserve"> PAGEREF _Toc52192312 \h </w:instrText>
        </w:r>
        <w:r w:rsidR="00E420B5">
          <w:rPr>
            <w:webHidden/>
          </w:rPr>
        </w:r>
        <w:r w:rsidR="00E420B5">
          <w:rPr>
            <w:webHidden/>
          </w:rPr>
          <w:fldChar w:fldCharType="separate"/>
        </w:r>
        <w:r w:rsidR="004652FB">
          <w:rPr>
            <w:webHidden/>
          </w:rPr>
          <w:t>31</w:t>
        </w:r>
        <w:r w:rsidR="00E420B5">
          <w:rPr>
            <w:webHidden/>
          </w:rPr>
          <w:fldChar w:fldCharType="end"/>
        </w:r>
      </w:hyperlink>
    </w:p>
    <w:p w14:paraId="36189A8A" w14:textId="44CAF6BD" w:rsidR="00E420B5" w:rsidRDefault="00063F0C">
      <w:pPr>
        <w:pStyle w:val="TOC1"/>
        <w:rPr>
          <w:rFonts w:asciiTheme="minorHAnsi" w:eastAsiaTheme="minorEastAsia" w:hAnsiTheme="minorHAnsi" w:cstheme="minorBidi"/>
          <w:b w:val="0"/>
          <w:color w:val="auto"/>
          <w:sz w:val="22"/>
          <w:szCs w:val="22"/>
        </w:rPr>
      </w:pPr>
      <w:hyperlink w:anchor="_Toc52192313" w:history="1">
        <w:r w:rsidR="00E420B5" w:rsidRPr="005A3DDB">
          <w:rPr>
            <w:rStyle w:val="Hyperlink"/>
          </w:rPr>
          <w:t>6.</w:t>
        </w:r>
        <w:r w:rsidR="00E420B5">
          <w:rPr>
            <w:rFonts w:asciiTheme="minorHAnsi" w:eastAsiaTheme="minorEastAsia" w:hAnsiTheme="minorHAnsi" w:cstheme="minorBidi"/>
            <w:b w:val="0"/>
            <w:color w:val="auto"/>
            <w:sz w:val="22"/>
            <w:szCs w:val="22"/>
          </w:rPr>
          <w:tab/>
        </w:r>
        <w:r w:rsidR="00E420B5" w:rsidRPr="005A3DDB">
          <w:rPr>
            <w:rStyle w:val="Hyperlink"/>
          </w:rPr>
          <w:t>Supporting Documentation</w:t>
        </w:r>
        <w:r w:rsidR="00E420B5">
          <w:rPr>
            <w:webHidden/>
          </w:rPr>
          <w:tab/>
        </w:r>
        <w:r w:rsidR="00E420B5">
          <w:rPr>
            <w:webHidden/>
          </w:rPr>
          <w:fldChar w:fldCharType="begin"/>
        </w:r>
        <w:r w:rsidR="00E420B5">
          <w:rPr>
            <w:webHidden/>
          </w:rPr>
          <w:instrText xml:space="preserve"> PAGEREF _Toc52192313 \h </w:instrText>
        </w:r>
        <w:r w:rsidR="00E420B5">
          <w:rPr>
            <w:webHidden/>
          </w:rPr>
        </w:r>
        <w:r w:rsidR="00E420B5">
          <w:rPr>
            <w:webHidden/>
          </w:rPr>
          <w:fldChar w:fldCharType="separate"/>
        </w:r>
        <w:r w:rsidR="004652FB">
          <w:rPr>
            <w:webHidden/>
          </w:rPr>
          <w:t>33</w:t>
        </w:r>
        <w:r w:rsidR="00E420B5">
          <w:rPr>
            <w:webHidden/>
          </w:rPr>
          <w:fldChar w:fldCharType="end"/>
        </w:r>
      </w:hyperlink>
    </w:p>
    <w:p w14:paraId="68ED5E19" w14:textId="4AFE661D" w:rsidR="00E420B5" w:rsidRDefault="00063F0C">
      <w:pPr>
        <w:pStyle w:val="TOC2"/>
        <w:rPr>
          <w:rFonts w:asciiTheme="minorHAnsi" w:eastAsiaTheme="minorEastAsia" w:hAnsiTheme="minorHAnsi" w:cstheme="minorBidi"/>
          <w:color w:val="auto"/>
          <w:sz w:val="22"/>
          <w:szCs w:val="22"/>
        </w:rPr>
      </w:pPr>
      <w:hyperlink w:anchor="_Toc52192314" w:history="1">
        <w:r w:rsidR="00E420B5" w:rsidRPr="005A3DDB">
          <w:rPr>
            <w:rStyle w:val="Hyperlink"/>
          </w:rPr>
          <w:t>6.1.</w:t>
        </w:r>
        <w:r w:rsidR="00E420B5">
          <w:rPr>
            <w:rFonts w:asciiTheme="minorHAnsi" w:eastAsiaTheme="minorEastAsia" w:hAnsiTheme="minorHAnsi" w:cstheme="minorBidi"/>
            <w:color w:val="auto"/>
            <w:sz w:val="22"/>
            <w:szCs w:val="22"/>
          </w:rPr>
          <w:tab/>
        </w:r>
        <w:r w:rsidR="00E420B5" w:rsidRPr="005A3DDB">
          <w:rPr>
            <w:rStyle w:val="Hyperlink"/>
          </w:rPr>
          <w:t>Appendix 1: List of Abbreviations</w:t>
        </w:r>
        <w:r w:rsidR="00E420B5">
          <w:rPr>
            <w:webHidden/>
          </w:rPr>
          <w:tab/>
        </w:r>
        <w:r w:rsidR="00E420B5">
          <w:rPr>
            <w:webHidden/>
          </w:rPr>
          <w:fldChar w:fldCharType="begin"/>
        </w:r>
        <w:r w:rsidR="00E420B5">
          <w:rPr>
            <w:webHidden/>
          </w:rPr>
          <w:instrText xml:space="preserve"> PAGEREF _Toc52192314 \h </w:instrText>
        </w:r>
        <w:r w:rsidR="00E420B5">
          <w:rPr>
            <w:webHidden/>
          </w:rPr>
        </w:r>
        <w:r w:rsidR="00E420B5">
          <w:rPr>
            <w:webHidden/>
          </w:rPr>
          <w:fldChar w:fldCharType="separate"/>
        </w:r>
        <w:r w:rsidR="004652FB">
          <w:rPr>
            <w:webHidden/>
          </w:rPr>
          <w:t>34</w:t>
        </w:r>
        <w:r w:rsidR="00E420B5">
          <w:rPr>
            <w:webHidden/>
          </w:rPr>
          <w:fldChar w:fldCharType="end"/>
        </w:r>
      </w:hyperlink>
    </w:p>
    <w:p w14:paraId="753FC73C" w14:textId="0CFF18DF" w:rsidR="00E420B5" w:rsidRDefault="00063F0C">
      <w:pPr>
        <w:pStyle w:val="TOC1"/>
        <w:rPr>
          <w:rFonts w:asciiTheme="minorHAnsi" w:eastAsiaTheme="minorEastAsia" w:hAnsiTheme="minorHAnsi" w:cstheme="minorBidi"/>
          <w:b w:val="0"/>
          <w:color w:val="auto"/>
          <w:sz w:val="22"/>
          <w:szCs w:val="22"/>
        </w:rPr>
      </w:pPr>
      <w:hyperlink w:anchor="_Toc52192315" w:history="1">
        <w:r w:rsidR="00E420B5" w:rsidRPr="005A3DDB">
          <w:rPr>
            <w:rStyle w:val="Hyperlink"/>
          </w:rPr>
          <w:t>7.</w:t>
        </w:r>
        <w:r w:rsidR="00E420B5">
          <w:rPr>
            <w:rFonts w:asciiTheme="minorHAnsi" w:eastAsiaTheme="minorEastAsia" w:hAnsiTheme="minorHAnsi" w:cstheme="minorBidi"/>
            <w:b w:val="0"/>
            <w:color w:val="auto"/>
            <w:sz w:val="22"/>
            <w:szCs w:val="22"/>
          </w:rPr>
          <w:tab/>
        </w:r>
        <w:r w:rsidR="00E420B5" w:rsidRPr="005A3DDB">
          <w:rPr>
            <w:rStyle w:val="Hyperlink"/>
          </w:rPr>
          <w:t>References</w:t>
        </w:r>
        <w:r w:rsidR="00E420B5">
          <w:rPr>
            <w:webHidden/>
          </w:rPr>
          <w:tab/>
        </w:r>
        <w:r w:rsidR="00E420B5">
          <w:rPr>
            <w:webHidden/>
          </w:rPr>
          <w:fldChar w:fldCharType="begin"/>
        </w:r>
        <w:r w:rsidR="00E420B5">
          <w:rPr>
            <w:webHidden/>
          </w:rPr>
          <w:instrText xml:space="preserve"> PAGEREF _Toc52192315 \h </w:instrText>
        </w:r>
        <w:r w:rsidR="00E420B5">
          <w:rPr>
            <w:webHidden/>
          </w:rPr>
        </w:r>
        <w:r w:rsidR="00E420B5">
          <w:rPr>
            <w:webHidden/>
          </w:rPr>
          <w:fldChar w:fldCharType="separate"/>
        </w:r>
        <w:r w:rsidR="004652FB">
          <w:rPr>
            <w:webHidden/>
          </w:rPr>
          <w:t>36</w:t>
        </w:r>
        <w:r w:rsidR="00E420B5">
          <w:rPr>
            <w:webHidden/>
          </w:rPr>
          <w:fldChar w:fldCharType="end"/>
        </w:r>
      </w:hyperlink>
    </w:p>
    <w:p w14:paraId="530C3783" w14:textId="2ACB470D" w:rsidR="00FF05B0" w:rsidRDefault="00FF05B0" w:rsidP="00843D7E">
      <w:pPr>
        <w:spacing w:after="0" w:line="240" w:lineRule="auto"/>
      </w:pPr>
      <w:r>
        <w:fldChar w:fldCharType="end"/>
      </w:r>
    </w:p>
    <w:p w14:paraId="05E37D31" w14:textId="74FA2107" w:rsidR="00403D7B" w:rsidRDefault="7E2C4AF2" w:rsidP="00825345">
      <w:pPr>
        <w:pStyle w:val="Heading1NoNumbering"/>
      </w:pPr>
      <w:bookmarkStart w:id="4" w:name="_Toc52192285"/>
      <w:r>
        <w:lastRenderedPageBreak/>
        <w:t xml:space="preserve">Version </w:t>
      </w:r>
      <w:r w:rsidR="006627E2">
        <w:t>H</w:t>
      </w:r>
      <w:r>
        <w:t>istory</w:t>
      </w:r>
      <w:bookmarkEnd w:id="4"/>
    </w:p>
    <w:p w14:paraId="54D3F752" w14:textId="6647295F" w:rsidR="00C914B2" w:rsidRDefault="00C914B2" w:rsidP="00C914B2">
      <w:pPr>
        <w:pStyle w:val="CPTInstructional"/>
      </w:pPr>
      <w:r>
        <w:t xml:space="preserve">This section should include high-level, concise documentation of any changes from previous versions of the </w:t>
      </w:r>
      <w:r w:rsidR="0076440B">
        <w:t>statistical analysis plan (</w:t>
      </w:r>
      <w:r>
        <w:t>SAP</w:t>
      </w:r>
      <w:r w:rsidR="0076440B">
        <w:t>)</w:t>
      </w:r>
      <w:r w:rsidR="008C4351">
        <w:t xml:space="preserve"> for the </w:t>
      </w:r>
      <w:r w:rsidR="002F28B8">
        <w:t>M</w:t>
      </w:r>
      <w:r w:rsidR="008C4351">
        <w:t xml:space="preserve">aster </w:t>
      </w:r>
      <w:r w:rsidR="002F28B8">
        <w:t>P</w:t>
      </w:r>
      <w:r w:rsidR="008C4351">
        <w:t>rotocol</w:t>
      </w:r>
      <w:r>
        <w:t xml:space="preserve">. Include a sentence at the beginning of this section that references the current version of the </w:t>
      </w:r>
      <w:r w:rsidR="002F28B8">
        <w:t>M</w:t>
      </w:r>
      <w:r w:rsidR="008C4351">
        <w:t xml:space="preserve">aster </w:t>
      </w:r>
      <w:r w:rsidR="002F28B8">
        <w:t>P</w:t>
      </w:r>
      <w:r>
        <w:t xml:space="preserve">rotocol with the version date.  </w:t>
      </w:r>
    </w:p>
    <w:p w14:paraId="62C3ED2A" w14:textId="688A2FA8" w:rsidR="00C914B2" w:rsidRDefault="00C914B2" w:rsidP="00C914B2">
      <w:pPr>
        <w:pStyle w:val="CPTInstructional"/>
      </w:pPr>
      <w:r>
        <w:t xml:space="preserve">If this is version 1 of the </w:t>
      </w:r>
      <w:r w:rsidR="002F28B8">
        <w:t>M</w:t>
      </w:r>
      <w:r w:rsidR="008C4351">
        <w:t xml:space="preserve">aster </w:t>
      </w:r>
      <w:r w:rsidR="002F28B8">
        <w:t>P</w:t>
      </w:r>
      <w:r w:rsidR="008C4351">
        <w:t xml:space="preserve">rotocol </w:t>
      </w:r>
      <w:r>
        <w:t xml:space="preserve">SAP, include the information provided in the example table with only the first row completed.  </w:t>
      </w:r>
    </w:p>
    <w:p w14:paraId="116E3F13" w14:textId="3F428890" w:rsidR="00C914B2" w:rsidRDefault="00C914B2" w:rsidP="00C914B2">
      <w:pPr>
        <w:pStyle w:val="CPTInstructional"/>
      </w:pPr>
      <w:r>
        <w:t xml:space="preserve">For amendments to the </w:t>
      </w:r>
      <w:r w:rsidR="002F28B8">
        <w:t>M</w:t>
      </w:r>
      <w:r w:rsidR="008C4351">
        <w:t xml:space="preserve">aster </w:t>
      </w:r>
      <w:r w:rsidR="002F28B8">
        <w:t>P</w:t>
      </w:r>
      <w:r w:rsidR="008C4351">
        <w:t xml:space="preserve">rotocol </w:t>
      </w:r>
      <w:r>
        <w:t xml:space="preserve">SAP, describe the reason the </w:t>
      </w:r>
      <w:r w:rsidR="002F28B8">
        <w:t>M</w:t>
      </w:r>
      <w:r w:rsidR="008C4351">
        <w:t xml:space="preserve">aster </w:t>
      </w:r>
      <w:r w:rsidR="002F28B8">
        <w:t>P</w:t>
      </w:r>
      <w:r w:rsidR="008C4351">
        <w:t xml:space="preserve">rotocol </w:t>
      </w:r>
      <w:r>
        <w:t xml:space="preserve">SAP is amended such as: </w:t>
      </w:r>
      <w:r w:rsidR="002F28B8">
        <w:t>M</w:t>
      </w:r>
      <w:r w:rsidR="008C4351">
        <w:t xml:space="preserve">aster </w:t>
      </w:r>
      <w:r w:rsidR="002F28B8">
        <w:t>P</w:t>
      </w:r>
      <w:r>
        <w:t>rotocol amendment, changes following blinded data review</w:t>
      </w:r>
      <w:r w:rsidR="008C4351">
        <w:t xml:space="preserve"> that impact all interventions in the </w:t>
      </w:r>
      <w:r w:rsidR="002F28B8">
        <w:t>M</w:t>
      </w:r>
      <w:r w:rsidR="008C4351">
        <w:t xml:space="preserve">aster </w:t>
      </w:r>
      <w:r w:rsidR="002F28B8">
        <w:t>P</w:t>
      </w:r>
      <w:r w:rsidR="008C4351">
        <w:t>rotocol</w:t>
      </w:r>
      <w:r>
        <w:t xml:space="preserve">, request from the data monitoring committee, etc. Details on the major changes and rationale for these changes for each </w:t>
      </w:r>
      <w:r w:rsidR="002F28B8">
        <w:t>M</w:t>
      </w:r>
      <w:r w:rsidR="008C4351">
        <w:t xml:space="preserve">aster </w:t>
      </w:r>
      <w:r w:rsidR="002F28B8">
        <w:t>P</w:t>
      </w:r>
      <w:r w:rsidR="008C4351">
        <w:t xml:space="preserve">rotocol </w:t>
      </w:r>
      <w:r>
        <w:t>SAP amendment are included in this section. A tabular format like the example table provided below may be used to present this information. Additional rows may be added to the table for the SAP amendment to describe the changes.</w:t>
      </w:r>
    </w:p>
    <w:p w14:paraId="6C0362AE" w14:textId="4D767512" w:rsidR="00A569DE" w:rsidRPr="004C335B" w:rsidRDefault="00BB71C0" w:rsidP="00C914B2">
      <w:pPr>
        <w:pStyle w:val="CPTExample"/>
      </w:pPr>
      <w:r>
        <w:t>&lt;</w:t>
      </w:r>
      <w:r w:rsidR="00AD098F">
        <w:t>Start of e</w:t>
      </w:r>
      <w:r w:rsidR="00A569DE">
        <w:t>xample text</w:t>
      </w:r>
      <w:r w:rsidR="001D73DE">
        <w:t>&gt;</w:t>
      </w:r>
    </w:p>
    <w:p w14:paraId="58EDA46C" w14:textId="767DC477" w:rsidR="00A569DE" w:rsidRPr="006018BB" w:rsidRDefault="00A569DE" w:rsidP="00A569DE">
      <w:pPr>
        <w:pStyle w:val="CPTExample"/>
      </w:pPr>
      <w:r>
        <w:t xml:space="preserve">This </w:t>
      </w:r>
      <w:r w:rsidR="00C914B2">
        <w:t>s</w:t>
      </w:r>
      <w:r>
        <w:t xml:space="preserve">tatistical </w:t>
      </w:r>
      <w:r w:rsidR="00C914B2">
        <w:t>a</w:t>
      </w:r>
      <w:r>
        <w:t xml:space="preserve">nalysis </w:t>
      </w:r>
      <w:r w:rsidR="00C914B2">
        <w:t>p</w:t>
      </w:r>
      <w:r>
        <w:t xml:space="preserve">lan (SAP) for </w:t>
      </w:r>
      <w:r w:rsidR="00C914B2">
        <w:t>S</w:t>
      </w:r>
      <w:r>
        <w:t xml:space="preserve">tudy XXXXXX is based on the </w:t>
      </w:r>
      <w:r w:rsidR="005E0D6A">
        <w:t>Master Protocol</w:t>
      </w:r>
      <w:r>
        <w:t xml:space="preserve"> dated ddMMMyyyy. </w:t>
      </w:r>
    </w:p>
    <w:p w14:paraId="7B3B2487" w14:textId="40CBC3D0" w:rsidR="00AF1AE1" w:rsidRPr="001D73DE" w:rsidRDefault="00AF1AE1" w:rsidP="001D73DE"/>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1"/>
        <w:gridCol w:w="1680"/>
        <w:gridCol w:w="1830"/>
        <w:gridCol w:w="4419"/>
      </w:tblGrid>
      <w:tr w:rsidR="008023D6" w:rsidRPr="00A9310F" w14:paraId="7ED9C82A" w14:textId="77777777" w:rsidTr="00EB0EB8">
        <w:tc>
          <w:tcPr>
            <w:tcW w:w="1431" w:type="dxa"/>
            <w:vAlign w:val="center"/>
          </w:tcPr>
          <w:p w14:paraId="6A1A6CC0" w14:textId="26EBDE73" w:rsidR="008023D6" w:rsidRPr="00A9310F" w:rsidRDefault="005E0D6A" w:rsidP="00A5660D">
            <w:pPr>
              <w:pStyle w:val="CPTExample"/>
              <w:jc w:val="center"/>
              <w:rPr>
                <w:b/>
              </w:rPr>
            </w:pPr>
            <w:r>
              <w:rPr>
                <w:b/>
              </w:rPr>
              <w:t>Master Protocol</w:t>
            </w:r>
            <w:r w:rsidR="008C4351">
              <w:rPr>
                <w:b/>
              </w:rPr>
              <w:t xml:space="preserve"> </w:t>
            </w:r>
            <w:r w:rsidR="008023D6" w:rsidRPr="00A9310F">
              <w:rPr>
                <w:b/>
              </w:rPr>
              <w:t>SAP Version</w:t>
            </w:r>
          </w:p>
        </w:tc>
        <w:tc>
          <w:tcPr>
            <w:tcW w:w="1680" w:type="dxa"/>
            <w:vAlign w:val="center"/>
          </w:tcPr>
          <w:p w14:paraId="12CAF72A" w14:textId="221E9F2C" w:rsidR="008023D6" w:rsidRPr="00A5660D" w:rsidRDefault="008023D6" w:rsidP="00A5660D">
            <w:pPr>
              <w:pStyle w:val="CPTExample"/>
              <w:jc w:val="center"/>
              <w:rPr>
                <w:b/>
              </w:rPr>
            </w:pPr>
            <w:r w:rsidRPr="00A5660D">
              <w:rPr>
                <w:b/>
              </w:rPr>
              <w:t>Date</w:t>
            </w:r>
          </w:p>
        </w:tc>
        <w:tc>
          <w:tcPr>
            <w:tcW w:w="1830" w:type="dxa"/>
            <w:vAlign w:val="center"/>
          </w:tcPr>
          <w:p w14:paraId="0F78D1F0" w14:textId="77777777" w:rsidR="008023D6" w:rsidRPr="00A5660D" w:rsidRDefault="008023D6" w:rsidP="00A5660D">
            <w:pPr>
              <w:pStyle w:val="CPTExample"/>
              <w:jc w:val="center"/>
              <w:rPr>
                <w:b/>
              </w:rPr>
            </w:pPr>
            <w:r w:rsidRPr="00A5660D">
              <w:rPr>
                <w:b/>
              </w:rPr>
              <w:t>Change</w:t>
            </w:r>
          </w:p>
        </w:tc>
        <w:tc>
          <w:tcPr>
            <w:tcW w:w="4419" w:type="dxa"/>
            <w:vAlign w:val="center"/>
          </w:tcPr>
          <w:p w14:paraId="291AA933" w14:textId="77777777" w:rsidR="008023D6" w:rsidRPr="00BE4D05" w:rsidRDefault="008023D6" w:rsidP="00A5660D">
            <w:pPr>
              <w:pStyle w:val="CPTExample"/>
              <w:jc w:val="center"/>
              <w:rPr>
                <w:b/>
              </w:rPr>
            </w:pPr>
            <w:r w:rsidRPr="00BE4D05">
              <w:rPr>
                <w:b/>
              </w:rPr>
              <w:t>Rationale</w:t>
            </w:r>
          </w:p>
        </w:tc>
      </w:tr>
      <w:tr w:rsidR="008023D6" w:rsidRPr="008E15F8" w14:paraId="123BEC32" w14:textId="77777777" w:rsidTr="00EB0EB8">
        <w:tc>
          <w:tcPr>
            <w:tcW w:w="1431" w:type="dxa"/>
            <w:tcBorders>
              <w:top w:val="single" w:sz="4" w:space="0" w:color="auto"/>
              <w:left w:val="single" w:sz="4" w:space="0" w:color="auto"/>
              <w:bottom w:val="single" w:sz="4" w:space="0" w:color="auto"/>
              <w:right w:val="single" w:sz="4" w:space="0" w:color="auto"/>
            </w:tcBorders>
          </w:tcPr>
          <w:p w14:paraId="03E0EDC5" w14:textId="77777777" w:rsidR="008023D6" w:rsidRPr="00A9310F" w:rsidRDefault="008023D6" w:rsidP="00EB0EB8">
            <w:pPr>
              <w:pStyle w:val="CPTExample"/>
              <w:jc w:val="center"/>
            </w:pPr>
            <w:r w:rsidRPr="00A9310F">
              <w:t>1</w:t>
            </w:r>
          </w:p>
        </w:tc>
        <w:tc>
          <w:tcPr>
            <w:tcW w:w="1680" w:type="dxa"/>
            <w:tcBorders>
              <w:top w:val="single" w:sz="4" w:space="0" w:color="auto"/>
              <w:left w:val="single" w:sz="4" w:space="0" w:color="auto"/>
              <w:bottom w:val="single" w:sz="4" w:space="0" w:color="auto"/>
              <w:right w:val="single" w:sz="4" w:space="0" w:color="auto"/>
            </w:tcBorders>
          </w:tcPr>
          <w:p w14:paraId="670E5171" w14:textId="77777777" w:rsidR="008023D6" w:rsidRPr="00A9310F" w:rsidRDefault="008023D6" w:rsidP="00A9310F">
            <w:pPr>
              <w:pStyle w:val="CPTExample"/>
            </w:pPr>
          </w:p>
        </w:tc>
        <w:tc>
          <w:tcPr>
            <w:tcW w:w="1830" w:type="dxa"/>
            <w:tcBorders>
              <w:top w:val="single" w:sz="4" w:space="0" w:color="auto"/>
              <w:left w:val="single" w:sz="4" w:space="0" w:color="auto"/>
              <w:bottom w:val="single" w:sz="4" w:space="0" w:color="auto"/>
              <w:right w:val="single" w:sz="4" w:space="0" w:color="auto"/>
            </w:tcBorders>
          </w:tcPr>
          <w:p w14:paraId="2B5742B4" w14:textId="3C1A9272" w:rsidR="008023D6" w:rsidRPr="00A5660D" w:rsidRDefault="008023D6" w:rsidP="00A9310F">
            <w:pPr>
              <w:pStyle w:val="CPTExample"/>
            </w:pPr>
            <w:r w:rsidRPr="00A5660D">
              <w:t xml:space="preserve">Not </w:t>
            </w:r>
            <w:r w:rsidR="00C914B2">
              <w:t>a</w:t>
            </w:r>
            <w:r w:rsidRPr="00A5660D">
              <w:t>pplicable</w:t>
            </w:r>
          </w:p>
        </w:tc>
        <w:tc>
          <w:tcPr>
            <w:tcW w:w="4419" w:type="dxa"/>
            <w:tcBorders>
              <w:top w:val="single" w:sz="4" w:space="0" w:color="auto"/>
              <w:left w:val="single" w:sz="4" w:space="0" w:color="auto"/>
              <w:bottom w:val="single" w:sz="4" w:space="0" w:color="auto"/>
              <w:right w:val="single" w:sz="4" w:space="0" w:color="auto"/>
            </w:tcBorders>
          </w:tcPr>
          <w:p w14:paraId="4DA6C762" w14:textId="77777777" w:rsidR="008023D6" w:rsidRPr="00A5660D" w:rsidRDefault="008023D6" w:rsidP="00A9310F">
            <w:pPr>
              <w:pStyle w:val="CPTExample"/>
            </w:pPr>
            <w:r w:rsidRPr="00A5660D">
              <w:t>Original version</w:t>
            </w:r>
          </w:p>
        </w:tc>
      </w:tr>
      <w:tr w:rsidR="008023D6" w:rsidRPr="008E15F8" w14:paraId="6B3176F5" w14:textId="77777777" w:rsidTr="00EB0EB8">
        <w:tc>
          <w:tcPr>
            <w:tcW w:w="1431" w:type="dxa"/>
            <w:tcBorders>
              <w:top w:val="single" w:sz="4" w:space="0" w:color="auto"/>
              <w:left w:val="single" w:sz="4" w:space="0" w:color="auto"/>
              <w:bottom w:val="single" w:sz="4" w:space="0" w:color="auto"/>
              <w:right w:val="single" w:sz="4" w:space="0" w:color="auto"/>
            </w:tcBorders>
          </w:tcPr>
          <w:p w14:paraId="1FE0FBBB" w14:textId="77777777" w:rsidR="008023D6" w:rsidRPr="00A9310F" w:rsidRDefault="008023D6" w:rsidP="00EB0EB8">
            <w:pPr>
              <w:pStyle w:val="CPTExample"/>
            </w:pPr>
            <w:r w:rsidRPr="00A9310F">
              <w:t>&lt;add rows as necessary&gt;</w:t>
            </w:r>
          </w:p>
        </w:tc>
        <w:tc>
          <w:tcPr>
            <w:tcW w:w="1680" w:type="dxa"/>
            <w:tcBorders>
              <w:top w:val="single" w:sz="4" w:space="0" w:color="auto"/>
              <w:left w:val="single" w:sz="4" w:space="0" w:color="auto"/>
              <w:bottom w:val="single" w:sz="4" w:space="0" w:color="auto"/>
              <w:right w:val="single" w:sz="4" w:space="0" w:color="auto"/>
            </w:tcBorders>
          </w:tcPr>
          <w:p w14:paraId="1525E5F1" w14:textId="77777777" w:rsidR="008023D6" w:rsidRPr="00A5660D" w:rsidRDefault="008023D6" w:rsidP="00A9310F">
            <w:pPr>
              <w:pStyle w:val="CPTExample"/>
            </w:pPr>
          </w:p>
        </w:tc>
        <w:tc>
          <w:tcPr>
            <w:tcW w:w="1830" w:type="dxa"/>
            <w:tcBorders>
              <w:top w:val="single" w:sz="4" w:space="0" w:color="auto"/>
              <w:left w:val="single" w:sz="4" w:space="0" w:color="auto"/>
              <w:bottom w:val="single" w:sz="4" w:space="0" w:color="auto"/>
              <w:right w:val="single" w:sz="4" w:space="0" w:color="auto"/>
            </w:tcBorders>
          </w:tcPr>
          <w:p w14:paraId="69F2FA15" w14:textId="77777777" w:rsidR="008023D6" w:rsidRPr="00A5660D" w:rsidRDefault="008023D6" w:rsidP="00A9310F">
            <w:pPr>
              <w:pStyle w:val="CPTExample"/>
            </w:pPr>
          </w:p>
        </w:tc>
        <w:tc>
          <w:tcPr>
            <w:tcW w:w="4419" w:type="dxa"/>
            <w:tcBorders>
              <w:top w:val="single" w:sz="4" w:space="0" w:color="auto"/>
              <w:left w:val="single" w:sz="4" w:space="0" w:color="auto"/>
              <w:bottom w:val="single" w:sz="4" w:space="0" w:color="auto"/>
              <w:right w:val="single" w:sz="4" w:space="0" w:color="auto"/>
            </w:tcBorders>
          </w:tcPr>
          <w:p w14:paraId="2970E5ED" w14:textId="77777777" w:rsidR="008023D6" w:rsidRPr="00A5660D" w:rsidRDefault="008023D6" w:rsidP="00A9310F">
            <w:pPr>
              <w:pStyle w:val="CPTExample"/>
            </w:pPr>
          </w:p>
        </w:tc>
      </w:tr>
    </w:tbl>
    <w:p w14:paraId="3018AFDE" w14:textId="5D9A5A1A" w:rsidR="006D1684" w:rsidRDefault="00C346B4" w:rsidP="00C346B4">
      <w:pPr>
        <w:pStyle w:val="CPTExample"/>
      </w:pPr>
      <w:r>
        <w:t>&lt;End of example text&gt;</w:t>
      </w:r>
    </w:p>
    <w:p w14:paraId="35533B72" w14:textId="58DAB8A8" w:rsidR="00F27628" w:rsidRDefault="00F27628" w:rsidP="004652FB"/>
    <w:p w14:paraId="6E86C58C" w14:textId="0797F673" w:rsidR="003F5CB1" w:rsidRPr="00DE0B56" w:rsidRDefault="00F27628" w:rsidP="004652FB">
      <w:pPr>
        <w:spacing w:before="0" w:after="0" w:line="240" w:lineRule="auto"/>
      </w:pPr>
      <w:r>
        <w:br w:type="page"/>
      </w:r>
    </w:p>
    <w:p w14:paraId="3FC2A367" w14:textId="1575FC7D" w:rsidR="00AA3BCB" w:rsidRPr="00C64851" w:rsidRDefault="7E2C4AF2" w:rsidP="711DA045">
      <w:pPr>
        <w:pStyle w:val="Heading1"/>
      </w:pPr>
      <w:bookmarkStart w:id="5" w:name="_Toc518466155"/>
      <w:bookmarkStart w:id="6" w:name="_Toc518655969"/>
      <w:bookmarkStart w:id="7" w:name="_Toc52192286"/>
      <w:r>
        <w:lastRenderedPageBreak/>
        <w:t>Introduction</w:t>
      </w:r>
      <w:r w:rsidR="334B39A9">
        <w:t xml:space="preserve"> </w:t>
      </w:r>
      <w:bookmarkEnd w:id="5"/>
      <w:bookmarkEnd w:id="6"/>
      <w:bookmarkEnd w:id="7"/>
    </w:p>
    <w:p w14:paraId="666427B2" w14:textId="77777777" w:rsidR="00C914B2" w:rsidRDefault="00C914B2" w:rsidP="00D65B50">
      <w:pPr>
        <w:pStyle w:val="CPTInstructional"/>
        <w:numPr>
          <w:ilvl w:val="0"/>
          <w:numId w:val="27"/>
        </w:numPr>
      </w:pPr>
      <w:r>
        <w:t xml:space="preserve">Indicate the type of data included, </w:t>
      </w:r>
      <w:r>
        <w:rPr>
          <w:u w:val="single"/>
        </w:rPr>
        <w:t>eg,</w:t>
      </w:r>
      <w:r>
        <w:t xml:space="preserve"> efficacy, safety, immunogenicity, pharmacokinetics [PK], pharmacodynamics [PD].</w:t>
      </w:r>
    </w:p>
    <w:p w14:paraId="2B53BE65" w14:textId="3E669481" w:rsidR="00C914B2" w:rsidRDefault="00B57FB2" w:rsidP="00D65B50">
      <w:pPr>
        <w:pStyle w:val="CPTInstructional"/>
        <w:numPr>
          <w:ilvl w:val="0"/>
          <w:numId w:val="27"/>
        </w:numPr>
        <w:rPr>
          <w:rFonts w:eastAsia="Times New Roman" w:cs="Times New Roman"/>
        </w:rPr>
      </w:pPr>
      <w:r>
        <w:t>Indicate if changes to protocol-planned analyses exist, and if so, reference the SAP section documenting these changes, eg, Section 4.8 Changes to Protocol-planned Analyses in this section. If there are no changes to the analyses described in the protocol, include a statement in the SAP to address this information</w:t>
      </w:r>
      <w:r w:rsidR="00C914B2">
        <w:t>.</w:t>
      </w:r>
    </w:p>
    <w:p w14:paraId="46BBEBAD" w14:textId="3EE01E3D" w:rsidR="00C914B2" w:rsidRDefault="00C914B2" w:rsidP="00D65B50">
      <w:pPr>
        <w:pStyle w:val="CPTInstructional"/>
        <w:numPr>
          <w:ilvl w:val="0"/>
          <w:numId w:val="27"/>
        </w:numPr>
      </w:pPr>
      <w:r>
        <w:t xml:space="preserve">If non-key analysis specifications are not contained in this document (either main body or appendices), indicate what this </w:t>
      </w:r>
      <w:r w:rsidR="002F28B8">
        <w:t>M</w:t>
      </w:r>
      <w:r w:rsidR="008C4351">
        <w:t xml:space="preserve">aster </w:t>
      </w:r>
      <w:r w:rsidR="002F28B8">
        <w:t>P</w:t>
      </w:r>
      <w:r w:rsidR="008C4351">
        <w:t xml:space="preserve">rotocol </w:t>
      </w:r>
      <w:r>
        <w:t>SAP contains and that these non-key items are documented elsewhere with reference(s).</w:t>
      </w:r>
    </w:p>
    <w:p w14:paraId="324D3486" w14:textId="23532F1C" w:rsidR="00C914B2" w:rsidRDefault="00C914B2" w:rsidP="00D65B50">
      <w:pPr>
        <w:pStyle w:val="CPTInstructional"/>
        <w:numPr>
          <w:ilvl w:val="1"/>
          <w:numId w:val="27"/>
        </w:numPr>
      </w:pPr>
      <w:r>
        <w:t>Non-key analysis specifications may include, but are not limited to, summaries/analyses of baseline characteristics and demographics, important protocol deviations, exploratory endpoints, derivations, and items not critical for regulatory decision</w:t>
      </w:r>
      <w:r w:rsidR="007443CD">
        <w:t>-</w:t>
      </w:r>
      <w:r>
        <w:t>making.</w:t>
      </w:r>
    </w:p>
    <w:p w14:paraId="56E4C900" w14:textId="68802C57" w:rsidR="00C914B2" w:rsidRDefault="00C914B2" w:rsidP="00D65B50">
      <w:pPr>
        <w:pStyle w:val="CPTInstructional"/>
        <w:numPr>
          <w:ilvl w:val="2"/>
          <w:numId w:val="27"/>
        </w:numPr>
      </w:pPr>
      <w:r>
        <w:t xml:space="preserve">These may be included as an appendix to the SAP.  If this information is included in an appendix to the </w:t>
      </w:r>
      <w:r w:rsidR="002F28B8">
        <w:t>M</w:t>
      </w:r>
      <w:r w:rsidR="008C4351">
        <w:t xml:space="preserve">aster </w:t>
      </w:r>
      <w:r w:rsidR="002F28B8">
        <w:t>P</w:t>
      </w:r>
      <w:r w:rsidR="008C4351">
        <w:t>rotocol</w:t>
      </w:r>
      <w:r>
        <w:t>SAP, then there is no need to reference a separate document.</w:t>
      </w:r>
    </w:p>
    <w:p w14:paraId="21FFFA6A" w14:textId="02D9B943" w:rsidR="00C914B2" w:rsidRDefault="00C914B2" w:rsidP="00D65B50">
      <w:pPr>
        <w:pStyle w:val="CPTInstructional"/>
        <w:numPr>
          <w:ilvl w:val="1"/>
          <w:numId w:val="27"/>
        </w:numPr>
      </w:pPr>
      <w:r>
        <w:t>Indicate table, figure, and listing specifications are contained in a separate document.</w:t>
      </w:r>
    </w:p>
    <w:p w14:paraId="75A4DEE2" w14:textId="5F5879A1" w:rsidR="008C4351" w:rsidRPr="004652FB" w:rsidRDefault="008C4351" w:rsidP="00D65B50">
      <w:pPr>
        <w:pStyle w:val="CPTInstructional"/>
        <w:numPr>
          <w:ilvl w:val="0"/>
          <w:numId w:val="27"/>
        </w:numPr>
      </w:pPr>
      <w:r w:rsidRPr="004652FB">
        <w:t xml:space="preserve">Only those principles that apply to all interventions in the </w:t>
      </w:r>
      <w:r w:rsidR="00021BFC">
        <w:t>platform study</w:t>
      </w:r>
      <w:r w:rsidRPr="004652FB">
        <w:t xml:space="preserve"> should be described in this SAP.  Any analysis details which are specific to a specific intervention-specific appendix (ISA) should be described in the analysis plan that supports </w:t>
      </w:r>
      <w:r w:rsidR="005638F0" w:rsidRPr="004652FB">
        <w:t xml:space="preserve">the relevant </w:t>
      </w:r>
      <w:r w:rsidRPr="004652FB">
        <w:t>ISA.</w:t>
      </w:r>
    </w:p>
    <w:p w14:paraId="15D3D1A4" w14:textId="77777777" w:rsidR="006E0EA9" w:rsidRDefault="006E0EA9" w:rsidP="006E0EA9">
      <w:pPr>
        <w:pStyle w:val="CPTExample"/>
      </w:pPr>
      <w:r>
        <w:t>&lt;Start of example text&gt;</w:t>
      </w:r>
    </w:p>
    <w:p w14:paraId="66159133" w14:textId="38D73F06" w:rsidR="006E0EA9" w:rsidRPr="004652FB" w:rsidRDefault="006E0EA9" w:rsidP="006E0EA9">
      <w:pPr>
        <w:pStyle w:val="Default"/>
        <w:rPr>
          <w:rFonts w:ascii="Arial" w:eastAsia="Times New Roman" w:hAnsi="Arial" w:cs="Times New Roman"/>
          <w:i/>
          <w:color w:val="00B050"/>
          <w:sz w:val="20"/>
          <w:szCs w:val="20"/>
          <w:lang w:val="en-US"/>
        </w:rPr>
      </w:pPr>
      <w:r>
        <w:rPr>
          <w:rFonts w:ascii="Arial" w:eastAsia="Times New Roman" w:hAnsi="Arial" w:cs="Times New Roman"/>
          <w:i/>
          <w:color w:val="00B050"/>
          <w:sz w:val="20"/>
          <w:szCs w:val="20"/>
          <w:lang w:val="en-US"/>
        </w:rPr>
        <w:t>XXX</w:t>
      </w:r>
      <w:r w:rsidRPr="004652FB">
        <w:rPr>
          <w:rFonts w:ascii="Arial" w:eastAsia="Times New Roman" w:hAnsi="Arial" w:cs="Times New Roman"/>
          <w:i/>
          <w:color w:val="00B050"/>
          <w:sz w:val="20"/>
          <w:szCs w:val="20"/>
          <w:lang w:val="en-US"/>
        </w:rPr>
        <w:t xml:space="preserve"> is a project to develop an environment for studying </w:t>
      </w:r>
      <w:r>
        <w:rPr>
          <w:rFonts w:ascii="Arial" w:eastAsia="Times New Roman" w:hAnsi="Arial" w:cs="Times New Roman"/>
          <w:i/>
          <w:color w:val="00B050"/>
          <w:sz w:val="20"/>
          <w:szCs w:val="20"/>
          <w:lang w:val="en-US"/>
        </w:rPr>
        <w:t>XXX</w:t>
      </w:r>
      <w:r w:rsidRPr="004652FB">
        <w:rPr>
          <w:rFonts w:ascii="Arial" w:eastAsia="Times New Roman" w:hAnsi="Arial" w:cs="Times New Roman"/>
          <w:i/>
          <w:color w:val="00B050"/>
          <w:sz w:val="20"/>
          <w:szCs w:val="20"/>
          <w:lang w:val="en-US"/>
        </w:rPr>
        <w:t xml:space="preserve"> disease and then test multiple different interventions for the secondary prevention of </w:t>
      </w:r>
      <w:r>
        <w:rPr>
          <w:rFonts w:ascii="Arial" w:eastAsia="Times New Roman" w:hAnsi="Arial" w:cs="Times New Roman"/>
          <w:i/>
          <w:color w:val="00B050"/>
          <w:sz w:val="20"/>
          <w:szCs w:val="20"/>
          <w:lang w:val="en-US"/>
        </w:rPr>
        <w:t>XX</w:t>
      </w:r>
      <w:r w:rsidRPr="004652FB">
        <w:rPr>
          <w:rFonts w:ascii="Arial" w:eastAsia="Times New Roman" w:hAnsi="Arial" w:cs="Times New Roman"/>
          <w:i/>
          <w:color w:val="00B050"/>
          <w:sz w:val="20"/>
          <w:szCs w:val="20"/>
          <w:lang w:val="en-US"/>
        </w:rPr>
        <w:t xml:space="preserve">. The </w:t>
      </w:r>
      <w:r>
        <w:rPr>
          <w:rFonts w:ascii="Arial" w:eastAsia="Times New Roman" w:hAnsi="Arial" w:cs="Times New Roman"/>
          <w:i/>
          <w:color w:val="00B050"/>
          <w:sz w:val="20"/>
          <w:szCs w:val="20"/>
          <w:lang w:val="en-US"/>
        </w:rPr>
        <w:t>XXX</w:t>
      </w:r>
      <w:r w:rsidRPr="004652FB">
        <w:rPr>
          <w:rFonts w:ascii="Arial" w:eastAsia="Times New Roman" w:hAnsi="Arial" w:cs="Times New Roman"/>
          <w:i/>
          <w:color w:val="00B050"/>
          <w:sz w:val="20"/>
          <w:szCs w:val="20"/>
          <w:lang w:val="en-US"/>
        </w:rPr>
        <w:t xml:space="preserve"> project is running across Europe with multiple partners from academia and the commercial sector. </w:t>
      </w:r>
    </w:p>
    <w:p w14:paraId="158E5429" w14:textId="4822E75E" w:rsidR="006E0EA9" w:rsidRPr="004652FB" w:rsidRDefault="006E0EA9" w:rsidP="6E66B177">
      <w:pPr>
        <w:rPr>
          <w:rFonts w:ascii="Arial" w:eastAsia="Times New Roman" w:hAnsi="Arial" w:cs="Times New Roman"/>
          <w:i/>
          <w:iCs/>
          <w:color w:val="00B050"/>
          <w:sz w:val="20"/>
          <w:szCs w:val="20"/>
        </w:rPr>
      </w:pPr>
      <w:r w:rsidRPr="0381BADC">
        <w:rPr>
          <w:rFonts w:ascii="Arial" w:eastAsia="Times New Roman" w:hAnsi="Arial" w:cs="Times New Roman"/>
          <w:i/>
          <w:iCs/>
          <w:color w:val="00B050"/>
          <w:sz w:val="20"/>
          <w:szCs w:val="20"/>
        </w:rPr>
        <w:t xml:space="preserve">The project is designed as a perpetual </w:t>
      </w:r>
      <w:r w:rsidR="00021BFC" w:rsidRPr="0381BADC">
        <w:rPr>
          <w:rFonts w:ascii="Arial" w:eastAsia="Times New Roman" w:hAnsi="Arial" w:cs="Times New Roman"/>
          <w:i/>
          <w:iCs/>
          <w:color w:val="00B050"/>
          <w:sz w:val="20"/>
          <w:szCs w:val="20"/>
        </w:rPr>
        <w:t>platform study</w:t>
      </w:r>
      <w:r w:rsidRPr="0381BADC">
        <w:rPr>
          <w:rFonts w:ascii="Arial" w:eastAsia="Times New Roman" w:hAnsi="Arial" w:cs="Times New Roman"/>
          <w:i/>
          <w:iCs/>
          <w:color w:val="00B050"/>
          <w:sz w:val="20"/>
          <w:szCs w:val="20"/>
        </w:rPr>
        <w:t xml:space="preserve">. This implies that there is a single </w:t>
      </w:r>
      <w:r w:rsidR="005E0D6A" w:rsidRPr="0381BADC">
        <w:rPr>
          <w:rFonts w:ascii="Arial" w:eastAsia="Times New Roman" w:hAnsi="Arial" w:cs="Times New Roman"/>
          <w:i/>
          <w:iCs/>
          <w:color w:val="00B050"/>
          <w:sz w:val="20"/>
          <w:szCs w:val="20"/>
        </w:rPr>
        <w:t xml:space="preserve">Master Protocol </w:t>
      </w:r>
      <w:r w:rsidRPr="0381BADC">
        <w:rPr>
          <w:rFonts w:ascii="Arial" w:eastAsia="Times New Roman" w:hAnsi="Arial" w:cs="Times New Roman"/>
          <w:i/>
          <w:iCs/>
          <w:color w:val="00B050"/>
          <w:sz w:val="20"/>
          <w:szCs w:val="20"/>
        </w:rPr>
        <w:t xml:space="preserve">dictating the conduct of the trial. The specific protocol for each intervention or combination of interventions that enters the </w:t>
      </w:r>
      <w:r w:rsidR="00021BFC" w:rsidRPr="0381BADC">
        <w:rPr>
          <w:rFonts w:ascii="Arial" w:eastAsia="Times New Roman" w:hAnsi="Arial" w:cs="Times New Roman"/>
          <w:i/>
          <w:iCs/>
          <w:color w:val="00B050"/>
          <w:sz w:val="20"/>
          <w:szCs w:val="20"/>
        </w:rPr>
        <w:t>platform study</w:t>
      </w:r>
      <w:r w:rsidRPr="0381BADC">
        <w:rPr>
          <w:rFonts w:ascii="Arial" w:eastAsia="Times New Roman" w:hAnsi="Arial" w:cs="Times New Roman"/>
          <w:i/>
          <w:iCs/>
          <w:color w:val="00B050"/>
          <w:sz w:val="20"/>
          <w:szCs w:val="20"/>
        </w:rPr>
        <w:t xml:space="preserve"> is summarized by an Intervention Specific Appendix (ISA) to the </w:t>
      </w:r>
      <w:r w:rsidR="005E0D6A" w:rsidRPr="0381BADC">
        <w:rPr>
          <w:rFonts w:ascii="Arial" w:eastAsia="Times New Roman" w:hAnsi="Arial" w:cs="Times New Roman"/>
          <w:i/>
          <w:iCs/>
          <w:color w:val="00B050"/>
          <w:sz w:val="20"/>
          <w:szCs w:val="20"/>
        </w:rPr>
        <w:t>Master Protocol</w:t>
      </w:r>
      <w:r w:rsidRPr="0381BADC">
        <w:rPr>
          <w:rFonts w:ascii="Arial" w:eastAsia="Times New Roman" w:hAnsi="Arial" w:cs="Times New Roman"/>
          <w:i/>
          <w:iCs/>
          <w:color w:val="00B050"/>
          <w:sz w:val="20"/>
          <w:szCs w:val="20"/>
        </w:rPr>
        <w:t xml:space="preserve">. Each </w:t>
      </w:r>
      <w:r w:rsidR="00FD148A" w:rsidRPr="0381BADC">
        <w:rPr>
          <w:rFonts w:ascii="Arial" w:eastAsia="Times New Roman" w:hAnsi="Arial" w:cs="Times New Roman"/>
          <w:i/>
          <w:iCs/>
          <w:color w:val="00B050"/>
          <w:sz w:val="20"/>
          <w:szCs w:val="20"/>
        </w:rPr>
        <w:t xml:space="preserve">ISA </w:t>
      </w:r>
      <w:r w:rsidRPr="0381BADC">
        <w:rPr>
          <w:rFonts w:ascii="Arial" w:eastAsia="Times New Roman" w:hAnsi="Arial" w:cs="Times New Roman"/>
          <w:i/>
          <w:iCs/>
          <w:color w:val="00B050"/>
          <w:sz w:val="20"/>
          <w:szCs w:val="20"/>
        </w:rPr>
        <w:t>is inferentially separate</w:t>
      </w:r>
      <w:r w:rsidR="00FD148A" w:rsidRPr="0381BADC">
        <w:rPr>
          <w:rFonts w:ascii="Arial" w:eastAsia="Times New Roman" w:hAnsi="Arial" w:cs="Times New Roman"/>
          <w:i/>
          <w:iCs/>
          <w:color w:val="00B050"/>
          <w:sz w:val="20"/>
          <w:szCs w:val="20"/>
        </w:rPr>
        <w:t>.</w:t>
      </w:r>
      <w:r w:rsidRPr="0381BADC">
        <w:rPr>
          <w:rFonts w:ascii="Arial" w:eastAsia="Times New Roman" w:hAnsi="Arial" w:cs="Times New Roman"/>
          <w:i/>
          <w:iCs/>
          <w:color w:val="00B050"/>
          <w:sz w:val="20"/>
          <w:szCs w:val="20"/>
        </w:rPr>
        <w:t xml:space="preserve"> </w:t>
      </w:r>
      <w:r w:rsidR="00FD148A" w:rsidRPr="0381BADC">
        <w:rPr>
          <w:rFonts w:ascii="Arial" w:eastAsia="Times New Roman" w:hAnsi="Arial" w:cs="Times New Roman"/>
          <w:i/>
          <w:iCs/>
          <w:color w:val="00B050"/>
          <w:sz w:val="20"/>
          <w:szCs w:val="20"/>
        </w:rPr>
        <w:t>This implies</w:t>
      </w:r>
      <w:r w:rsidRPr="0381BADC">
        <w:rPr>
          <w:rFonts w:ascii="Arial" w:eastAsia="Times New Roman" w:hAnsi="Arial" w:cs="Times New Roman"/>
          <w:i/>
          <w:iCs/>
          <w:color w:val="00B050"/>
          <w:sz w:val="20"/>
          <w:szCs w:val="20"/>
        </w:rPr>
        <w:t xml:space="preserve"> that </w:t>
      </w:r>
      <w:r w:rsidR="00FD148A" w:rsidRPr="0381BADC">
        <w:rPr>
          <w:rFonts w:ascii="Arial" w:eastAsia="Times New Roman" w:hAnsi="Arial" w:cs="Times New Roman"/>
          <w:i/>
          <w:iCs/>
          <w:color w:val="00B050"/>
          <w:sz w:val="20"/>
          <w:szCs w:val="20"/>
        </w:rPr>
        <w:t xml:space="preserve">any </w:t>
      </w:r>
      <w:r w:rsidRPr="0381BADC">
        <w:rPr>
          <w:rFonts w:ascii="Arial" w:eastAsia="Times New Roman" w:hAnsi="Arial" w:cs="Times New Roman"/>
          <w:i/>
          <w:iCs/>
          <w:color w:val="00B050"/>
          <w:sz w:val="20"/>
          <w:szCs w:val="20"/>
        </w:rPr>
        <w:t xml:space="preserve">conclusions and reports </w:t>
      </w:r>
      <w:r w:rsidR="00FD148A" w:rsidRPr="0381BADC">
        <w:rPr>
          <w:rFonts w:ascii="Arial" w:eastAsia="Times New Roman" w:hAnsi="Arial" w:cs="Times New Roman"/>
          <w:i/>
          <w:iCs/>
          <w:color w:val="00B050"/>
          <w:sz w:val="20"/>
          <w:szCs w:val="20"/>
        </w:rPr>
        <w:t>will be produced</w:t>
      </w:r>
      <w:r w:rsidRPr="0381BADC">
        <w:rPr>
          <w:rFonts w:ascii="Arial" w:eastAsia="Times New Roman" w:hAnsi="Arial" w:cs="Times New Roman"/>
          <w:i/>
          <w:iCs/>
          <w:color w:val="00B050"/>
          <w:sz w:val="20"/>
          <w:szCs w:val="20"/>
        </w:rPr>
        <w:t xml:space="preserve"> separately even though some placebo treated participants may contribute to several </w:t>
      </w:r>
      <w:r w:rsidR="00FD148A" w:rsidRPr="0381BADC">
        <w:rPr>
          <w:rFonts w:ascii="Arial" w:eastAsia="Times New Roman" w:hAnsi="Arial" w:cs="Times New Roman"/>
          <w:i/>
          <w:iCs/>
          <w:color w:val="00B050"/>
          <w:sz w:val="20"/>
          <w:szCs w:val="20"/>
        </w:rPr>
        <w:t>of the</w:t>
      </w:r>
      <w:r w:rsidRPr="0381BADC">
        <w:rPr>
          <w:rFonts w:ascii="Arial" w:eastAsia="Times New Roman" w:hAnsi="Arial" w:cs="Times New Roman"/>
          <w:i/>
          <w:iCs/>
          <w:color w:val="00B050"/>
          <w:sz w:val="20"/>
          <w:szCs w:val="20"/>
        </w:rPr>
        <w:t xml:space="preserve"> reports. Thus, </w:t>
      </w:r>
      <w:r w:rsidR="00173C0B" w:rsidRPr="00674307">
        <w:rPr>
          <w:rFonts w:ascii="Arial" w:eastAsia="Times New Roman" w:hAnsi="Arial" w:cs="Times New Roman"/>
          <w:i/>
          <w:iCs/>
          <w:color w:val="00B050"/>
          <w:sz w:val="20"/>
          <w:szCs w:val="20"/>
        </w:rPr>
        <w:t>by default</w:t>
      </w:r>
      <w:r w:rsidR="00173C0B" w:rsidRPr="0381BADC">
        <w:rPr>
          <w:rFonts w:ascii="Arial" w:eastAsia="Times New Roman" w:hAnsi="Arial" w:cs="Times New Roman"/>
          <w:i/>
          <w:iCs/>
          <w:color w:val="00B050"/>
          <w:sz w:val="20"/>
          <w:szCs w:val="20"/>
        </w:rPr>
        <w:t xml:space="preserve">, </w:t>
      </w:r>
      <w:r w:rsidRPr="0381BADC">
        <w:rPr>
          <w:rFonts w:ascii="Arial" w:eastAsia="Times New Roman" w:hAnsi="Arial" w:cs="Times New Roman"/>
          <w:i/>
          <w:iCs/>
          <w:color w:val="00B050"/>
          <w:sz w:val="20"/>
          <w:szCs w:val="20"/>
        </w:rPr>
        <w:t xml:space="preserve">there will not be considerations </w:t>
      </w:r>
      <w:r w:rsidR="00FD148A" w:rsidRPr="0381BADC">
        <w:rPr>
          <w:rFonts w:ascii="Arial" w:eastAsia="Times New Roman" w:hAnsi="Arial" w:cs="Times New Roman"/>
          <w:i/>
          <w:iCs/>
          <w:color w:val="00B050"/>
          <w:sz w:val="20"/>
          <w:szCs w:val="20"/>
        </w:rPr>
        <w:t xml:space="preserve">to control for familywise </w:t>
      </w:r>
      <w:r w:rsidRPr="0381BADC">
        <w:rPr>
          <w:rFonts w:ascii="Arial" w:eastAsia="Times New Roman" w:hAnsi="Arial" w:cs="Times New Roman"/>
          <w:i/>
          <w:iCs/>
          <w:color w:val="00B050"/>
          <w:sz w:val="20"/>
          <w:szCs w:val="20"/>
        </w:rPr>
        <w:t xml:space="preserve">type I error across </w:t>
      </w:r>
      <w:r w:rsidR="00FD148A" w:rsidRPr="0381BADC">
        <w:rPr>
          <w:rFonts w:ascii="Arial" w:eastAsia="Times New Roman" w:hAnsi="Arial" w:cs="Times New Roman"/>
          <w:i/>
          <w:iCs/>
          <w:color w:val="00B050"/>
          <w:sz w:val="20"/>
          <w:szCs w:val="20"/>
        </w:rPr>
        <w:t>ISAs</w:t>
      </w:r>
      <w:r w:rsidRPr="0381BADC">
        <w:rPr>
          <w:rFonts w:ascii="Arial" w:eastAsia="Times New Roman" w:hAnsi="Arial" w:cs="Times New Roman"/>
          <w:i/>
          <w:iCs/>
          <w:color w:val="00B050"/>
          <w:sz w:val="20"/>
          <w:szCs w:val="20"/>
        </w:rPr>
        <w:t>.</w:t>
      </w:r>
    </w:p>
    <w:p w14:paraId="4904284D" w14:textId="77E09677" w:rsidR="006E0EA9" w:rsidRPr="004652FB" w:rsidRDefault="006E0EA9" w:rsidP="006E0EA9">
      <w:pPr>
        <w:pStyle w:val="Default"/>
        <w:rPr>
          <w:rFonts w:ascii="Arial" w:eastAsia="Times New Roman" w:hAnsi="Arial" w:cs="Times New Roman"/>
          <w:i/>
          <w:color w:val="00B050"/>
          <w:sz w:val="20"/>
          <w:szCs w:val="20"/>
          <w:lang w:val="en-US"/>
        </w:rPr>
      </w:pPr>
      <w:r w:rsidRPr="0381BADC">
        <w:rPr>
          <w:rFonts w:ascii="Arial" w:eastAsia="Times New Roman" w:hAnsi="Arial" w:cs="Times New Roman"/>
          <w:i/>
          <w:iCs/>
          <w:color w:val="00B050"/>
          <w:sz w:val="20"/>
          <w:szCs w:val="20"/>
          <w:lang w:val="en-US"/>
        </w:rPr>
        <w:t>The overarching statistical analysis considerations of the trial are dictated in a single Master Statistical Analysis Plan (</w:t>
      </w:r>
      <w:r w:rsidR="00747ACA" w:rsidRPr="0381BADC">
        <w:rPr>
          <w:rFonts w:ascii="Arial" w:eastAsia="Times New Roman" w:hAnsi="Arial" w:cs="Times New Roman"/>
          <w:i/>
          <w:iCs/>
          <w:color w:val="00B050"/>
          <w:sz w:val="20"/>
          <w:szCs w:val="20"/>
          <w:lang w:val="en-US"/>
        </w:rPr>
        <w:t>m</w:t>
      </w:r>
      <w:r w:rsidRPr="0381BADC">
        <w:rPr>
          <w:rFonts w:ascii="Arial" w:eastAsia="Times New Roman" w:hAnsi="Arial" w:cs="Times New Roman"/>
          <w:i/>
          <w:iCs/>
          <w:color w:val="00B050"/>
          <w:sz w:val="20"/>
          <w:szCs w:val="20"/>
          <w:lang w:val="en-US"/>
        </w:rPr>
        <w:t>SAP) – this document. The specific SAP for each intervention specific trial is summarized by an appendix to the master SAP</w:t>
      </w:r>
      <w:r w:rsidR="00747ACA" w:rsidRPr="0381BADC">
        <w:rPr>
          <w:rFonts w:ascii="Arial" w:eastAsia="Times New Roman" w:hAnsi="Arial" w:cs="Times New Roman"/>
          <w:i/>
          <w:iCs/>
          <w:color w:val="00B050"/>
          <w:sz w:val="20"/>
          <w:szCs w:val="20"/>
          <w:lang w:val="en-US"/>
        </w:rPr>
        <w:t xml:space="preserve"> labelled as ISA-SAP</w:t>
      </w:r>
      <w:r w:rsidRPr="0381BADC">
        <w:rPr>
          <w:rFonts w:ascii="Arial" w:eastAsia="Times New Roman" w:hAnsi="Arial" w:cs="Times New Roman"/>
          <w:i/>
          <w:iCs/>
          <w:color w:val="00B050"/>
          <w:sz w:val="20"/>
          <w:szCs w:val="20"/>
          <w:lang w:val="en-US"/>
        </w:rPr>
        <w:t>. In case of conflicting information between the Master SAP and the ISA</w:t>
      </w:r>
      <w:r w:rsidR="00747ACA" w:rsidRPr="0381BADC">
        <w:rPr>
          <w:rFonts w:ascii="Arial" w:eastAsia="Times New Roman" w:hAnsi="Arial" w:cs="Times New Roman"/>
          <w:i/>
          <w:iCs/>
          <w:color w:val="00B050"/>
          <w:sz w:val="20"/>
          <w:szCs w:val="20"/>
          <w:lang w:val="en-US"/>
        </w:rPr>
        <w:t>-SAP</w:t>
      </w:r>
      <w:r w:rsidRPr="0381BADC">
        <w:rPr>
          <w:rFonts w:ascii="Arial" w:eastAsia="Times New Roman" w:hAnsi="Arial" w:cs="Times New Roman"/>
          <w:i/>
          <w:iCs/>
          <w:color w:val="00B050"/>
          <w:sz w:val="20"/>
          <w:szCs w:val="20"/>
          <w:lang w:val="en-US"/>
        </w:rPr>
        <w:t xml:space="preserve">, the ISA </w:t>
      </w:r>
      <w:r w:rsidR="00173C0B" w:rsidRPr="0381BADC">
        <w:rPr>
          <w:rFonts w:ascii="Arial" w:eastAsia="Times New Roman" w:hAnsi="Arial" w:cs="Times New Roman"/>
          <w:i/>
          <w:iCs/>
          <w:color w:val="00B050"/>
          <w:sz w:val="20"/>
          <w:szCs w:val="20"/>
          <w:lang w:val="en-US"/>
        </w:rPr>
        <w:t xml:space="preserve">SAP </w:t>
      </w:r>
      <w:r w:rsidRPr="0381BADC">
        <w:rPr>
          <w:rFonts w:ascii="Arial" w:eastAsia="Times New Roman" w:hAnsi="Arial" w:cs="Times New Roman"/>
          <w:i/>
          <w:iCs/>
          <w:color w:val="00B050"/>
          <w:sz w:val="20"/>
          <w:szCs w:val="20"/>
          <w:lang w:val="en-US"/>
        </w:rPr>
        <w:t xml:space="preserve">should </w:t>
      </w:r>
      <w:r w:rsidRPr="002F28B8">
        <w:rPr>
          <w:rFonts w:ascii="Arial" w:eastAsia="Times New Roman" w:hAnsi="Arial" w:cs="Times New Roman"/>
          <w:i/>
          <w:iCs/>
          <w:color w:val="00B050"/>
          <w:sz w:val="20"/>
          <w:szCs w:val="20"/>
          <w:lang w:val="en-US"/>
        </w:rPr>
        <w:t xml:space="preserve">be </w:t>
      </w:r>
      <w:r w:rsidR="00173C0B" w:rsidRPr="00674307">
        <w:rPr>
          <w:rFonts w:ascii="Arial" w:eastAsia="Times New Roman" w:hAnsi="Arial" w:cs="Times New Roman"/>
          <w:i/>
          <w:iCs/>
          <w:color w:val="00B050"/>
          <w:sz w:val="20"/>
          <w:szCs w:val="20"/>
          <w:lang w:val="en-US"/>
        </w:rPr>
        <w:t>followed</w:t>
      </w:r>
      <w:r w:rsidRPr="00674307">
        <w:rPr>
          <w:rFonts w:ascii="Arial" w:eastAsia="Times New Roman" w:hAnsi="Arial" w:cs="Times New Roman"/>
          <w:i/>
          <w:iCs/>
          <w:color w:val="00B050"/>
          <w:sz w:val="20"/>
          <w:szCs w:val="20"/>
          <w:lang w:val="en-US"/>
        </w:rPr>
        <w:t>.</w:t>
      </w:r>
      <w:r w:rsidRPr="0381BADC">
        <w:rPr>
          <w:rFonts w:ascii="Arial" w:eastAsia="Times New Roman" w:hAnsi="Arial" w:cs="Times New Roman"/>
          <w:i/>
          <w:iCs/>
          <w:color w:val="00B050"/>
          <w:sz w:val="20"/>
          <w:szCs w:val="20"/>
          <w:lang w:val="en-US"/>
        </w:rPr>
        <w:t xml:space="preserve"> </w:t>
      </w:r>
    </w:p>
    <w:p w14:paraId="6C817A1C" w14:textId="3F8AE0DF" w:rsidR="006E0EA9" w:rsidRPr="004652FB" w:rsidRDefault="006E0EA9" w:rsidP="006E0EA9">
      <w:pPr>
        <w:rPr>
          <w:rFonts w:ascii="Arial" w:eastAsia="Times New Roman" w:hAnsi="Arial" w:cs="Times New Roman"/>
          <w:i/>
          <w:color w:val="00B050"/>
          <w:sz w:val="20"/>
          <w:szCs w:val="20"/>
        </w:rPr>
      </w:pPr>
      <w:r w:rsidRPr="004652FB">
        <w:rPr>
          <w:rFonts w:ascii="Arial" w:eastAsia="Times New Roman" w:hAnsi="Arial" w:cs="Times New Roman"/>
          <w:i/>
          <w:color w:val="00B050"/>
          <w:sz w:val="20"/>
          <w:szCs w:val="20"/>
        </w:rPr>
        <w:t>An overview of the terminology is given in the table below</w:t>
      </w:r>
    </w:p>
    <w:p w14:paraId="5917E082" w14:textId="77777777" w:rsidR="00F3294E" w:rsidRPr="004652FB" w:rsidRDefault="00F3294E" w:rsidP="004A6A9C">
      <w:pPr>
        <w:rPr>
          <w:rFonts w:ascii="Arial" w:eastAsia="Times New Roman" w:hAnsi="Arial" w:cs="Times New Roman"/>
          <w:i/>
          <w:color w:val="00B050"/>
          <w:sz w:val="20"/>
          <w:szCs w:val="20"/>
        </w:rPr>
      </w:pPr>
    </w:p>
    <w:tbl>
      <w:tblPr>
        <w:tblStyle w:val="TableGrid"/>
        <w:tblW w:w="0" w:type="auto"/>
        <w:tblLook w:val="04A0" w:firstRow="1" w:lastRow="0" w:firstColumn="1" w:lastColumn="0" w:noHBand="0" w:noVBand="1"/>
      </w:tblPr>
      <w:tblGrid>
        <w:gridCol w:w="3116"/>
        <w:gridCol w:w="3117"/>
        <w:gridCol w:w="3117"/>
      </w:tblGrid>
      <w:tr w:rsidR="00F3294E" w:rsidRPr="006E0EA9" w14:paraId="1DF3F8F6" w14:textId="77777777" w:rsidTr="00F3294E">
        <w:tc>
          <w:tcPr>
            <w:tcW w:w="3116" w:type="dxa"/>
          </w:tcPr>
          <w:p w14:paraId="78C12C34" w14:textId="545E2FF6" w:rsidR="00F3294E" w:rsidRPr="004652FB" w:rsidRDefault="00F3294E" w:rsidP="004A6A9C">
            <w:pPr>
              <w:rPr>
                <w:rFonts w:ascii="Arial" w:eastAsia="Times New Roman" w:hAnsi="Arial" w:cs="Times New Roman"/>
                <w:i/>
                <w:color w:val="00B050"/>
                <w:sz w:val="20"/>
                <w:szCs w:val="20"/>
              </w:rPr>
            </w:pPr>
            <w:r w:rsidRPr="004652FB">
              <w:rPr>
                <w:rFonts w:ascii="Arial" w:eastAsia="Times New Roman" w:hAnsi="Arial" w:cs="Times New Roman"/>
                <w:i/>
                <w:color w:val="00B050"/>
                <w:sz w:val="20"/>
                <w:szCs w:val="20"/>
              </w:rPr>
              <w:t>Generic name</w:t>
            </w:r>
          </w:p>
        </w:tc>
        <w:tc>
          <w:tcPr>
            <w:tcW w:w="3117" w:type="dxa"/>
          </w:tcPr>
          <w:p w14:paraId="25C9BA82" w14:textId="666C7A07" w:rsidR="00F3294E" w:rsidRPr="004652FB" w:rsidRDefault="00F3294E" w:rsidP="004A6A9C">
            <w:pPr>
              <w:rPr>
                <w:rFonts w:ascii="Arial" w:eastAsia="Times New Roman" w:hAnsi="Arial" w:cs="Times New Roman"/>
                <w:i/>
                <w:color w:val="00B050"/>
                <w:sz w:val="20"/>
                <w:szCs w:val="20"/>
              </w:rPr>
            </w:pPr>
            <w:r w:rsidRPr="004652FB">
              <w:rPr>
                <w:rFonts w:ascii="Arial" w:eastAsia="Times New Roman" w:hAnsi="Arial" w:cs="Times New Roman"/>
                <w:i/>
                <w:color w:val="00B050"/>
                <w:sz w:val="20"/>
                <w:szCs w:val="20"/>
              </w:rPr>
              <w:t xml:space="preserve">Name in </w:t>
            </w:r>
            <w:r w:rsidR="00021BFC">
              <w:rPr>
                <w:rFonts w:ascii="Arial" w:eastAsia="Times New Roman" w:hAnsi="Arial" w:cs="Times New Roman"/>
                <w:i/>
                <w:color w:val="00B050"/>
                <w:sz w:val="20"/>
                <w:szCs w:val="20"/>
              </w:rPr>
              <w:t>platform study</w:t>
            </w:r>
          </w:p>
        </w:tc>
        <w:tc>
          <w:tcPr>
            <w:tcW w:w="3117" w:type="dxa"/>
          </w:tcPr>
          <w:p w14:paraId="4704CB31" w14:textId="28F1889F" w:rsidR="00F3294E" w:rsidRPr="004652FB" w:rsidRDefault="00F3294E" w:rsidP="004A6A9C">
            <w:pPr>
              <w:rPr>
                <w:rFonts w:ascii="Arial" w:eastAsia="Times New Roman" w:hAnsi="Arial" w:cs="Times New Roman"/>
                <w:i/>
                <w:color w:val="00B050"/>
                <w:sz w:val="20"/>
                <w:szCs w:val="20"/>
              </w:rPr>
            </w:pPr>
            <w:r w:rsidRPr="004652FB">
              <w:rPr>
                <w:rFonts w:ascii="Arial" w:eastAsia="Times New Roman" w:hAnsi="Arial" w:cs="Times New Roman"/>
                <w:i/>
                <w:color w:val="00B050"/>
                <w:sz w:val="20"/>
                <w:szCs w:val="20"/>
              </w:rPr>
              <w:t>Name in sub</w:t>
            </w:r>
            <w:r w:rsidR="006E0EA9" w:rsidRPr="004652FB">
              <w:rPr>
                <w:rFonts w:ascii="Arial" w:eastAsia="Times New Roman" w:hAnsi="Arial" w:cs="Times New Roman"/>
                <w:i/>
                <w:color w:val="00B050"/>
                <w:sz w:val="20"/>
                <w:szCs w:val="20"/>
              </w:rPr>
              <w:t>-</w:t>
            </w:r>
            <w:r w:rsidRPr="004652FB">
              <w:rPr>
                <w:rFonts w:ascii="Arial" w:eastAsia="Times New Roman" w:hAnsi="Arial" w:cs="Times New Roman"/>
                <w:i/>
                <w:color w:val="00B050"/>
                <w:sz w:val="20"/>
                <w:szCs w:val="20"/>
              </w:rPr>
              <w:t>study</w:t>
            </w:r>
          </w:p>
        </w:tc>
      </w:tr>
      <w:tr w:rsidR="00F3294E" w:rsidRPr="006E0EA9" w14:paraId="608B228C" w14:textId="77777777" w:rsidTr="00F3294E">
        <w:tc>
          <w:tcPr>
            <w:tcW w:w="3116" w:type="dxa"/>
          </w:tcPr>
          <w:p w14:paraId="33A2A6E5" w14:textId="50650CA4" w:rsidR="00F3294E" w:rsidRPr="004652FB" w:rsidRDefault="00F3294E" w:rsidP="004A6A9C">
            <w:pPr>
              <w:rPr>
                <w:rFonts w:ascii="Arial" w:eastAsia="Times New Roman" w:hAnsi="Arial" w:cs="Times New Roman"/>
                <w:i/>
                <w:color w:val="00B050"/>
                <w:sz w:val="20"/>
                <w:szCs w:val="20"/>
              </w:rPr>
            </w:pPr>
            <w:r w:rsidRPr="004652FB">
              <w:rPr>
                <w:rFonts w:ascii="Arial" w:eastAsia="Times New Roman" w:hAnsi="Arial" w:cs="Times New Roman"/>
                <w:i/>
                <w:color w:val="00B050"/>
                <w:sz w:val="20"/>
                <w:szCs w:val="20"/>
              </w:rPr>
              <w:t>Protocol</w:t>
            </w:r>
          </w:p>
        </w:tc>
        <w:tc>
          <w:tcPr>
            <w:tcW w:w="3117" w:type="dxa"/>
          </w:tcPr>
          <w:p w14:paraId="01E97B82" w14:textId="7E12E3FA" w:rsidR="00F3294E" w:rsidRPr="004652FB" w:rsidRDefault="005E0D6A" w:rsidP="004A6A9C">
            <w:pPr>
              <w:rPr>
                <w:rFonts w:ascii="Arial" w:eastAsia="Times New Roman" w:hAnsi="Arial" w:cs="Times New Roman"/>
                <w:i/>
                <w:color w:val="00B050"/>
                <w:sz w:val="20"/>
                <w:szCs w:val="20"/>
              </w:rPr>
            </w:pPr>
            <w:r>
              <w:rPr>
                <w:rFonts w:ascii="Arial" w:eastAsia="Times New Roman" w:hAnsi="Arial" w:cs="Times New Roman"/>
                <w:i/>
                <w:color w:val="00B050"/>
                <w:sz w:val="20"/>
                <w:szCs w:val="20"/>
              </w:rPr>
              <w:t>Master Protocol</w:t>
            </w:r>
          </w:p>
        </w:tc>
        <w:tc>
          <w:tcPr>
            <w:tcW w:w="3117" w:type="dxa"/>
          </w:tcPr>
          <w:p w14:paraId="7533D54F" w14:textId="64BC0E03" w:rsidR="00F3294E" w:rsidRPr="004652FB" w:rsidRDefault="00F3294E" w:rsidP="004A6A9C">
            <w:pPr>
              <w:rPr>
                <w:rFonts w:ascii="Arial" w:eastAsia="Times New Roman" w:hAnsi="Arial" w:cs="Times New Roman"/>
                <w:i/>
                <w:color w:val="00B050"/>
                <w:sz w:val="20"/>
                <w:szCs w:val="20"/>
              </w:rPr>
            </w:pPr>
            <w:r w:rsidRPr="004652FB">
              <w:rPr>
                <w:rFonts w:ascii="Arial" w:eastAsia="Times New Roman" w:hAnsi="Arial" w:cs="Times New Roman"/>
                <w:i/>
                <w:color w:val="00B050"/>
                <w:sz w:val="20"/>
                <w:szCs w:val="20"/>
              </w:rPr>
              <w:t>Intervention-specific Appendix (ISA)</w:t>
            </w:r>
          </w:p>
        </w:tc>
      </w:tr>
      <w:tr w:rsidR="00F3294E" w:rsidRPr="006E0EA9" w14:paraId="249B9D94" w14:textId="77777777" w:rsidTr="00F3294E">
        <w:tc>
          <w:tcPr>
            <w:tcW w:w="3116" w:type="dxa"/>
          </w:tcPr>
          <w:p w14:paraId="54B94686" w14:textId="7344B357" w:rsidR="00F3294E" w:rsidRPr="004652FB" w:rsidRDefault="00F3294E" w:rsidP="004A6A9C">
            <w:pPr>
              <w:rPr>
                <w:rFonts w:ascii="Arial" w:eastAsia="Times New Roman" w:hAnsi="Arial" w:cs="Times New Roman"/>
                <w:i/>
                <w:color w:val="00B050"/>
                <w:sz w:val="20"/>
                <w:szCs w:val="20"/>
              </w:rPr>
            </w:pPr>
            <w:r w:rsidRPr="004652FB">
              <w:rPr>
                <w:rFonts w:ascii="Arial" w:eastAsia="Times New Roman" w:hAnsi="Arial" w:cs="Times New Roman"/>
                <w:i/>
                <w:color w:val="00B050"/>
                <w:sz w:val="20"/>
                <w:szCs w:val="20"/>
              </w:rPr>
              <w:lastRenderedPageBreak/>
              <w:t>Statistical Analysis Plan (SAP)</w:t>
            </w:r>
          </w:p>
        </w:tc>
        <w:tc>
          <w:tcPr>
            <w:tcW w:w="3117" w:type="dxa"/>
          </w:tcPr>
          <w:p w14:paraId="62D37192" w14:textId="5B01CC21" w:rsidR="00F3294E" w:rsidRPr="004652FB" w:rsidRDefault="00F3294E" w:rsidP="004A6A9C">
            <w:pPr>
              <w:rPr>
                <w:rFonts w:ascii="Arial" w:eastAsia="Times New Roman" w:hAnsi="Arial" w:cs="Times New Roman"/>
                <w:i/>
                <w:color w:val="00B050"/>
                <w:sz w:val="20"/>
                <w:szCs w:val="20"/>
              </w:rPr>
            </w:pPr>
            <w:r w:rsidRPr="004652FB">
              <w:rPr>
                <w:rFonts w:ascii="Arial" w:eastAsia="Times New Roman" w:hAnsi="Arial" w:cs="Times New Roman"/>
                <w:i/>
                <w:color w:val="00B050"/>
                <w:sz w:val="20"/>
                <w:szCs w:val="20"/>
              </w:rPr>
              <w:t>Master SAP (mSAP)</w:t>
            </w:r>
          </w:p>
        </w:tc>
        <w:tc>
          <w:tcPr>
            <w:tcW w:w="3117" w:type="dxa"/>
          </w:tcPr>
          <w:p w14:paraId="64B8E7A5" w14:textId="4ED5865E" w:rsidR="00F3294E" w:rsidRPr="004652FB" w:rsidRDefault="00F3294E" w:rsidP="004A6A9C">
            <w:pPr>
              <w:rPr>
                <w:rFonts w:ascii="Arial" w:eastAsia="Times New Roman" w:hAnsi="Arial" w:cs="Times New Roman"/>
                <w:i/>
                <w:color w:val="00B050"/>
                <w:sz w:val="20"/>
                <w:szCs w:val="20"/>
              </w:rPr>
            </w:pPr>
            <w:r w:rsidRPr="004652FB">
              <w:rPr>
                <w:rFonts w:ascii="Arial" w:eastAsia="Times New Roman" w:hAnsi="Arial" w:cs="Times New Roman"/>
                <w:i/>
                <w:color w:val="00B050"/>
                <w:sz w:val="20"/>
                <w:szCs w:val="20"/>
              </w:rPr>
              <w:t>Intervention-specific Appendix Statistical Analysis Plan (</w:t>
            </w:r>
            <w:r w:rsidRPr="003C4CFC">
              <w:rPr>
                <w:rFonts w:ascii="Arial" w:eastAsia="Times New Roman" w:hAnsi="Arial" w:cs="Times New Roman"/>
                <w:i/>
                <w:color w:val="00B050"/>
                <w:sz w:val="20"/>
                <w:szCs w:val="20"/>
              </w:rPr>
              <w:t>ISA-SAP</w:t>
            </w:r>
            <w:r w:rsidRPr="004652FB">
              <w:rPr>
                <w:rFonts w:ascii="Arial" w:eastAsia="Times New Roman" w:hAnsi="Arial" w:cs="Times New Roman"/>
                <w:i/>
                <w:color w:val="00B050"/>
                <w:sz w:val="20"/>
                <w:szCs w:val="20"/>
              </w:rPr>
              <w:t>)</w:t>
            </w:r>
          </w:p>
        </w:tc>
      </w:tr>
      <w:tr w:rsidR="00F3294E" w:rsidRPr="006E0EA9" w14:paraId="34831840" w14:textId="77777777" w:rsidTr="00F3294E">
        <w:tc>
          <w:tcPr>
            <w:tcW w:w="3116" w:type="dxa"/>
          </w:tcPr>
          <w:p w14:paraId="00F8FB2E" w14:textId="1E8CC8F6" w:rsidR="00F3294E" w:rsidRPr="004652FB" w:rsidRDefault="00F3294E" w:rsidP="004A6A9C">
            <w:pPr>
              <w:rPr>
                <w:rFonts w:ascii="Arial" w:eastAsia="Times New Roman" w:hAnsi="Arial" w:cs="Times New Roman"/>
                <w:i/>
                <w:color w:val="00B050"/>
                <w:sz w:val="20"/>
                <w:szCs w:val="20"/>
              </w:rPr>
            </w:pPr>
            <w:r w:rsidRPr="004652FB">
              <w:rPr>
                <w:rFonts w:ascii="Arial" w:eastAsia="Times New Roman" w:hAnsi="Arial" w:cs="Times New Roman"/>
                <w:i/>
                <w:color w:val="00B050"/>
                <w:sz w:val="20"/>
                <w:szCs w:val="20"/>
              </w:rPr>
              <w:t>Subject</w:t>
            </w:r>
          </w:p>
        </w:tc>
        <w:tc>
          <w:tcPr>
            <w:tcW w:w="3117" w:type="dxa"/>
          </w:tcPr>
          <w:p w14:paraId="6AC8C0F7" w14:textId="69B0B62C" w:rsidR="00F3294E" w:rsidRPr="004652FB" w:rsidRDefault="000D7D70" w:rsidP="004A6A9C">
            <w:pPr>
              <w:rPr>
                <w:rFonts w:ascii="Arial" w:eastAsia="Times New Roman" w:hAnsi="Arial" w:cs="Times New Roman"/>
                <w:i/>
                <w:color w:val="00B050"/>
                <w:sz w:val="20"/>
                <w:szCs w:val="20"/>
              </w:rPr>
            </w:pPr>
            <w:r>
              <w:rPr>
                <w:rFonts w:ascii="Arial" w:eastAsia="Times New Roman" w:hAnsi="Arial" w:cs="Times New Roman"/>
                <w:i/>
                <w:color w:val="00B050"/>
                <w:sz w:val="20"/>
                <w:szCs w:val="20"/>
              </w:rPr>
              <w:t>Participant</w:t>
            </w:r>
          </w:p>
        </w:tc>
        <w:tc>
          <w:tcPr>
            <w:tcW w:w="3117" w:type="dxa"/>
          </w:tcPr>
          <w:p w14:paraId="329FB8D9" w14:textId="1AC97759" w:rsidR="00F3294E" w:rsidRPr="004652FB" w:rsidRDefault="000D7D70" w:rsidP="004A6A9C">
            <w:pPr>
              <w:rPr>
                <w:rFonts w:ascii="Arial" w:eastAsia="Times New Roman" w:hAnsi="Arial" w:cs="Times New Roman"/>
                <w:i/>
                <w:color w:val="00B050"/>
                <w:sz w:val="20"/>
                <w:szCs w:val="20"/>
              </w:rPr>
            </w:pPr>
            <w:r>
              <w:rPr>
                <w:rFonts w:ascii="Arial" w:eastAsia="Times New Roman" w:hAnsi="Arial" w:cs="Times New Roman"/>
                <w:i/>
                <w:color w:val="00B050"/>
                <w:sz w:val="20"/>
                <w:szCs w:val="20"/>
              </w:rPr>
              <w:t>Participant</w:t>
            </w:r>
          </w:p>
        </w:tc>
      </w:tr>
      <w:tr w:rsidR="00F3294E" w:rsidRPr="006E0EA9" w14:paraId="12DD954F" w14:textId="77777777" w:rsidTr="00F3294E">
        <w:tc>
          <w:tcPr>
            <w:tcW w:w="3116" w:type="dxa"/>
          </w:tcPr>
          <w:p w14:paraId="24462AAA" w14:textId="3F278B38" w:rsidR="00F3294E" w:rsidRPr="004652FB" w:rsidRDefault="00F3294E" w:rsidP="004A6A9C">
            <w:pPr>
              <w:rPr>
                <w:rFonts w:ascii="Arial" w:eastAsia="Times New Roman" w:hAnsi="Arial" w:cs="Times New Roman"/>
                <w:i/>
                <w:color w:val="00B050"/>
                <w:sz w:val="20"/>
                <w:szCs w:val="20"/>
              </w:rPr>
            </w:pPr>
            <w:r w:rsidRPr="004652FB">
              <w:rPr>
                <w:rFonts w:ascii="Arial" w:eastAsia="Times New Roman" w:hAnsi="Arial" w:cs="Times New Roman"/>
                <w:i/>
                <w:color w:val="00B050"/>
                <w:sz w:val="20"/>
                <w:szCs w:val="20"/>
              </w:rPr>
              <w:t>Population</w:t>
            </w:r>
          </w:p>
        </w:tc>
        <w:tc>
          <w:tcPr>
            <w:tcW w:w="3117" w:type="dxa"/>
          </w:tcPr>
          <w:p w14:paraId="32DF8650" w14:textId="77777777" w:rsidR="00F3294E" w:rsidRPr="004652FB" w:rsidRDefault="00F3294E" w:rsidP="004A6A9C">
            <w:pPr>
              <w:rPr>
                <w:rFonts w:ascii="Arial" w:eastAsia="Times New Roman" w:hAnsi="Arial" w:cs="Times New Roman"/>
                <w:i/>
                <w:color w:val="00B050"/>
                <w:sz w:val="20"/>
                <w:szCs w:val="20"/>
              </w:rPr>
            </w:pPr>
          </w:p>
        </w:tc>
        <w:tc>
          <w:tcPr>
            <w:tcW w:w="3117" w:type="dxa"/>
          </w:tcPr>
          <w:p w14:paraId="44307AA3" w14:textId="77777777" w:rsidR="00F3294E" w:rsidRPr="004652FB" w:rsidRDefault="00F3294E" w:rsidP="004A6A9C">
            <w:pPr>
              <w:rPr>
                <w:rFonts w:ascii="Arial" w:eastAsia="Times New Roman" w:hAnsi="Arial" w:cs="Times New Roman"/>
                <w:i/>
                <w:color w:val="00B050"/>
                <w:sz w:val="20"/>
                <w:szCs w:val="20"/>
              </w:rPr>
            </w:pPr>
          </w:p>
        </w:tc>
      </w:tr>
      <w:tr w:rsidR="00F3294E" w:rsidRPr="006E0EA9" w14:paraId="5D28D4AD" w14:textId="77777777" w:rsidTr="00F3294E">
        <w:tc>
          <w:tcPr>
            <w:tcW w:w="3116" w:type="dxa"/>
          </w:tcPr>
          <w:p w14:paraId="59B5C639" w14:textId="472AC813" w:rsidR="00F3294E" w:rsidRPr="004652FB" w:rsidRDefault="00F3294E" w:rsidP="004A6A9C">
            <w:pPr>
              <w:rPr>
                <w:rFonts w:ascii="Arial" w:eastAsia="Times New Roman" w:hAnsi="Arial" w:cs="Times New Roman"/>
                <w:i/>
                <w:color w:val="00B050"/>
                <w:sz w:val="20"/>
                <w:szCs w:val="20"/>
              </w:rPr>
            </w:pPr>
            <w:r w:rsidRPr="004652FB">
              <w:rPr>
                <w:rFonts w:ascii="Arial" w:eastAsia="Times New Roman" w:hAnsi="Arial" w:cs="Times New Roman"/>
                <w:i/>
                <w:color w:val="00B050"/>
                <w:sz w:val="20"/>
                <w:szCs w:val="20"/>
              </w:rPr>
              <w:t>Interim analysis</w:t>
            </w:r>
          </w:p>
        </w:tc>
        <w:tc>
          <w:tcPr>
            <w:tcW w:w="3117" w:type="dxa"/>
          </w:tcPr>
          <w:p w14:paraId="2D826056" w14:textId="77777777" w:rsidR="00F3294E" w:rsidRPr="004652FB" w:rsidRDefault="00F3294E" w:rsidP="004A6A9C">
            <w:pPr>
              <w:rPr>
                <w:rFonts w:ascii="Arial" w:eastAsia="Times New Roman" w:hAnsi="Arial" w:cs="Times New Roman"/>
                <w:i/>
                <w:color w:val="00B050"/>
                <w:sz w:val="20"/>
                <w:szCs w:val="20"/>
              </w:rPr>
            </w:pPr>
          </w:p>
        </w:tc>
        <w:tc>
          <w:tcPr>
            <w:tcW w:w="3117" w:type="dxa"/>
          </w:tcPr>
          <w:p w14:paraId="7DB67EBB" w14:textId="77777777" w:rsidR="00F3294E" w:rsidRPr="004652FB" w:rsidRDefault="00F3294E" w:rsidP="004A6A9C">
            <w:pPr>
              <w:rPr>
                <w:rFonts w:ascii="Arial" w:eastAsia="Times New Roman" w:hAnsi="Arial" w:cs="Times New Roman"/>
                <w:i/>
                <w:color w:val="00B050"/>
                <w:sz w:val="20"/>
                <w:szCs w:val="20"/>
              </w:rPr>
            </w:pPr>
          </w:p>
        </w:tc>
      </w:tr>
    </w:tbl>
    <w:p w14:paraId="536D855F" w14:textId="4313E98C" w:rsidR="004C12C5" w:rsidRPr="004A6A9C" w:rsidRDefault="004C12C5" w:rsidP="004C12C5">
      <w:r w:rsidRPr="004A6A9C">
        <w:rPr>
          <w:rStyle w:val="CPTVariable"/>
        </w:rPr>
        <w:t xml:space="preserve">[Changes to the </w:t>
      </w:r>
      <w:r w:rsidR="005E0D6A">
        <w:rPr>
          <w:rStyle w:val="CPTVariable"/>
        </w:rPr>
        <w:t>Master Protocol</w:t>
      </w:r>
      <w:r w:rsidRPr="004A6A9C">
        <w:rPr>
          <w:rStyle w:val="CPTVariable"/>
        </w:rPr>
        <w:t>-planned analyses are described in Section</w:t>
      </w:r>
      <w:r>
        <w:rPr>
          <w:rStyle w:val="CPTVariable"/>
        </w:rPr>
        <w:t xml:space="preserve"> 4.8</w:t>
      </w:r>
      <w:r w:rsidRPr="004A6A9C">
        <w:rPr>
          <w:rStyle w:val="CPTVariable"/>
        </w:rPr>
        <w:t>.]</w:t>
      </w:r>
    </w:p>
    <w:p w14:paraId="2BA25FC9" w14:textId="77777777" w:rsidR="004C12C5" w:rsidRPr="00B24DC5" w:rsidRDefault="004C12C5" w:rsidP="004C12C5">
      <w:pPr>
        <w:pStyle w:val="CPTInstructional"/>
      </w:pPr>
      <w:r w:rsidRPr="00B24DC5">
        <w:t>OR</w:t>
      </w:r>
    </w:p>
    <w:p w14:paraId="012365F5" w14:textId="31E6AA50" w:rsidR="004C12C5" w:rsidRDefault="004C12C5" w:rsidP="004C12C5">
      <w:pPr>
        <w:pStyle w:val="CPTExample"/>
      </w:pPr>
      <w:r w:rsidRPr="004A6A9C">
        <w:rPr>
          <w:rStyle w:val="CPTVariable"/>
        </w:rPr>
        <w:t xml:space="preserve">[There are no changes to the analyses described in the </w:t>
      </w:r>
      <w:r w:rsidR="005E0D6A">
        <w:rPr>
          <w:rStyle w:val="CPTVariable"/>
        </w:rPr>
        <w:t>Master Protocol</w:t>
      </w:r>
      <w:r w:rsidRPr="004A6A9C">
        <w:rPr>
          <w:rStyle w:val="CPTVariable"/>
        </w:rPr>
        <w:t>.]</w:t>
      </w:r>
    </w:p>
    <w:p w14:paraId="59345696" w14:textId="09EA6B4F" w:rsidR="006E0EA9" w:rsidRDefault="006E0EA9" w:rsidP="006E0EA9">
      <w:pPr>
        <w:pStyle w:val="CPTExample"/>
      </w:pPr>
      <w:r>
        <w:t>&lt;END of example text&gt;</w:t>
      </w:r>
    </w:p>
    <w:p w14:paraId="67B69AD1" w14:textId="5A1BE1AE" w:rsidR="00750EA8" w:rsidRDefault="00C914B2" w:rsidP="05CCDB72">
      <w:pPr>
        <w:pStyle w:val="Heading2"/>
      </w:pPr>
      <w:bookmarkStart w:id="8" w:name="_Ref518462088"/>
      <w:bookmarkStart w:id="9" w:name="_Ref518462118"/>
      <w:bookmarkStart w:id="10" w:name="_Ref518462744"/>
      <w:bookmarkStart w:id="11" w:name="_Toc518466156"/>
      <w:bookmarkStart w:id="12" w:name="_Toc518655970"/>
      <w:bookmarkStart w:id="13" w:name="_Ref528673306"/>
      <w:bookmarkStart w:id="14" w:name="_Toc14776515"/>
      <w:bookmarkStart w:id="15" w:name="_Toc14775837"/>
      <w:bookmarkStart w:id="16" w:name="_Ref45603942"/>
      <w:bookmarkStart w:id="17" w:name="_Ref45604080"/>
      <w:bookmarkStart w:id="18" w:name="_Ref45604138"/>
      <w:bookmarkStart w:id="19" w:name="_Ref45607291"/>
      <w:bookmarkStart w:id="20" w:name="_Ref45607310"/>
      <w:bookmarkStart w:id="21" w:name="_Ref45607384"/>
      <w:bookmarkStart w:id="22" w:name="_Toc52192287"/>
      <w:r>
        <w:t>Objectives, Endpoint</w:t>
      </w:r>
      <w:r w:rsidR="000919FF">
        <w:t>s,</w:t>
      </w:r>
      <w:r>
        <w:t xml:space="preserve"> and Estimands</w:t>
      </w:r>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2E0027E6" w14:textId="3E1CE0CE" w:rsidR="00020259" w:rsidRPr="00B24DC5" w:rsidRDefault="000B4845" w:rsidP="00B24DC5">
      <w:pPr>
        <w:pStyle w:val="CPTInstructional"/>
      </w:pPr>
      <w:r>
        <w:rPr>
          <w:lang w:eastAsia="ja-JP"/>
        </w:rPr>
        <w:t xml:space="preserve">Objectives, Estimands, and Endpoint information should be copied directly from Section </w:t>
      </w:r>
      <w:r w:rsidR="002863E0">
        <w:rPr>
          <w:lang w:eastAsia="ja-JP"/>
        </w:rPr>
        <w:t>3</w:t>
      </w:r>
      <w:r>
        <w:rPr>
          <w:lang w:eastAsia="ja-JP"/>
        </w:rPr>
        <w:t xml:space="preserve"> of the </w:t>
      </w:r>
      <w:r w:rsidR="000D7D70">
        <w:rPr>
          <w:lang w:eastAsia="ja-JP"/>
        </w:rPr>
        <w:t>Master Protocol</w:t>
      </w:r>
      <w:r>
        <w:rPr>
          <w:lang w:eastAsia="ja-JP"/>
        </w:rPr>
        <w:t>. Additional estimands may be added to this section.</w:t>
      </w:r>
    </w:p>
    <w:p w14:paraId="0934F135" w14:textId="71602DF3" w:rsidR="00B47F29" w:rsidRDefault="00B47F29" w:rsidP="00B47F29">
      <w:pPr>
        <w:keepNext/>
        <w:spacing w:before="240" w:line="240" w:lineRule="auto"/>
        <w:rPr>
          <w:b/>
          <w:bCs/>
        </w:rPr>
      </w:pPr>
      <w:r w:rsidRPr="00B34C63">
        <w:rPr>
          <w:b/>
          <w:bCs/>
        </w:rPr>
        <w:t xml:space="preserve">Primary estimand/coprimary </w:t>
      </w:r>
      <w:r w:rsidR="00B57FB2" w:rsidRPr="00B34C63">
        <w:rPr>
          <w:b/>
          <w:bCs/>
        </w:rPr>
        <w:t>estimand</w:t>
      </w:r>
      <w:r w:rsidR="00B57FB2">
        <w:rPr>
          <w:b/>
          <w:bCs/>
        </w:rPr>
        <w:t>s</w:t>
      </w:r>
    </w:p>
    <w:p w14:paraId="23FA519B" w14:textId="77777777" w:rsidR="000D7D70" w:rsidRDefault="000D7D70" w:rsidP="000D7D70">
      <w:pPr>
        <w:pStyle w:val="CPTExample"/>
        <w:rPr>
          <w:lang w:val="en-GB"/>
        </w:rPr>
      </w:pPr>
      <w:r>
        <w:rPr>
          <w:lang w:val="en-GB"/>
        </w:rPr>
        <w:t>&lt;Start of example text&gt;</w:t>
      </w:r>
    </w:p>
    <w:p w14:paraId="5519675F" w14:textId="77777777" w:rsidR="000D7D70" w:rsidRDefault="000D7D70" w:rsidP="000D7D70">
      <w:pPr>
        <w:pStyle w:val="CPTExample"/>
      </w:pPr>
      <w:r>
        <w:t xml:space="preserve">The primary clinical question of interest is: What is the treatment difference in </w:t>
      </w:r>
      <w:r w:rsidRPr="00865008">
        <w:rPr>
          <w:rStyle w:val="CPTVariable"/>
        </w:rPr>
        <w:t>[health measurement/outcome]</w:t>
      </w:r>
      <w:r>
        <w:t xml:space="preserve"> after </w:t>
      </w:r>
      <w:r w:rsidRPr="00865008">
        <w:rPr>
          <w:rStyle w:val="CPTVariable"/>
        </w:rPr>
        <w:t>[duration]</w:t>
      </w:r>
      <w:r>
        <w:t xml:space="preserve"> of treatment in participants with </w:t>
      </w:r>
      <w:r w:rsidRPr="00865008">
        <w:rPr>
          <w:rStyle w:val="CPTVariable"/>
        </w:rPr>
        <w:t>[condition/disease]</w:t>
      </w:r>
      <w:r>
        <w:t xml:space="preserve"> regardless of intervention discontinuation for any reason and regardless of initiation of rescue intervention or change in background intervention (dose and product)?</w:t>
      </w:r>
    </w:p>
    <w:p w14:paraId="4A9F8CF7" w14:textId="77777777" w:rsidR="000D7D70" w:rsidRDefault="000D7D70" w:rsidP="000D7D70">
      <w:pPr>
        <w:pStyle w:val="CPTExample"/>
      </w:pPr>
      <w:r>
        <w:t>The estimand is described by the following attributes:</w:t>
      </w:r>
    </w:p>
    <w:p w14:paraId="65EFB752" w14:textId="79207A7A" w:rsidR="000D7D70" w:rsidRDefault="000D7D70" w:rsidP="000D7D70">
      <w:pPr>
        <w:pStyle w:val="CPTExample"/>
      </w:pPr>
      <w:r>
        <w:t xml:space="preserve">Population: participants with </w:t>
      </w:r>
      <w:r w:rsidRPr="00865008">
        <w:rPr>
          <w:rStyle w:val="CPTVariable"/>
        </w:rPr>
        <w:t>[condition/disease]</w:t>
      </w:r>
      <w:r>
        <w:t>. Further details can be found in Section 5</w:t>
      </w:r>
      <w:r w:rsidR="00250A4E">
        <w:t xml:space="preserve"> of the </w:t>
      </w:r>
      <w:r w:rsidR="005E0D6A">
        <w:t>Master Protocol</w:t>
      </w:r>
      <w:r>
        <w:t>.</w:t>
      </w:r>
    </w:p>
    <w:p w14:paraId="3858AB97" w14:textId="322D35EB" w:rsidR="000D7D70" w:rsidRDefault="000D7D70" w:rsidP="000D7D70">
      <w:pPr>
        <w:pStyle w:val="CPTExample"/>
      </w:pPr>
      <w:r>
        <w:t xml:space="preserve">Endpoint: change from baseline </w:t>
      </w:r>
      <w:r w:rsidR="00B57FB2">
        <w:t xml:space="preserve">to </w:t>
      </w:r>
      <w:r w:rsidR="00B57FB2" w:rsidRPr="00865008">
        <w:rPr>
          <w:rStyle w:val="CPTVariable"/>
        </w:rPr>
        <w:t>[timepoint]</w:t>
      </w:r>
      <w:r w:rsidR="00B57FB2">
        <w:t xml:space="preserve"> </w:t>
      </w:r>
      <w:r>
        <w:t xml:space="preserve">in </w:t>
      </w:r>
      <w:r w:rsidRPr="00865008">
        <w:rPr>
          <w:rStyle w:val="CPTVariable"/>
        </w:rPr>
        <w:t>[health measurement/outcome]</w:t>
      </w:r>
    </w:p>
    <w:p w14:paraId="3CBBA1CA" w14:textId="6E079C18" w:rsidR="000D7D70" w:rsidRDefault="000D7D70" w:rsidP="000D7D70">
      <w:pPr>
        <w:pStyle w:val="CPTExample"/>
      </w:pPr>
      <w:r>
        <w:t xml:space="preserve">Treatment condition: the randomized treatment with or without </w:t>
      </w:r>
      <w:r w:rsidRPr="00011F19">
        <w:rPr>
          <w:rStyle w:val="CPTVariable"/>
        </w:rPr>
        <w:t>[rescue medication or change in background medication]</w:t>
      </w:r>
      <w:r>
        <w:t xml:space="preserve"> (treatment policy strategy). Further details on study interventions and concomitant, including rescue, interventions can be found in Section 6</w:t>
      </w:r>
      <w:r w:rsidR="00250A4E">
        <w:t xml:space="preserve"> of the </w:t>
      </w:r>
      <w:r w:rsidR="005E0D6A">
        <w:t>Master Protocol</w:t>
      </w:r>
      <w:r>
        <w:t>.</w:t>
      </w:r>
    </w:p>
    <w:p w14:paraId="053A855F" w14:textId="11FFB9CC" w:rsidR="000D7D70" w:rsidRDefault="000D7D70" w:rsidP="000D7D70">
      <w:pPr>
        <w:pStyle w:val="CPTExample"/>
      </w:pPr>
      <w:r>
        <w:t xml:space="preserve">The </w:t>
      </w:r>
      <w:r w:rsidR="00250A4E">
        <w:t>two</w:t>
      </w:r>
      <w:r>
        <w:t xml:space="preserve"> intercurrent events “treatment discontinuation for any reason” and “initiation of rescue treatment or change in background treatment (dose and product)” are both addressed by the treatment condition of interest attribute. There are no remaining intercurrent events.</w:t>
      </w:r>
    </w:p>
    <w:p w14:paraId="311B4FD3" w14:textId="77777777" w:rsidR="000D7D70" w:rsidRDefault="000D7D70" w:rsidP="000D7D70">
      <w:pPr>
        <w:pStyle w:val="CPTExample"/>
      </w:pPr>
      <w:r>
        <w:t>Population-level summary: difference in mean changes between treatment conditions</w:t>
      </w:r>
    </w:p>
    <w:p w14:paraId="7FD221F9" w14:textId="77777777" w:rsidR="000D7D70" w:rsidRDefault="000D7D70" w:rsidP="000D7D70">
      <w:pPr>
        <w:pStyle w:val="CPTExample"/>
      </w:pPr>
      <w:r>
        <w:t xml:space="preserve">Rationale for estimand: </w:t>
      </w:r>
      <w:r w:rsidRPr="00011F19">
        <w:rPr>
          <w:rStyle w:val="CPTVariable"/>
        </w:rPr>
        <w:t>[rationale]</w:t>
      </w:r>
      <w:r>
        <w:t>.</w:t>
      </w:r>
    </w:p>
    <w:p w14:paraId="4339CF3C" w14:textId="0705F3E8" w:rsidR="000D7D70" w:rsidRPr="00B34C63" w:rsidRDefault="00B57FB2" w:rsidP="00B47F29">
      <w:pPr>
        <w:keepNext/>
        <w:spacing w:before="240" w:line="240" w:lineRule="auto"/>
        <w:rPr>
          <w:b/>
          <w:bCs/>
        </w:rPr>
      </w:pPr>
      <w:r>
        <w:rPr>
          <w:bCs/>
        </w:rPr>
        <w:lastRenderedPageBreak/>
        <w:t>Given the lack of approved therapies any changes to treatment are believed to be in the interest of the participant it is unknown if any of the intercurrent event</w:t>
      </w:r>
      <w:r w:rsidR="00220EC6">
        <w:rPr>
          <w:bCs/>
        </w:rPr>
        <w:t>s</w:t>
      </w:r>
      <w:r>
        <w:rPr>
          <w:bCs/>
        </w:rPr>
        <w:t xml:space="preserve"> will impact the disease trajectory this justifies the treatment policy strategy for this estimand</w:t>
      </w:r>
      <w:r w:rsidR="001F0A04">
        <w:rPr>
          <w:bCs/>
        </w:rPr>
        <w:t>.</w:t>
      </w:r>
    </w:p>
    <w:p w14:paraId="0FC5E85A" w14:textId="58B592F5" w:rsidR="008629FD" w:rsidRDefault="008629FD" w:rsidP="008629FD">
      <w:pPr>
        <w:keepNext/>
        <w:spacing w:before="240" w:line="240" w:lineRule="auto"/>
        <w:rPr>
          <w:b/>
          <w:bCs/>
        </w:rPr>
      </w:pPr>
      <w:r w:rsidRPr="00B34C63">
        <w:rPr>
          <w:b/>
          <w:bCs/>
        </w:rPr>
        <w:t>Secondary estimand(s)</w:t>
      </w:r>
    </w:p>
    <w:p w14:paraId="08E75FBB" w14:textId="77777777" w:rsidR="00680954" w:rsidRDefault="00680954" w:rsidP="00680954">
      <w:pPr>
        <w:pStyle w:val="CPTExample"/>
      </w:pPr>
      <w:r>
        <w:t>The clinical question of interest is for the secondary objecti</w:t>
      </w:r>
      <w:r w:rsidRPr="00372867">
        <w:t>ve regard</w:t>
      </w:r>
      <w:r>
        <w:t xml:space="preserve">ing </w:t>
      </w:r>
      <w:r w:rsidRPr="00011F19">
        <w:rPr>
          <w:rStyle w:val="CPTVariable"/>
        </w:rPr>
        <w:t>[target of intervention]</w:t>
      </w:r>
      <w:r>
        <w:t xml:space="preserve">: What is the treatment difference in the percentage of participants achieving </w:t>
      </w:r>
      <w:r w:rsidRPr="00011F19">
        <w:rPr>
          <w:rStyle w:val="CPTVariable"/>
        </w:rPr>
        <w:t>[health measurement/outcome]</w:t>
      </w:r>
      <w:r>
        <w:t xml:space="preserve"> after </w:t>
      </w:r>
      <w:r w:rsidRPr="00011F19">
        <w:rPr>
          <w:rStyle w:val="CPTVariable"/>
        </w:rPr>
        <w:t>[duration]</w:t>
      </w:r>
      <w:r>
        <w:t xml:space="preserve"> of treatment in participants with </w:t>
      </w:r>
      <w:r w:rsidRPr="00011F19">
        <w:rPr>
          <w:rStyle w:val="CPTVariable"/>
        </w:rPr>
        <w:t>[condition/disease]</w:t>
      </w:r>
      <w:r>
        <w:t xml:space="preserve"> regardless of treatment discontinuation for any reason and regardless of initiation of any interventions affecting </w:t>
      </w:r>
      <w:r w:rsidRPr="00011F19">
        <w:rPr>
          <w:rStyle w:val="CPTVariable"/>
        </w:rPr>
        <w:t>[outcome]</w:t>
      </w:r>
      <w:r>
        <w:t xml:space="preserve">, eg, </w:t>
      </w:r>
      <w:r w:rsidRPr="00011F19">
        <w:rPr>
          <w:rStyle w:val="CPTVariable"/>
        </w:rPr>
        <w:t>[medication and/or surgery]</w:t>
      </w:r>
      <w:r>
        <w:t>?</w:t>
      </w:r>
    </w:p>
    <w:p w14:paraId="2F503DE9" w14:textId="77777777" w:rsidR="00680954" w:rsidRDefault="00680954" w:rsidP="00680954">
      <w:pPr>
        <w:pStyle w:val="CPTExample"/>
      </w:pPr>
      <w:r>
        <w:t>The estimand is described by the following attributes:</w:t>
      </w:r>
    </w:p>
    <w:p w14:paraId="3463D73B" w14:textId="34FC35A3" w:rsidR="00680954" w:rsidRDefault="00680954" w:rsidP="00680954">
      <w:pPr>
        <w:pStyle w:val="CPTExample"/>
      </w:pPr>
      <w:r>
        <w:t xml:space="preserve">Population: participants with </w:t>
      </w:r>
      <w:r w:rsidRPr="00FD2ABF">
        <w:rPr>
          <w:rStyle w:val="CPTVariable"/>
        </w:rPr>
        <w:t>[condition/disease]</w:t>
      </w:r>
      <w:r>
        <w:t xml:space="preserve">. Further details can be found in Section 5 of the </w:t>
      </w:r>
      <w:r w:rsidR="005E0D6A">
        <w:t>Master Protocol</w:t>
      </w:r>
      <w:r>
        <w:t>.</w:t>
      </w:r>
    </w:p>
    <w:p w14:paraId="7544C620" w14:textId="77777777" w:rsidR="00680954" w:rsidRDefault="00680954" w:rsidP="00680954">
      <w:pPr>
        <w:pStyle w:val="CPTExample"/>
      </w:pPr>
      <w:r>
        <w:t>Endpoint: ach</w:t>
      </w:r>
      <w:r w:rsidRPr="00372867">
        <w:t>iev</w:t>
      </w:r>
      <w:r>
        <w:t xml:space="preserve">ement of </w:t>
      </w:r>
      <w:r w:rsidRPr="00FD2ABF">
        <w:rPr>
          <w:rStyle w:val="CPTVariable"/>
        </w:rPr>
        <w:t>[health measurement/outcome]</w:t>
      </w:r>
      <w:r>
        <w:t xml:space="preserve"> at </w:t>
      </w:r>
      <w:r w:rsidRPr="00FD2ABF">
        <w:rPr>
          <w:rStyle w:val="CPTVariable"/>
        </w:rPr>
        <w:t>[timepoint]</w:t>
      </w:r>
    </w:p>
    <w:p w14:paraId="48D3ACC0" w14:textId="4AA27DDD" w:rsidR="00680954" w:rsidRDefault="00680954" w:rsidP="00680954">
      <w:pPr>
        <w:keepNext/>
        <w:spacing w:before="240" w:line="240" w:lineRule="auto"/>
      </w:pPr>
      <w:r>
        <w:t xml:space="preserve">Treatment condition: the randomized treatment with or without any other </w:t>
      </w:r>
      <w:r w:rsidRPr="00FD2ABF">
        <w:rPr>
          <w:rStyle w:val="CPTVariable"/>
        </w:rPr>
        <w:t>[interventions]</w:t>
      </w:r>
      <w:r>
        <w:t xml:space="preserve"> (treatment policy strategy). Further details on study interventions and concomitant, including rescue, interventions can be found in Section 6 of the </w:t>
      </w:r>
      <w:r w:rsidR="005E0D6A">
        <w:t>Master Protocol</w:t>
      </w:r>
      <w:r>
        <w:t>.</w:t>
      </w:r>
    </w:p>
    <w:p w14:paraId="077C8D15" w14:textId="306CFC53" w:rsidR="00B76F5E" w:rsidRPr="00372867" w:rsidRDefault="00B76F5E" w:rsidP="00680954">
      <w:pPr>
        <w:keepNext/>
        <w:spacing w:before="240" w:line="240" w:lineRule="auto"/>
        <w:rPr>
          <w:b/>
          <w:bCs/>
          <w:i/>
          <w:color w:val="00B050"/>
        </w:rPr>
      </w:pPr>
      <w:r w:rsidRPr="00372867">
        <w:rPr>
          <w:i/>
          <w:color w:val="00B050"/>
          <w:lang w:val="en-GB"/>
        </w:rPr>
        <w:t>&lt;End of example text&gt;</w:t>
      </w:r>
    </w:p>
    <w:p w14:paraId="0376EE53" w14:textId="3FFAB958" w:rsidR="00EA3E2B" w:rsidRPr="00C64851" w:rsidRDefault="00EA3E2B" w:rsidP="00EA3E2B">
      <w:pPr>
        <w:pStyle w:val="Heading2"/>
      </w:pPr>
      <w:bookmarkStart w:id="23" w:name="_Toc521400464"/>
      <w:bookmarkStart w:id="24" w:name="_Toc518655971"/>
      <w:bookmarkStart w:id="25" w:name="_Toc518466157"/>
      <w:bookmarkStart w:id="26" w:name="_Toc497118780"/>
      <w:bookmarkStart w:id="27" w:name="_Toc477961594"/>
      <w:bookmarkStart w:id="28" w:name="_Toc421709234"/>
      <w:bookmarkStart w:id="29" w:name="_Toc395881609"/>
      <w:bookmarkStart w:id="30" w:name="_Toc267565136"/>
      <w:bookmarkStart w:id="31" w:name="_Ref45607259"/>
      <w:bookmarkStart w:id="32" w:name="_Toc52192288"/>
      <w:r>
        <w:t>Study Design</w:t>
      </w:r>
      <w:bookmarkEnd w:id="23"/>
      <w:bookmarkEnd w:id="24"/>
      <w:bookmarkEnd w:id="25"/>
      <w:bookmarkEnd w:id="26"/>
      <w:bookmarkEnd w:id="27"/>
      <w:bookmarkEnd w:id="28"/>
      <w:bookmarkEnd w:id="29"/>
      <w:bookmarkEnd w:id="30"/>
      <w:bookmarkEnd w:id="31"/>
      <w:bookmarkEnd w:id="32"/>
    </w:p>
    <w:p w14:paraId="68D0C5EF" w14:textId="22469E39" w:rsidR="00B57FB2" w:rsidRPr="00F01E7A" w:rsidRDefault="00B57FB2" w:rsidP="00B57FB2">
      <w:pPr>
        <w:pStyle w:val="CPTInstructional"/>
      </w:pPr>
      <w:r w:rsidRPr="00F01E7A">
        <w:t xml:space="preserve">Include a brief description to clarify the schema details or add more information not included in the schema. This information should </w:t>
      </w:r>
      <w:r w:rsidR="00372867">
        <w:t>be enhanced</w:t>
      </w:r>
      <w:r w:rsidRPr="00F01E7A">
        <w:t xml:space="preserve"> from the Overall Design section of the </w:t>
      </w:r>
      <w:r w:rsidR="00884086" w:rsidRPr="00F01E7A">
        <w:t xml:space="preserve">MPT </w:t>
      </w:r>
      <w:r w:rsidRPr="00F01E7A">
        <w:t>(Section 4.1).</w:t>
      </w:r>
    </w:p>
    <w:p w14:paraId="4CB0EFBE" w14:textId="2C46481A" w:rsidR="00EA3E2B" w:rsidRPr="00F01E7A" w:rsidRDefault="00B57FB2" w:rsidP="00D65B50">
      <w:pPr>
        <w:pStyle w:val="CPTInstructional"/>
        <w:numPr>
          <w:ilvl w:val="0"/>
          <w:numId w:val="21"/>
        </w:numPr>
      </w:pPr>
      <w:r w:rsidRPr="00F01E7A">
        <w:t>Recommend not duplicating information already in schema</w:t>
      </w:r>
      <w:r w:rsidR="00450895" w:rsidRPr="00F01E7A">
        <w:t>.</w:t>
      </w:r>
    </w:p>
    <w:p w14:paraId="3AEA32AD" w14:textId="77777777" w:rsidR="00EA3E2B" w:rsidRPr="00F01E7A" w:rsidRDefault="00EA3E2B" w:rsidP="00D65B50">
      <w:pPr>
        <w:pStyle w:val="CPTInstructional"/>
        <w:numPr>
          <w:ilvl w:val="0"/>
          <w:numId w:val="21"/>
        </w:numPr>
        <w:spacing w:before="0" w:after="200" w:line="276" w:lineRule="auto"/>
      </w:pPr>
      <w:r w:rsidRPr="00F01E7A">
        <w:t>Use bullets rather than lengthy text, if possible.</w:t>
      </w:r>
    </w:p>
    <w:p w14:paraId="45A6EAD8" w14:textId="77777777" w:rsidR="00EA3E2B" w:rsidRPr="00F01E7A" w:rsidRDefault="00EA3E2B" w:rsidP="00D65B50">
      <w:pPr>
        <w:pStyle w:val="CPTInstructional"/>
        <w:numPr>
          <w:ilvl w:val="0"/>
          <w:numId w:val="21"/>
        </w:numPr>
      </w:pPr>
      <w:r w:rsidRPr="00F01E7A">
        <w:t>Items to consider:</w:t>
      </w:r>
    </w:p>
    <w:p w14:paraId="4C62D6EC" w14:textId="345CC8F7" w:rsidR="00B57FB2" w:rsidRPr="00F01E7A" w:rsidRDefault="00B57FB2" w:rsidP="00D65B50">
      <w:pPr>
        <w:pStyle w:val="CPTInstructional"/>
        <w:numPr>
          <w:ilvl w:val="1"/>
          <w:numId w:val="21"/>
        </w:numPr>
        <w:tabs>
          <w:tab w:val="left" w:pos="1260"/>
        </w:tabs>
      </w:pPr>
      <w:r>
        <w:t xml:space="preserve">Study phase and study population, </w:t>
      </w:r>
      <w:r w:rsidR="2A6F2DAC">
        <w:t>e.g.</w:t>
      </w:r>
      <w:r>
        <w:t>, patient, healthy volunteer</w:t>
      </w:r>
      <w:r w:rsidR="66C5758C">
        <w:t>.</w:t>
      </w:r>
    </w:p>
    <w:p w14:paraId="06DBF846" w14:textId="35899AFE" w:rsidR="00B57FB2" w:rsidRPr="00F01E7A" w:rsidRDefault="00B57FB2" w:rsidP="00D65B50">
      <w:pPr>
        <w:pStyle w:val="CPTInstructional"/>
        <w:numPr>
          <w:ilvl w:val="1"/>
          <w:numId w:val="21"/>
        </w:numPr>
        <w:tabs>
          <w:tab w:val="left" w:pos="1260"/>
        </w:tabs>
      </w:pPr>
      <w:r>
        <w:t xml:space="preserve">Design type, </w:t>
      </w:r>
      <w:r w:rsidR="467E7A20">
        <w:t>e.g.</w:t>
      </w:r>
      <w:r>
        <w:t xml:space="preserve">, parallel, crossover, factorial, single group, SMART (sequential multiple assignment randomized study), and other design elements as required, </w:t>
      </w:r>
      <w:r w:rsidR="2A4010AB">
        <w:t>e.g.</w:t>
      </w:r>
      <w:r>
        <w:t>, dose-escalation, multicenter, adaptation</w:t>
      </w:r>
      <w:r w:rsidR="2FF4CC5C">
        <w:t>.</w:t>
      </w:r>
    </w:p>
    <w:p w14:paraId="3FD0556B" w14:textId="0D2582F5" w:rsidR="00B57FB2" w:rsidRPr="00F01E7A" w:rsidRDefault="00B57FB2" w:rsidP="00D65B50">
      <w:pPr>
        <w:pStyle w:val="CPTInstructional"/>
        <w:numPr>
          <w:ilvl w:val="1"/>
          <w:numId w:val="21"/>
        </w:numPr>
        <w:tabs>
          <w:tab w:val="left" w:pos="1260"/>
        </w:tabs>
      </w:pPr>
      <w:r>
        <w:t xml:space="preserve">Control method, </w:t>
      </w:r>
      <w:r w:rsidR="2E55CCBE">
        <w:t>e.g.</w:t>
      </w:r>
      <w:r>
        <w:t>, placebo, active comparator, low dose, historical, or none (</w:t>
      </w:r>
      <w:r w:rsidR="608B675D">
        <w:t>i.e.</w:t>
      </w:r>
      <w:r>
        <w:t>, uncontrolled)</w:t>
      </w:r>
      <w:r w:rsidR="4072571D">
        <w:t>.</w:t>
      </w:r>
    </w:p>
    <w:p w14:paraId="3669C85B" w14:textId="731DAA79" w:rsidR="00B57FB2" w:rsidRPr="00F01E7A" w:rsidRDefault="00B57FB2" w:rsidP="00D65B50">
      <w:pPr>
        <w:pStyle w:val="CPTInstructional"/>
        <w:numPr>
          <w:ilvl w:val="1"/>
          <w:numId w:val="21"/>
        </w:numPr>
        <w:tabs>
          <w:tab w:val="left" w:pos="1260"/>
        </w:tabs>
      </w:pPr>
      <w:r>
        <w:t xml:space="preserve">Blind level, </w:t>
      </w:r>
      <w:r w:rsidR="14D234A5">
        <w:t>e.g.</w:t>
      </w:r>
      <w:r>
        <w:t>, open-label, single-blind, double-blind, double-blind (sponsor unblinded), matching placebos, double-dummy</w:t>
      </w:r>
      <w:r w:rsidR="2947F36F">
        <w:t>.</w:t>
      </w:r>
    </w:p>
    <w:p w14:paraId="133826C6" w14:textId="5421CA02" w:rsidR="00B57FB2" w:rsidRPr="00F01E7A" w:rsidRDefault="00B57FB2" w:rsidP="00D65B50">
      <w:pPr>
        <w:pStyle w:val="CPTInstructional"/>
        <w:numPr>
          <w:ilvl w:val="1"/>
          <w:numId w:val="21"/>
        </w:numPr>
        <w:tabs>
          <w:tab w:val="left" w:pos="1260"/>
        </w:tabs>
      </w:pPr>
      <w:r>
        <w:t xml:space="preserve">Method of assignment to treatment, </w:t>
      </w:r>
      <w:r w:rsidR="0C4CF130">
        <w:t>e.g.</w:t>
      </w:r>
      <w:r>
        <w:t>, randomization scheme including randomization ratio, stratification</w:t>
      </w:r>
    </w:p>
    <w:p w14:paraId="6C3439FE" w14:textId="1B8159F8" w:rsidR="00B57FB2" w:rsidRDefault="00B57FB2" w:rsidP="00D65B50">
      <w:pPr>
        <w:pStyle w:val="CPTInstructional"/>
        <w:numPr>
          <w:ilvl w:val="1"/>
          <w:numId w:val="21"/>
        </w:numPr>
        <w:tabs>
          <w:tab w:val="left" w:pos="1260"/>
        </w:tabs>
      </w:pPr>
      <w:r>
        <w:t>Total duration of study participation for each participant with sequence and definition of study periods, e</w:t>
      </w:r>
      <w:r w:rsidR="00150288">
        <w:t>.</w:t>
      </w:r>
      <w:r>
        <w:t>g</w:t>
      </w:r>
      <w:r w:rsidR="00150288">
        <w:t>.</w:t>
      </w:r>
      <w:r>
        <w:t>, screening, run-in, fixed dose/titration/maintenance/withdrawal, follow-up/washout periods</w:t>
      </w:r>
      <w:r w:rsidR="4BCB132A">
        <w:t>.</w:t>
      </w:r>
    </w:p>
    <w:p w14:paraId="2AA1AABA" w14:textId="752A76C6" w:rsidR="00B57FB2" w:rsidRDefault="00B57FB2" w:rsidP="00D65B50">
      <w:pPr>
        <w:pStyle w:val="CPTInstructional"/>
        <w:numPr>
          <w:ilvl w:val="1"/>
          <w:numId w:val="21"/>
        </w:numPr>
        <w:tabs>
          <w:tab w:val="left" w:pos="1260"/>
        </w:tabs>
      </w:pPr>
      <w:r>
        <w:lastRenderedPageBreak/>
        <w:t>Description of any provisions for extending the study or entry to rollover studies</w:t>
      </w:r>
      <w:r w:rsidR="0350ED6C">
        <w:t>.</w:t>
      </w:r>
    </w:p>
    <w:p w14:paraId="171F7950" w14:textId="4F65F541" w:rsidR="00B57FB2" w:rsidRDefault="00B57FB2" w:rsidP="00D65B50">
      <w:pPr>
        <w:pStyle w:val="CPTInstructional"/>
        <w:numPr>
          <w:ilvl w:val="1"/>
          <w:numId w:val="21"/>
        </w:numPr>
        <w:tabs>
          <w:tab w:val="left" w:pos="1260"/>
        </w:tabs>
      </w:pPr>
      <w:r>
        <w:t>Rules/procedures for dose changes/adjustments including flexible dosing; dose reductions, interruptions, tapering, or rescue; temporary/permanent discontinuation; and any circumstances for resuming study intervention, as applicable</w:t>
      </w:r>
      <w:r w:rsidR="16D24A0A">
        <w:t>.</w:t>
      </w:r>
    </w:p>
    <w:p w14:paraId="2D7DC070" w14:textId="093636F4" w:rsidR="00B57FB2" w:rsidRDefault="00B57FB2" w:rsidP="00D65B50">
      <w:pPr>
        <w:pStyle w:val="CPTInstructional"/>
        <w:numPr>
          <w:ilvl w:val="1"/>
          <w:numId w:val="21"/>
        </w:numPr>
        <w:tabs>
          <w:tab w:val="left" w:pos="1260"/>
        </w:tabs>
      </w:pPr>
      <w:r>
        <w:t>Planned interim analyses</w:t>
      </w:r>
      <w:r w:rsidR="42A74F2F">
        <w:t>.</w:t>
      </w:r>
    </w:p>
    <w:p w14:paraId="4C4C6260" w14:textId="61BF17CB" w:rsidR="00B57FB2" w:rsidRDefault="00B57FB2" w:rsidP="00D65B50">
      <w:pPr>
        <w:pStyle w:val="CPTInstructional"/>
        <w:numPr>
          <w:ilvl w:val="1"/>
          <w:numId w:val="21"/>
        </w:numPr>
        <w:tabs>
          <w:tab w:val="left" w:pos="1260"/>
        </w:tabs>
      </w:pPr>
      <w:r>
        <w:t xml:space="preserve">Describe when the primary analysis will be performed, </w:t>
      </w:r>
      <w:r w:rsidR="7224FF6B">
        <w:t>e.g.</w:t>
      </w:r>
      <w:r>
        <w:t xml:space="preserve">, at database release after last participant last visit, at 100% primary endpoint data availability. Also describe final analysis timing if there will be subsequent reporting events, </w:t>
      </w:r>
      <w:r w:rsidR="3C3DA799">
        <w:t>e.g.</w:t>
      </w:r>
      <w:r>
        <w:t>, after long-term follow-up.</w:t>
      </w:r>
    </w:p>
    <w:p w14:paraId="001B48BE" w14:textId="74C58D65" w:rsidR="00B76F5E" w:rsidRPr="00B57FB2" w:rsidRDefault="00B57FB2" w:rsidP="00D65B50">
      <w:pPr>
        <w:pStyle w:val="CPTExample"/>
        <w:numPr>
          <w:ilvl w:val="0"/>
          <w:numId w:val="21"/>
        </w:numPr>
        <w:rPr>
          <w:rFonts w:eastAsiaTheme="minorEastAsia"/>
        </w:rPr>
      </w:pPr>
      <w:r w:rsidRPr="006446B8">
        <w:rPr>
          <w:rFonts w:eastAsiaTheme="minorEastAsia"/>
        </w:rPr>
        <w:t>&lt;Start of suggested text&gt;</w:t>
      </w:r>
    </w:p>
    <w:p w14:paraId="31C24165" w14:textId="77777777" w:rsidR="00B76F5E" w:rsidRPr="004652FB" w:rsidRDefault="00B76F5E" w:rsidP="00D65B50">
      <w:pPr>
        <w:pStyle w:val="ListParagraph"/>
        <w:numPr>
          <w:ilvl w:val="0"/>
          <w:numId w:val="21"/>
        </w:numPr>
      </w:pPr>
      <w:r w:rsidRPr="004652FB">
        <w:t xml:space="preserve">This is a </w:t>
      </w:r>
      <w:r w:rsidRPr="004652FB">
        <w:rPr>
          <w:rStyle w:val="CPTVariable"/>
        </w:rPr>
        <w:t>[Phase 2a, Phase 2b, Phase 2a/b, Phase 3, Phase 2/3]</w:t>
      </w:r>
      <w:r w:rsidRPr="004652FB">
        <w:t xml:space="preserve"> platform study to investigate the </w:t>
      </w:r>
      <w:r w:rsidRPr="004652FB">
        <w:rPr>
          <w:rStyle w:val="CPTVariable"/>
        </w:rPr>
        <w:t>[purpose (eg, efficacy and safety)]</w:t>
      </w:r>
      <w:r w:rsidRPr="004652FB">
        <w:t xml:space="preserve"> of multiple study interventions simultaneously or sequentially in cohorts of </w:t>
      </w:r>
      <w:r w:rsidRPr="004652FB">
        <w:rPr>
          <w:rStyle w:val="CPTVariable"/>
        </w:rPr>
        <w:t>[provide high-level description of the study population].</w:t>
      </w:r>
      <w:r w:rsidRPr="004652FB">
        <w:t xml:space="preserve"> </w:t>
      </w:r>
    </w:p>
    <w:p w14:paraId="04538528" w14:textId="20ED74BD" w:rsidR="00B76F5E" w:rsidRPr="004652FB" w:rsidRDefault="00B57FB2" w:rsidP="00D65B50">
      <w:pPr>
        <w:pStyle w:val="ListParagraph"/>
        <w:numPr>
          <w:ilvl w:val="0"/>
          <w:numId w:val="21"/>
        </w:numPr>
      </w:pPr>
      <w:r w:rsidRPr="00F65D87">
        <w:t>Th</w:t>
      </w:r>
      <w:r w:rsidR="00810203">
        <w:t>e</w:t>
      </w:r>
      <w:r w:rsidRPr="00F65D87">
        <w:t xml:space="preserve"> </w:t>
      </w:r>
      <w:r w:rsidR="005E0D6A">
        <w:t>Master Protocol</w:t>
      </w:r>
      <w:r w:rsidRPr="00F65D87">
        <w:t xml:space="preserve"> </w:t>
      </w:r>
      <w:r w:rsidR="00B76F5E" w:rsidRPr="004652FB">
        <w:t xml:space="preserve">describes the framework for the general study population and the common study elements of the platform study. The accompanying ISA(s) will present the intervention-specific information, including intervention-specific objectives, the justification for the study intervention dose(s), the number of participants to be assigned to an intervention cohort, any additional inclusion and exclusion criteria, and any additional study elements for the study intervention(s) as applicable. </w:t>
      </w:r>
    </w:p>
    <w:p w14:paraId="1327F9A5" w14:textId="77777777" w:rsidR="00B76F5E" w:rsidRPr="004652FB" w:rsidRDefault="00B76F5E" w:rsidP="00D65B50">
      <w:pPr>
        <w:pStyle w:val="ListParagraph"/>
        <w:numPr>
          <w:ilvl w:val="0"/>
          <w:numId w:val="21"/>
        </w:numPr>
      </w:pPr>
      <w:r w:rsidRPr="004652FB">
        <w:t xml:space="preserve">The study will be conducted in several phases: </w:t>
      </w:r>
      <w:r w:rsidRPr="004652FB">
        <w:rPr>
          <w:rStyle w:val="CPTVariable"/>
        </w:rPr>
        <w:t>[provide high-level description of the study phases]</w:t>
      </w:r>
      <w:r w:rsidRPr="004652FB">
        <w:t xml:space="preserve">. The duration of individual participation will be approximately </w:t>
      </w:r>
      <w:r w:rsidRPr="004652FB">
        <w:rPr>
          <w:rStyle w:val="CPTVariable"/>
        </w:rPr>
        <w:t>[specify number of weeks or months</w:t>
      </w:r>
      <w:r w:rsidRPr="004652FB">
        <w:t xml:space="preserve">]. </w:t>
      </w:r>
    </w:p>
    <w:p w14:paraId="7FA0E590" w14:textId="77777777" w:rsidR="00B76F5E" w:rsidRPr="004652FB" w:rsidRDefault="00B76F5E" w:rsidP="00D65B50">
      <w:pPr>
        <w:pStyle w:val="ListParagraph"/>
        <w:numPr>
          <w:ilvl w:val="0"/>
          <w:numId w:val="21"/>
        </w:numPr>
      </w:pPr>
      <w:r w:rsidRPr="004652FB">
        <w:rPr>
          <w:rStyle w:val="CPTVariable"/>
        </w:rPr>
        <w:t xml:space="preserve">[Randomization across ISAs will be performed if at site level there is overlapping recruitment for at least 2 ISAs, the ISAs are focused on recruiting the same population (ie, no conflicting in/exclusion criteria), and the interventions have a similar benefit-risk ratio.] </w:t>
      </w:r>
    </w:p>
    <w:p w14:paraId="5A93AF1C" w14:textId="471099F2" w:rsidR="00B76F5E" w:rsidRPr="004652FB" w:rsidRDefault="00B76F5E" w:rsidP="00D65B50">
      <w:pPr>
        <w:pStyle w:val="ListParagraph"/>
        <w:numPr>
          <w:ilvl w:val="0"/>
          <w:numId w:val="21"/>
        </w:numPr>
      </w:pPr>
      <w:r w:rsidRPr="1D4C8F4E">
        <w:rPr>
          <w:rStyle w:val="CPTVariable"/>
        </w:rPr>
        <w:t xml:space="preserve">[Participants who do not meet all screening criteria for a particular ISA and agree to participate in another ISA may need to repeat some of the screening activities for the </w:t>
      </w:r>
      <w:r w:rsidR="005E0D6A">
        <w:rPr>
          <w:rStyle w:val="CPTVariable"/>
        </w:rPr>
        <w:t>Master Protocol</w:t>
      </w:r>
      <w:r w:rsidRPr="1D4C8F4E">
        <w:rPr>
          <w:rStyle w:val="CPTVariable"/>
        </w:rPr>
        <w:t xml:space="preserve"> if they are outside the screening window as detailed in the applicable ISA.] </w:t>
      </w:r>
    </w:p>
    <w:p w14:paraId="6EB1B14A" w14:textId="77777777" w:rsidR="00B76F5E" w:rsidRPr="004652FB" w:rsidRDefault="00B76F5E" w:rsidP="00D65B50">
      <w:pPr>
        <w:pStyle w:val="ListParagraph"/>
        <w:numPr>
          <w:ilvl w:val="0"/>
          <w:numId w:val="21"/>
        </w:numPr>
      </w:pPr>
      <w:r w:rsidRPr="004652FB">
        <w:rPr>
          <w:rStyle w:val="CPTVariable"/>
        </w:rPr>
        <w:t>[In general, participants who have enrolled in a given ISA will have the option to re-enroll in a different or subsequent ISA (if available) only after they have completed participation to the first ISA, and if they meet the new intervention-specific eligibility criteria.]</w:t>
      </w:r>
      <w:r w:rsidRPr="004652FB">
        <w:t xml:space="preserve">  </w:t>
      </w:r>
    </w:p>
    <w:p w14:paraId="31EB6835" w14:textId="77777777" w:rsidR="00B76F5E" w:rsidRPr="004652FB" w:rsidRDefault="00B76F5E" w:rsidP="00D65B50">
      <w:pPr>
        <w:pStyle w:val="ListParagraph"/>
        <w:numPr>
          <w:ilvl w:val="0"/>
          <w:numId w:val="21"/>
        </w:numPr>
      </w:pPr>
      <w:r w:rsidRPr="004652FB">
        <w:t xml:space="preserve">Throughout the study </w:t>
      </w:r>
      <w:r w:rsidRPr="004652FB">
        <w:rPr>
          <w:rStyle w:val="CPTVariable"/>
        </w:rPr>
        <w:t>[efficacy, safety, pharmacokinetics, pharmacodynamics, pharmacogenomics, biomarkers, immunogenicity, health economics]</w:t>
      </w:r>
      <w:r w:rsidRPr="004652FB">
        <w:t xml:space="preserve"> will be assessed at the timepoints indicated in the applicable ISA Schedule of Activities.  </w:t>
      </w:r>
    </w:p>
    <w:p w14:paraId="2F098AB4" w14:textId="77777777" w:rsidR="00B76F5E" w:rsidRPr="004652FB" w:rsidRDefault="00B76F5E" w:rsidP="00D65B50">
      <w:pPr>
        <w:pStyle w:val="ListParagraph"/>
        <w:numPr>
          <w:ilvl w:val="0"/>
          <w:numId w:val="21"/>
        </w:numPr>
      </w:pPr>
      <w:r w:rsidRPr="004652FB">
        <w:t xml:space="preserve">A database lock is planned to occur after the completion of each intervention cohort.  </w:t>
      </w:r>
    </w:p>
    <w:p w14:paraId="1C1ADFE1" w14:textId="77777777" w:rsidR="00B76F5E" w:rsidRPr="004652FB" w:rsidRDefault="00B76F5E" w:rsidP="00D65B50">
      <w:pPr>
        <w:pStyle w:val="ListParagraph"/>
        <w:numPr>
          <w:ilvl w:val="0"/>
          <w:numId w:val="21"/>
        </w:numPr>
      </w:pPr>
      <w:r w:rsidRPr="004652FB">
        <w:rPr>
          <w:rStyle w:val="CPTVariable"/>
        </w:rPr>
        <w:t xml:space="preserve">[Additional database locks may be added for an individual intervention cohort if appropriate and will be specified in the ISA].  </w:t>
      </w:r>
    </w:p>
    <w:p w14:paraId="4E0B6EF6" w14:textId="77777777" w:rsidR="00B76F5E" w:rsidRPr="004652FB" w:rsidRDefault="00B76F5E" w:rsidP="00D65B50">
      <w:pPr>
        <w:pStyle w:val="ListParagraph"/>
        <w:numPr>
          <w:ilvl w:val="0"/>
          <w:numId w:val="21"/>
        </w:numPr>
        <w:rPr>
          <w:rStyle w:val="CPTVariable"/>
        </w:rPr>
      </w:pPr>
      <w:r w:rsidRPr="004652FB">
        <w:rPr>
          <w:rStyle w:val="CPTVariable"/>
        </w:rPr>
        <w:t xml:space="preserve">[A Data Monitoring Committee will be commissioned to review safety data periodically.]     </w:t>
      </w:r>
    </w:p>
    <w:p w14:paraId="27ACC45C" w14:textId="77777777" w:rsidR="00B76F5E" w:rsidRPr="004652FB" w:rsidRDefault="00B76F5E" w:rsidP="00D65B50">
      <w:pPr>
        <w:pStyle w:val="ListParagraph"/>
        <w:numPr>
          <w:ilvl w:val="0"/>
          <w:numId w:val="21"/>
        </w:numPr>
      </w:pPr>
      <w:r w:rsidRPr="004652FB">
        <w:rPr>
          <w:rStyle w:val="CPTVariable"/>
        </w:rPr>
        <w:t xml:space="preserve">[Within each intervention cohort, interim analyses maybe performed, if applicable, at pre-specified time points.  An Interim Analysis/Adaptations Committee will review the interim efficacy analysis results.]  </w:t>
      </w:r>
    </w:p>
    <w:p w14:paraId="29F5D3F7" w14:textId="77777777" w:rsidR="00B76F5E" w:rsidRPr="004652FB" w:rsidRDefault="00B76F5E" w:rsidP="00D65B50">
      <w:pPr>
        <w:pStyle w:val="ListParagraph"/>
        <w:numPr>
          <w:ilvl w:val="0"/>
          <w:numId w:val="21"/>
        </w:numPr>
      </w:pPr>
      <w:r w:rsidRPr="004652FB">
        <w:rPr>
          <w:rStyle w:val="CPTVariable"/>
        </w:rPr>
        <w:lastRenderedPageBreak/>
        <w:t xml:space="preserve">[An intervention arm within a given ISA or the complete ISA may be terminated if it is determined to be efficacious or futile based on interim analysis results or due to safety concerns]. </w:t>
      </w:r>
    </w:p>
    <w:p w14:paraId="56D17CB3" w14:textId="77777777" w:rsidR="00B76F5E" w:rsidRPr="00B76F5E" w:rsidRDefault="00B76F5E" w:rsidP="006122E2">
      <w:pPr>
        <w:pStyle w:val="CPTExample"/>
        <w:ind w:left="450"/>
      </w:pPr>
      <w:r w:rsidRPr="004652FB">
        <w:rPr>
          <w:rFonts w:eastAsiaTheme="minorEastAsia"/>
        </w:rPr>
        <w:t>&lt;End of suggested text&gt;</w:t>
      </w:r>
    </w:p>
    <w:p w14:paraId="344B661E" w14:textId="30A922E1" w:rsidR="00EA3E2B" w:rsidRDefault="00EA3E2B" w:rsidP="00A13D0A">
      <w:pPr>
        <w:pStyle w:val="Heading1"/>
      </w:pPr>
      <w:bookmarkStart w:id="33" w:name="_Ref436919059"/>
      <w:bookmarkStart w:id="34" w:name="_Toc421709257"/>
      <w:bookmarkStart w:id="35" w:name="_Toc395881629"/>
      <w:bookmarkStart w:id="36" w:name="_Toc521400465"/>
      <w:bookmarkStart w:id="37" w:name="_Toc518655972"/>
      <w:bookmarkStart w:id="38" w:name="_Toc518466158"/>
      <w:bookmarkStart w:id="39" w:name="_Ref518462712"/>
      <w:bookmarkStart w:id="40" w:name="_Ref45603776"/>
      <w:bookmarkStart w:id="41" w:name="_Ref45607330"/>
      <w:bookmarkStart w:id="42" w:name="_Toc52192289"/>
      <w:bookmarkEnd w:id="33"/>
      <w:bookmarkEnd w:id="34"/>
      <w:bookmarkEnd w:id="35"/>
      <w:r>
        <w:lastRenderedPageBreak/>
        <w:t xml:space="preserve">Statistical </w:t>
      </w:r>
      <w:r w:rsidRPr="00A13D0A">
        <w:t>Hypotheses</w:t>
      </w:r>
      <w:bookmarkEnd w:id="36"/>
      <w:bookmarkEnd w:id="37"/>
      <w:bookmarkEnd w:id="38"/>
      <w:bookmarkEnd w:id="39"/>
      <w:bookmarkEnd w:id="40"/>
      <w:bookmarkEnd w:id="41"/>
      <w:bookmarkEnd w:id="42"/>
    </w:p>
    <w:p w14:paraId="76689692" w14:textId="473C914E" w:rsidR="00EB2329" w:rsidRPr="007412AD" w:rsidRDefault="00EB2329" w:rsidP="00EB2329">
      <w:pPr>
        <w:pStyle w:val="CPTInstructional"/>
        <w:rPr>
          <w:rFonts w:cs="Cordia New"/>
          <w:color w:val="auto"/>
          <w:sz w:val="24"/>
          <w:szCs w:val="22"/>
        </w:rPr>
      </w:pPr>
      <w:r>
        <w:t xml:space="preserve">The information should be </w:t>
      </w:r>
      <w:r w:rsidR="006B12EB">
        <w:t>derived</w:t>
      </w:r>
      <w:r>
        <w:t xml:space="preserve"> from the protocol (Section 9.1). Additional details may be added. </w:t>
      </w:r>
    </w:p>
    <w:p w14:paraId="57C04F29" w14:textId="406C14EA" w:rsidR="00B57FB2" w:rsidRDefault="00B57FB2" w:rsidP="00B57FB2">
      <w:pPr>
        <w:pStyle w:val="Heading2"/>
      </w:pPr>
      <w:bookmarkStart w:id="43" w:name="_Toc44422517"/>
      <w:bookmarkStart w:id="44" w:name="_Toc52192290"/>
      <w:bookmarkStart w:id="45" w:name="_Hlk34739494"/>
      <w:r>
        <w:t>Multiplicity Adjustment</w:t>
      </w:r>
      <w:bookmarkEnd w:id="43"/>
      <w:bookmarkEnd w:id="44"/>
    </w:p>
    <w:p w14:paraId="09720039" w14:textId="62EEA6B0" w:rsidR="004652FB" w:rsidRPr="004652FB" w:rsidRDefault="004652FB" w:rsidP="00D65B50">
      <w:pPr>
        <w:numPr>
          <w:ilvl w:val="0"/>
          <w:numId w:val="47"/>
        </w:numPr>
        <w:spacing w:before="0" w:after="0" w:line="240" w:lineRule="auto"/>
        <w:textAlignment w:val="baseline"/>
        <w:rPr>
          <w:rFonts w:eastAsia="Times New Roman" w:cs="Times New Roman"/>
          <w:color w:val="FF0000"/>
          <w:sz w:val="22"/>
          <w:lang w:eastAsia="de-AT"/>
        </w:rPr>
      </w:pPr>
      <w:r>
        <w:rPr>
          <w:rFonts w:eastAsia="Times New Roman" w:cs="Times New Roman"/>
          <w:color w:val="FF0000"/>
          <w:sz w:val="22"/>
          <w:lang w:eastAsia="de-AT"/>
        </w:rPr>
        <w:t xml:space="preserve">Please </w:t>
      </w:r>
      <w:r w:rsidRPr="004652FB">
        <w:rPr>
          <w:rFonts w:eastAsia="Times New Roman" w:cs="Times New Roman"/>
          <w:color w:val="FF0000"/>
          <w:sz w:val="22"/>
          <w:lang w:eastAsia="de-AT"/>
        </w:rPr>
        <w:t xml:space="preserve">refer to both the </w:t>
      </w:r>
      <w:r w:rsidR="005E0D6A">
        <w:rPr>
          <w:rFonts w:eastAsia="Times New Roman" w:cs="Times New Roman"/>
          <w:color w:val="FF0000"/>
          <w:sz w:val="22"/>
          <w:lang w:eastAsia="de-AT"/>
        </w:rPr>
        <w:t>Master Protocol</w:t>
      </w:r>
      <w:r w:rsidRPr="004652FB">
        <w:rPr>
          <w:rFonts w:eastAsia="Times New Roman" w:cs="Times New Roman"/>
          <w:color w:val="FF0000"/>
          <w:sz w:val="22"/>
          <w:lang w:eastAsia="de-AT"/>
        </w:rPr>
        <w:t xml:space="preserve"> </w:t>
      </w:r>
      <w:r w:rsidR="00AB1214">
        <w:rPr>
          <w:rFonts w:eastAsia="Times New Roman" w:cs="Times New Roman"/>
          <w:color w:val="FF0000"/>
          <w:sz w:val="22"/>
          <w:lang w:eastAsia="de-AT"/>
        </w:rPr>
        <w:t xml:space="preserve">and Master Protocol SAP (mSAP) </w:t>
      </w:r>
      <w:r w:rsidRPr="004652FB">
        <w:rPr>
          <w:rFonts w:eastAsia="Times New Roman" w:cs="Times New Roman"/>
          <w:color w:val="FF0000"/>
          <w:sz w:val="22"/>
          <w:lang w:eastAsia="de-AT"/>
        </w:rPr>
        <w:t>and if applicable to ISAs whether a multiplicity adjustment is applied across ISAs</w:t>
      </w:r>
      <w:r>
        <w:rPr>
          <w:rFonts w:eastAsia="Times New Roman" w:cs="Times New Roman"/>
          <w:color w:val="FF0000"/>
          <w:sz w:val="22"/>
          <w:lang w:eastAsia="de-AT"/>
        </w:rPr>
        <w:t>.</w:t>
      </w:r>
    </w:p>
    <w:p w14:paraId="6AE691A3" w14:textId="07CEAAAA" w:rsidR="009C783D" w:rsidRDefault="009C783D" w:rsidP="6E66B177">
      <w:pPr>
        <w:numPr>
          <w:ilvl w:val="0"/>
          <w:numId w:val="47"/>
        </w:numPr>
        <w:spacing w:before="0" w:after="0" w:line="240" w:lineRule="auto"/>
        <w:textAlignment w:val="baseline"/>
        <w:rPr>
          <w:rFonts w:eastAsia="Times New Roman" w:cs="Times New Roman"/>
          <w:color w:val="FF0000"/>
          <w:sz w:val="22"/>
          <w:lang w:eastAsia="de-AT"/>
        </w:rPr>
      </w:pPr>
      <w:r w:rsidRPr="6E66B177">
        <w:rPr>
          <w:rFonts w:eastAsia="Times New Roman" w:cs="Times New Roman"/>
          <w:color w:val="FF0000"/>
          <w:sz w:val="22"/>
          <w:lang w:eastAsia="de-AT"/>
        </w:rPr>
        <w:t>Please state if multiplicity shall be controlled for a certain family of hypotheses, for example for a certain set of hypotheses linked to a specific ISA</w:t>
      </w:r>
      <w:r w:rsidR="00BF074E" w:rsidRPr="6E66B177">
        <w:rPr>
          <w:rFonts w:eastAsia="Times New Roman" w:cs="Times New Roman"/>
          <w:color w:val="FF0000"/>
          <w:sz w:val="22"/>
          <w:lang w:eastAsia="de-AT"/>
        </w:rPr>
        <w:t xml:space="preserve"> or across the </w:t>
      </w:r>
      <w:r w:rsidR="00021BFC">
        <w:rPr>
          <w:rFonts w:eastAsia="Times New Roman" w:cs="Times New Roman"/>
          <w:color w:val="FF0000"/>
          <w:sz w:val="22"/>
          <w:lang w:eastAsia="de-AT"/>
        </w:rPr>
        <w:t>platform study</w:t>
      </w:r>
      <w:r w:rsidR="00BF074E" w:rsidRPr="6E66B177">
        <w:rPr>
          <w:rFonts w:eastAsia="Times New Roman" w:cs="Times New Roman"/>
          <w:color w:val="FF0000"/>
          <w:sz w:val="22"/>
          <w:lang w:eastAsia="de-AT"/>
        </w:rPr>
        <w:t>.</w:t>
      </w:r>
    </w:p>
    <w:p w14:paraId="17EF6BC5" w14:textId="0E9210BA" w:rsidR="00523EE9" w:rsidRDefault="004652FB" w:rsidP="00D65B50">
      <w:pPr>
        <w:pStyle w:val="ListParagraph"/>
        <w:numPr>
          <w:ilvl w:val="0"/>
          <w:numId w:val="47"/>
        </w:numPr>
        <w:spacing w:line="240" w:lineRule="auto"/>
        <w:rPr>
          <w:color w:val="FF0000"/>
          <w:sz w:val="22"/>
          <w:szCs w:val="22"/>
          <w:lang w:eastAsia="de-AT"/>
        </w:rPr>
      </w:pPr>
      <w:r w:rsidRPr="004652FB">
        <w:rPr>
          <w:color w:val="FF0000"/>
          <w:sz w:val="22"/>
          <w:szCs w:val="22"/>
          <w:lang w:eastAsia="de-AT"/>
        </w:rPr>
        <w:t xml:space="preserve">In a </w:t>
      </w:r>
      <w:r w:rsidR="00021BFC">
        <w:rPr>
          <w:color w:val="FF0000"/>
          <w:sz w:val="22"/>
          <w:szCs w:val="22"/>
          <w:lang w:eastAsia="de-AT"/>
        </w:rPr>
        <w:t>platform study</w:t>
      </w:r>
      <w:r w:rsidRPr="004652FB">
        <w:rPr>
          <w:color w:val="FF0000"/>
          <w:sz w:val="22"/>
          <w:szCs w:val="22"/>
          <w:lang w:eastAsia="de-AT"/>
        </w:rPr>
        <w:t xml:space="preserve">, different sets of families of hypotheses might be defined, e.g., for each intervention-control comparison including a pre-defined set of primary and secondary endpoints. A rationale must be given. If the same adjustment methods are applied across all intervention cohorts in the </w:t>
      </w:r>
      <w:r w:rsidR="005E0D6A">
        <w:rPr>
          <w:color w:val="FF0000"/>
          <w:sz w:val="22"/>
          <w:szCs w:val="22"/>
          <w:lang w:eastAsia="de-AT"/>
        </w:rPr>
        <w:t>Master Protocol</w:t>
      </w:r>
      <w:r w:rsidRPr="004652FB">
        <w:rPr>
          <w:color w:val="FF0000"/>
          <w:sz w:val="22"/>
          <w:szCs w:val="22"/>
          <w:lang w:eastAsia="de-AT"/>
        </w:rPr>
        <w:t xml:space="preserve">, the overarching scheme is to be described in the </w:t>
      </w:r>
      <w:r w:rsidR="005E0D6A">
        <w:rPr>
          <w:color w:val="FF0000"/>
          <w:sz w:val="22"/>
          <w:szCs w:val="22"/>
          <w:lang w:eastAsia="de-AT"/>
        </w:rPr>
        <w:t>Master Protocol</w:t>
      </w:r>
      <w:r w:rsidRPr="004652FB">
        <w:rPr>
          <w:color w:val="FF0000"/>
          <w:sz w:val="22"/>
          <w:szCs w:val="22"/>
          <w:lang w:eastAsia="de-AT"/>
        </w:rPr>
        <w:t xml:space="preserve"> itself and should be copied from there to the </w:t>
      </w:r>
      <w:r w:rsidR="003C4CFC">
        <w:rPr>
          <w:color w:val="FF0000"/>
          <w:sz w:val="22"/>
          <w:szCs w:val="22"/>
          <w:lang w:eastAsia="de-AT"/>
        </w:rPr>
        <w:t>m</w:t>
      </w:r>
      <w:r w:rsidRPr="004652FB">
        <w:rPr>
          <w:color w:val="FF0000"/>
          <w:sz w:val="22"/>
          <w:szCs w:val="22"/>
          <w:lang w:eastAsia="de-AT"/>
        </w:rPr>
        <w:t xml:space="preserve">SAP. In the </w:t>
      </w:r>
      <w:r w:rsidR="003C4CFC">
        <w:rPr>
          <w:color w:val="FF0000"/>
          <w:sz w:val="22"/>
          <w:szCs w:val="22"/>
          <w:lang w:eastAsia="de-AT"/>
        </w:rPr>
        <w:t>ISA-</w:t>
      </w:r>
      <w:r w:rsidRPr="004652FB">
        <w:rPr>
          <w:color w:val="FF0000"/>
          <w:sz w:val="22"/>
          <w:szCs w:val="22"/>
          <w:lang w:eastAsia="de-AT"/>
        </w:rPr>
        <w:t xml:space="preserve">SAP, additional details might be given how the adjustment is implement specifically for </w:t>
      </w:r>
      <w:r w:rsidR="003C4CFC">
        <w:rPr>
          <w:color w:val="FF0000"/>
          <w:sz w:val="22"/>
          <w:szCs w:val="22"/>
          <w:lang w:eastAsia="de-AT"/>
        </w:rPr>
        <w:t>a specific intervention</w:t>
      </w:r>
      <w:r w:rsidRPr="004652FB">
        <w:rPr>
          <w:color w:val="FF0000"/>
          <w:sz w:val="22"/>
          <w:szCs w:val="22"/>
          <w:lang w:eastAsia="de-AT"/>
        </w:rPr>
        <w:t>.</w:t>
      </w:r>
    </w:p>
    <w:p w14:paraId="7C99CF6C" w14:textId="11DAE430" w:rsidR="004652FB" w:rsidRPr="00523EE9" w:rsidRDefault="00662861" w:rsidP="00D65B50">
      <w:pPr>
        <w:pStyle w:val="ListParagraph"/>
        <w:numPr>
          <w:ilvl w:val="0"/>
          <w:numId w:val="47"/>
        </w:numPr>
        <w:spacing w:line="240" w:lineRule="auto"/>
        <w:rPr>
          <w:color w:val="FF0000"/>
          <w:sz w:val="22"/>
          <w:szCs w:val="22"/>
          <w:lang w:eastAsia="de-AT"/>
        </w:rPr>
      </w:pPr>
      <w:r w:rsidRPr="6E66B177">
        <w:rPr>
          <w:color w:val="FF0000"/>
          <w:sz w:val="22"/>
          <w:szCs w:val="22"/>
          <w:lang w:eastAsia="de-AT"/>
        </w:rPr>
        <w:t>If multiplicity adjustment strategies differ between intervention cohorts (due to different populations/treatments), this section should relate to the description given in Section 9.1.1 of the corresponding ISA. Please copy the text from the ISA and expand</w:t>
      </w:r>
      <w:r w:rsidR="2E26F5E6" w:rsidRPr="6E66B177">
        <w:rPr>
          <w:color w:val="FF0000"/>
          <w:sz w:val="22"/>
          <w:szCs w:val="22"/>
          <w:lang w:eastAsia="de-AT"/>
        </w:rPr>
        <w:t>,</w:t>
      </w:r>
      <w:r w:rsidRPr="6E66B177">
        <w:rPr>
          <w:color w:val="FF0000"/>
          <w:sz w:val="22"/>
          <w:szCs w:val="22"/>
          <w:lang w:eastAsia="de-AT"/>
        </w:rPr>
        <w:t xml:space="preserve"> if necessary</w:t>
      </w:r>
      <w:r w:rsidR="4F74518F" w:rsidRPr="6E66B177">
        <w:rPr>
          <w:color w:val="FF0000"/>
          <w:sz w:val="22"/>
          <w:szCs w:val="22"/>
          <w:lang w:eastAsia="de-AT"/>
        </w:rPr>
        <w:t>,</w:t>
      </w:r>
      <w:r w:rsidRPr="6E66B177">
        <w:rPr>
          <w:color w:val="FF0000"/>
          <w:sz w:val="22"/>
          <w:szCs w:val="22"/>
          <w:lang w:eastAsia="de-AT"/>
        </w:rPr>
        <w:t xml:space="preserve"> in the ISA specific SAP. In the master SAP refer to the ISA SAP.</w:t>
      </w:r>
    </w:p>
    <w:p w14:paraId="152267A2" w14:textId="7F0BCD80" w:rsidR="00523EE9" w:rsidRDefault="00523EE9" w:rsidP="00D65B50">
      <w:pPr>
        <w:pStyle w:val="ListParagraph"/>
        <w:numPr>
          <w:ilvl w:val="0"/>
          <w:numId w:val="47"/>
        </w:numPr>
        <w:rPr>
          <w:color w:val="FF0000"/>
          <w:sz w:val="22"/>
          <w:szCs w:val="22"/>
          <w:lang w:eastAsia="de-AT"/>
        </w:rPr>
      </w:pPr>
      <w:r w:rsidRPr="00523EE9">
        <w:rPr>
          <w:color w:val="FF0000"/>
          <w:sz w:val="22"/>
          <w:szCs w:val="22"/>
          <w:lang w:eastAsia="de-AT"/>
        </w:rPr>
        <w:t>If in the platform study, multiplicity is being controlled only in specific ISAs, please refer in the master SAP to the ISAs and give more details in the ISA specific SAP.</w:t>
      </w:r>
    </w:p>
    <w:p w14:paraId="2B9691D8" w14:textId="77777777" w:rsidR="00523EE9" w:rsidRDefault="00523EE9" w:rsidP="00D65B50">
      <w:pPr>
        <w:pStyle w:val="ListParagraph"/>
        <w:numPr>
          <w:ilvl w:val="0"/>
          <w:numId w:val="47"/>
        </w:numPr>
        <w:rPr>
          <w:color w:val="FF0000"/>
          <w:sz w:val="22"/>
          <w:szCs w:val="22"/>
          <w:lang w:eastAsia="de-AT"/>
        </w:rPr>
      </w:pPr>
      <w:r w:rsidRPr="00523EE9">
        <w:rPr>
          <w:color w:val="FF0000"/>
          <w:sz w:val="22"/>
          <w:szCs w:val="22"/>
          <w:lang w:eastAsia="de-AT"/>
        </w:rPr>
        <w:t xml:space="preserve">Clearly state the method for controlling overall type I error. </w:t>
      </w:r>
    </w:p>
    <w:p w14:paraId="0CEBD89E" w14:textId="33FBBABA" w:rsidR="00337641" w:rsidRPr="00523EE9" w:rsidRDefault="00337641" w:rsidP="00D65B50">
      <w:pPr>
        <w:pStyle w:val="ListParagraph"/>
        <w:numPr>
          <w:ilvl w:val="0"/>
          <w:numId w:val="47"/>
        </w:numPr>
        <w:spacing w:line="240" w:lineRule="auto"/>
        <w:rPr>
          <w:color w:val="FF0000"/>
          <w:sz w:val="22"/>
          <w:szCs w:val="22"/>
          <w:lang w:eastAsia="de-AT"/>
        </w:rPr>
      </w:pPr>
      <w:r w:rsidRPr="6E66B177">
        <w:rPr>
          <w:color w:val="FF0000"/>
          <w:sz w:val="22"/>
          <w:szCs w:val="22"/>
          <w:lang w:eastAsia="de-AT"/>
        </w:rPr>
        <w:t xml:space="preserve">Another complexity is if the FWER shall be controlled for a certain family of hypotheses in an ISA and adaptive interim analyses are conducted as well. Then special methods </w:t>
      </w:r>
      <w:r w:rsidR="002C06AB">
        <w:rPr>
          <w:color w:val="FF0000"/>
          <w:sz w:val="22"/>
          <w:szCs w:val="22"/>
          <w:lang w:eastAsia="de-AT"/>
        </w:rPr>
        <w:t>will</w:t>
      </w:r>
      <w:r w:rsidRPr="6E66B177">
        <w:rPr>
          <w:color w:val="FF0000"/>
          <w:sz w:val="22"/>
          <w:szCs w:val="22"/>
          <w:lang w:eastAsia="de-AT"/>
        </w:rPr>
        <w:t xml:space="preserve"> be applied to address both multiple hypotheses, repeated significance testing and </w:t>
      </w:r>
      <w:r w:rsidR="00021BFC">
        <w:rPr>
          <w:color w:val="FF0000"/>
          <w:sz w:val="22"/>
          <w:szCs w:val="22"/>
          <w:lang w:eastAsia="de-AT"/>
        </w:rPr>
        <w:t>platform study</w:t>
      </w:r>
      <w:r w:rsidR="002C06AB">
        <w:rPr>
          <w:color w:val="FF0000"/>
          <w:sz w:val="22"/>
          <w:szCs w:val="22"/>
          <w:lang w:eastAsia="de-AT"/>
        </w:rPr>
        <w:t xml:space="preserve"> </w:t>
      </w:r>
      <w:r w:rsidRPr="6E66B177">
        <w:rPr>
          <w:color w:val="FF0000"/>
          <w:sz w:val="22"/>
          <w:szCs w:val="22"/>
          <w:lang w:eastAsia="de-AT"/>
        </w:rPr>
        <w:t>adaptations. E.g., use of adaptive combination tests for both primary and secondary endpoints. Then the combination function (e.g., inverse normal with pre-specified weights)</w:t>
      </w:r>
      <w:r w:rsidR="50BE7424" w:rsidRPr="6E66B177">
        <w:rPr>
          <w:color w:val="FF0000"/>
          <w:sz w:val="22"/>
          <w:szCs w:val="22"/>
          <w:lang w:eastAsia="de-AT"/>
        </w:rPr>
        <w:t xml:space="preserve"> </w:t>
      </w:r>
      <w:r w:rsidRPr="6E66B177">
        <w:rPr>
          <w:color w:val="FF0000"/>
          <w:sz w:val="22"/>
          <w:szCs w:val="22"/>
          <w:lang w:eastAsia="de-AT"/>
        </w:rPr>
        <w:t xml:space="preserve">and adjusted significance levels (e.g., spending function with O´Brien &amp; Fleming type of boundaries) </w:t>
      </w:r>
      <w:r w:rsidR="00021BFC">
        <w:rPr>
          <w:color w:val="FF0000"/>
          <w:sz w:val="22"/>
          <w:szCs w:val="22"/>
          <w:lang w:eastAsia="de-AT"/>
        </w:rPr>
        <w:t>will</w:t>
      </w:r>
      <w:r w:rsidRPr="6E66B177">
        <w:rPr>
          <w:color w:val="FF0000"/>
          <w:sz w:val="22"/>
          <w:szCs w:val="22"/>
          <w:lang w:eastAsia="de-AT"/>
        </w:rPr>
        <w:t xml:space="preserve"> be pre-specified for each (intersection) hypotheses.</w:t>
      </w:r>
    </w:p>
    <w:p w14:paraId="3DFB31C2" w14:textId="724698F8" w:rsidR="00523EE9" w:rsidRPr="00523EE9" w:rsidRDefault="00523EE9" w:rsidP="00D65B50">
      <w:pPr>
        <w:pStyle w:val="ListParagraph"/>
        <w:numPr>
          <w:ilvl w:val="0"/>
          <w:numId w:val="47"/>
        </w:numPr>
        <w:rPr>
          <w:color w:val="FF0000"/>
          <w:sz w:val="22"/>
          <w:szCs w:val="22"/>
          <w:lang w:eastAsia="de-AT"/>
        </w:rPr>
      </w:pPr>
      <w:r w:rsidRPr="00523EE9">
        <w:rPr>
          <w:color w:val="FF0000"/>
          <w:sz w:val="22"/>
          <w:szCs w:val="22"/>
          <w:lang w:eastAsia="de-AT"/>
        </w:rPr>
        <w:t>If Bayesian decision rules are used, multiplicity could be discussed in term of frequentist error rates.</w:t>
      </w:r>
    </w:p>
    <w:p w14:paraId="101AD3E6" w14:textId="7D35F88E" w:rsidR="009C783D" w:rsidRPr="00523EE9" w:rsidRDefault="00523EE9" w:rsidP="00D65B50">
      <w:pPr>
        <w:pStyle w:val="ListParagraph"/>
        <w:numPr>
          <w:ilvl w:val="0"/>
          <w:numId w:val="47"/>
        </w:numPr>
        <w:spacing w:line="240" w:lineRule="auto"/>
        <w:rPr>
          <w:color w:val="FF0000"/>
          <w:sz w:val="22"/>
          <w:szCs w:val="22"/>
          <w:lang w:eastAsia="de-AT"/>
        </w:rPr>
      </w:pPr>
      <w:r w:rsidRPr="00523EE9">
        <w:rPr>
          <w:color w:val="FF0000"/>
          <w:sz w:val="22"/>
          <w:szCs w:val="22"/>
          <w:lang w:eastAsia="de-AT"/>
        </w:rPr>
        <w:t xml:space="preserve">State not applicable if multiplicity control is not relevant for this SAP </w:t>
      </w:r>
      <w:r w:rsidR="002C06AB">
        <w:rPr>
          <w:color w:val="FF0000"/>
          <w:sz w:val="22"/>
          <w:szCs w:val="22"/>
          <w:lang w:eastAsia="de-AT"/>
        </w:rPr>
        <w:t>platform study</w:t>
      </w:r>
      <w:r w:rsidRPr="00523EE9">
        <w:rPr>
          <w:color w:val="FF0000"/>
          <w:sz w:val="22"/>
          <w:szCs w:val="22"/>
          <w:lang w:eastAsia="de-AT"/>
        </w:rPr>
        <w:t xml:space="preserve"> /ISA</w:t>
      </w:r>
      <w:r>
        <w:rPr>
          <w:color w:val="FF0000"/>
          <w:sz w:val="22"/>
          <w:szCs w:val="22"/>
          <w:lang w:eastAsia="de-AT"/>
        </w:rPr>
        <w:t>.</w:t>
      </w:r>
    </w:p>
    <w:p w14:paraId="5237F7D3" w14:textId="3CE6A79C" w:rsidR="00BF074E" w:rsidRPr="006B12EB" w:rsidRDefault="00D968BB" w:rsidP="006B12EB">
      <w:pPr>
        <w:rPr>
          <w:i/>
          <w:color w:val="00B050"/>
          <w:lang w:eastAsia="de-AT"/>
        </w:rPr>
      </w:pPr>
      <w:r w:rsidRPr="006B12EB">
        <w:rPr>
          <w:i/>
          <w:color w:val="00B050"/>
          <w:lang w:eastAsia="de-AT"/>
        </w:rPr>
        <w:t xml:space="preserve">&lt;Start </w:t>
      </w:r>
      <w:r w:rsidR="00BF074E" w:rsidRPr="006B12EB">
        <w:rPr>
          <w:i/>
          <w:color w:val="00B050"/>
          <w:lang w:eastAsia="de-AT"/>
        </w:rPr>
        <w:t>Example text</w:t>
      </w:r>
      <w:r w:rsidRPr="006B12EB">
        <w:rPr>
          <w:i/>
          <w:color w:val="00B050"/>
          <w:lang w:eastAsia="de-AT"/>
        </w:rPr>
        <w:t>&gt;</w:t>
      </w:r>
      <w:r w:rsidR="00BF074E" w:rsidRPr="006B12EB">
        <w:rPr>
          <w:i/>
          <w:color w:val="00B050"/>
          <w:lang w:eastAsia="de-AT"/>
        </w:rPr>
        <w:t xml:space="preserve"> </w:t>
      </w:r>
    </w:p>
    <w:bookmarkEnd w:id="45"/>
    <w:p w14:paraId="690D07A3" w14:textId="7D6B4E10" w:rsidR="00B57FB2" w:rsidRDefault="00E735B3" w:rsidP="00B57FB2">
      <w:pPr>
        <w:pStyle w:val="CPTInstructional"/>
      </w:pPr>
      <w:r>
        <w:t>For the mSAP the high</w:t>
      </w:r>
      <w:r w:rsidR="7FC63382">
        <w:t xml:space="preserve"> </w:t>
      </w:r>
      <w:r>
        <w:t>level overview of methods applying to all (or most) ISAs</w:t>
      </w:r>
      <w:r w:rsidR="00B57FB2">
        <w:t xml:space="preserve"> should be copied directly from the Multiplicity Adjustment section of the </w:t>
      </w:r>
      <w:r>
        <w:t xml:space="preserve">master </w:t>
      </w:r>
      <w:r w:rsidR="00B57FB2">
        <w:t>protocol (Section 9.1.1). Additional details may be added.</w:t>
      </w:r>
      <w:r>
        <w:t xml:space="preserve"> </w:t>
      </w:r>
    </w:p>
    <w:p w14:paraId="3781BA98" w14:textId="28B557FD" w:rsidR="00D968BB" w:rsidRPr="006B12EB" w:rsidRDefault="00D968BB" w:rsidP="00D968BB">
      <w:pPr>
        <w:rPr>
          <w:b/>
          <w:bCs/>
          <w:color w:val="00B050"/>
        </w:rPr>
      </w:pPr>
      <w:r w:rsidRPr="006B12EB">
        <w:rPr>
          <w:b/>
          <w:bCs/>
          <w:color w:val="00B050"/>
        </w:rPr>
        <w:t xml:space="preserve">Example </w:t>
      </w:r>
      <w:r w:rsidR="00C17B4A" w:rsidRPr="006B12EB">
        <w:rPr>
          <w:b/>
          <w:bCs/>
          <w:color w:val="00B050"/>
        </w:rPr>
        <w:t>1</w:t>
      </w:r>
      <w:r w:rsidRPr="006B12EB">
        <w:rPr>
          <w:b/>
          <w:bCs/>
          <w:color w:val="00B050"/>
        </w:rPr>
        <w:t>:</w:t>
      </w:r>
    </w:p>
    <w:p w14:paraId="06E01C35" w14:textId="77777777" w:rsidR="00D968BB" w:rsidRPr="00BA440F" w:rsidRDefault="00D968BB" w:rsidP="000D6206">
      <w:pPr>
        <w:jc w:val="both"/>
        <w:rPr>
          <w:i/>
          <w:iCs/>
        </w:rPr>
      </w:pPr>
      <w:r w:rsidRPr="00BA440F">
        <w:rPr>
          <w:i/>
          <w:iCs/>
          <w:color w:val="00B050"/>
        </w:rPr>
        <w:t xml:space="preserve">The statistical comparisons for the primary efficacy endpoint and the key secondary endpoints will be carried out in the hierarchical order as indicated in Section 9.1 for each intervention cohort. This means that statistically significant results for the comparison in the higher rank (primary, then ranked secondary variables) are required to initiate the testing of the next comparison in the lower rank. Since a step-down procedure is used, each comparison will be tested at a significance level of 0.05 and an overall alpha level of 0.05 will be preserved. </w:t>
      </w:r>
    </w:p>
    <w:p w14:paraId="5EA6DF90" w14:textId="10AC2EB8" w:rsidR="00D968BB" w:rsidRPr="006B12EB" w:rsidRDefault="00D968BB" w:rsidP="00D968BB">
      <w:pPr>
        <w:rPr>
          <w:b/>
          <w:bCs/>
          <w:color w:val="00B050"/>
        </w:rPr>
      </w:pPr>
      <w:r w:rsidRPr="006B12EB">
        <w:rPr>
          <w:b/>
          <w:bCs/>
          <w:color w:val="00B050"/>
        </w:rPr>
        <w:t xml:space="preserve">Example </w:t>
      </w:r>
      <w:r w:rsidR="00C17B4A" w:rsidRPr="006B12EB">
        <w:rPr>
          <w:b/>
          <w:bCs/>
          <w:color w:val="00B050"/>
        </w:rPr>
        <w:t>2</w:t>
      </w:r>
      <w:r w:rsidRPr="006B12EB">
        <w:rPr>
          <w:b/>
          <w:bCs/>
          <w:color w:val="00B050"/>
        </w:rPr>
        <w:t>:</w:t>
      </w:r>
    </w:p>
    <w:p w14:paraId="42DB8E00" w14:textId="77777777" w:rsidR="00D968BB" w:rsidRPr="00523EE9" w:rsidRDefault="00D968BB" w:rsidP="000D6206">
      <w:pPr>
        <w:jc w:val="both"/>
      </w:pPr>
      <w:r w:rsidRPr="00BA440F">
        <w:rPr>
          <w:i/>
          <w:iCs/>
          <w:color w:val="00B050"/>
        </w:rPr>
        <w:lastRenderedPageBreak/>
        <w:t>The type I error will be controlled in the strong sense using a hierarchical (fixed sequence) testing procedure. This is based on priority ordering of the null hypotheses and testing them in this order using the 2-sided 95% confidence interval approach until an insignificant result appears. Consequently, the second null hypothesis will only be tested if the first null hypothesis has been rejected in favor of</w:t>
      </w:r>
      <w:r w:rsidRPr="00BA440F">
        <w:rPr>
          <w:color w:val="00B050"/>
        </w:rPr>
        <w:t xml:space="preserve"> </w:t>
      </w:r>
      <w:r w:rsidRPr="00523EE9">
        <w:rPr>
          <w:rStyle w:val="CPTVariable"/>
          <w:rFonts w:eastAsia="MS Gothic"/>
          <w:iCs/>
          <w:szCs w:val="24"/>
        </w:rPr>
        <w:t>[</w:t>
      </w:r>
      <w:r w:rsidRPr="00BA440F">
        <w:rPr>
          <w:rStyle w:val="CPTVariable"/>
          <w:rFonts w:eastAsia="MS Gothic"/>
          <w:i/>
          <w:szCs w:val="24"/>
        </w:rPr>
        <w:t>intervention x</w:t>
      </w:r>
      <w:r w:rsidRPr="00523EE9">
        <w:rPr>
          <w:rStyle w:val="CPTVariable"/>
          <w:rFonts w:eastAsia="MS Gothic"/>
          <w:iCs/>
          <w:szCs w:val="24"/>
        </w:rPr>
        <w:t>].</w:t>
      </w:r>
    </w:p>
    <w:p w14:paraId="7BE3650C" w14:textId="77777777" w:rsidR="00D968BB" w:rsidRPr="00BA440F" w:rsidRDefault="00D968BB" w:rsidP="000D6206">
      <w:pPr>
        <w:pStyle w:val="CPTExample"/>
        <w:jc w:val="both"/>
        <w:rPr>
          <w:rFonts w:ascii="Times New Roman" w:eastAsia="Calibri" w:hAnsi="Times New Roman" w:cs="Cordia New"/>
          <w:iCs/>
          <w:color w:val="auto"/>
          <w:sz w:val="24"/>
          <w:szCs w:val="22"/>
        </w:rPr>
      </w:pPr>
      <w:r w:rsidRPr="00BA440F">
        <w:rPr>
          <w:rFonts w:ascii="Times New Roman" w:eastAsia="Calibri" w:hAnsi="Times New Roman" w:cs="Cordia New"/>
          <w:iCs/>
          <w:sz w:val="24"/>
          <w:szCs w:val="22"/>
        </w:rPr>
        <w:t>The steps in the hierarchical testing procedure are as follows:</w:t>
      </w:r>
    </w:p>
    <w:p w14:paraId="5DA86F66" w14:textId="77777777" w:rsidR="00D968BB" w:rsidRPr="00523EE9" w:rsidRDefault="00D968BB" w:rsidP="000D6206">
      <w:pPr>
        <w:jc w:val="both"/>
      </w:pPr>
      <w:r w:rsidRPr="00BA440F">
        <w:rPr>
          <w:i/>
          <w:iCs/>
          <w:color w:val="00B050"/>
        </w:rPr>
        <w:t>Step 1:</w:t>
      </w:r>
      <w:r w:rsidRPr="00BA440F">
        <w:rPr>
          <w:color w:val="00B050"/>
        </w:rPr>
        <w:t xml:space="preserve"> </w:t>
      </w:r>
      <w:r w:rsidRPr="00523EE9">
        <w:rPr>
          <w:rStyle w:val="CPTVariable"/>
          <w:rFonts w:eastAsia="MS Gothic"/>
          <w:iCs/>
          <w:szCs w:val="24"/>
        </w:rPr>
        <w:t>[health measurement or observation]</w:t>
      </w:r>
      <w:r w:rsidRPr="00523EE9">
        <w:t xml:space="preserve"> </w:t>
      </w:r>
      <w:r w:rsidRPr="00BA440F">
        <w:rPr>
          <w:i/>
          <w:iCs/>
          <w:color w:val="00B050"/>
        </w:rPr>
        <w:t>non-inferiority of</w:t>
      </w:r>
      <w:r w:rsidRPr="00BA440F">
        <w:rPr>
          <w:color w:val="00B050"/>
        </w:rPr>
        <w:t xml:space="preserve"> </w:t>
      </w:r>
      <w:r w:rsidRPr="00523EE9">
        <w:rPr>
          <w:rStyle w:val="CPTVariable"/>
          <w:rFonts w:eastAsia="MS Gothic"/>
          <w:iCs/>
          <w:szCs w:val="24"/>
        </w:rPr>
        <w:t>[intervention x]</w:t>
      </w:r>
      <w:r w:rsidRPr="00523EE9">
        <w:t xml:space="preserve"> </w:t>
      </w:r>
      <w:r w:rsidRPr="00BA440F">
        <w:rPr>
          <w:i/>
          <w:iCs/>
          <w:color w:val="00B050"/>
        </w:rPr>
        <w:t>versus</w:t>
      </w:r>
      <w:r w:rsidRPr="00523EE9">
        <w:t xml:space="preserve"> </w:t>
      </w:r>
      <w:r w:rsidRPr="00523EE9">
        <w:rPr>
          <w:rStyle w:val="CPTVariable"/>
          <w:rFonts w:eastAsia="MS Gothic"/>
          <w:iCs/>
          <w:szCs w:val="24"/>
        </w:rPr>
        <w:t>[intervention y]</w:t>
      </w:r>
    </w:p>
    <w:p w14:paraId="2E88794C" w14:textId="21C68794" w:rsidR="00480C71" w:rsidRPr="00480C71" w:rsidRDefault="00D968BB" w:rsidP="000D6206">
      <w:pPr>
        <w:jc w:val="both"/>
      </w:pPr>
      <w:r w:rsidRPr="00BA440F">
        <w:rPr>
          <w:i/>
          <w:iCs/>
          <w:color w:val="00B050"/>
        </w:rPr>
        <w:t>Step 2:</w:t>
      </w:r>
      <w:r w:rsidRPr="00523EE9">
        <w:t xml:space="preserve"> </w:t>
      </w:r>
      <w:r w:rsidRPr="00523EE9">
        <w:rPr>
          <w:rStyle w:val="CPTVariable"/>
          <w:rFonts w:eastAsia="MS Gothic"/>
          <w:iCs/>
          <w:szCs w:val="24"/>
        </w:rPr>
        <w:t>[health measurement or observation]</w:t>
      </w:r>
      <w:r w:rsidRPr="00523EE9">
        <w:t xml:space="preserve"> </w:t>
      </w:r>
      <w:r w:rsidRPr="00BA440F">
        <w:rPr>
          <w:i/>
          <w:iCs/>
          <w:color w:val="00B050"/>
        </w:rPr>
        <w:t>superiority of</w:t>
      </w:r>
      <w:r w:rsidRPr="00523EE9">
        <w:t xml:space="preserve"> </w:t>
      </w:r>
      <w:r w:rsidRPr="00523EE9">
        <w:rPr>
          <w:rStyle w:val="CPTVariable"/>
          <w:rFonts w:eastAsia="MS Gothic"/>
          <w:iCs/>
          <w:szCs w:val="24"/>
        </w:rPr>
        <w:t>[intervention x]</w:t>
      </w:r>
      <w:r w:rsidRPr="00523EE9">
        <w:t xml:space="preserve"> </w:t>
      </w:r>
      <w:r w:rsidRPr="00BA440F">
        <w:rPr>
          <w:i/>
          <w:iCs/>
          <w:color w:val="00B050"/>
        </w:rPr>
        <w:t>versus</w:t>
      </w:r>
      <w:r w:rsidRPr="00523EE9">
        <w:t xml:space="preserve"> </w:t>
      </w:r>
      <w:r w:rsidRPr="00523EE9">
        <w:rPr>
          <w:rStyle w:val="CPTVariable"/>
          <w:rFonts w:eastAsia="MS Gothic"/>
          <w:iCs/>
          <w:szCs w:val="24"/>
        </w:rPr>
        <w:t>[intervention y]</w:t>
      </w:r>
    </w:p>
    <w:p w14:paraId="7A27D13A" w14:textId="1112BE56" w:rsidR="00EA3E2B" w:rsidRDefault="00EA3E2B" w:rsidP="00EA3E2B">
      <w:pPr>
        <w:pStyle w:val="Heading1"/>
      </w:pPr>
      <w:bookmarkStart w:id="46" w:name="_Toc521400467"/>
      <w:bookmarkStart w:id="47" w:name="_Toc518655975"/>
      <w:bookmarkStart w:id="48" w:name="_Toc518466161"/>
      <w:bookmarkStart w:id="49" w:name="_Ref45603967"/>
      <w:bookmarkStart w:id="50" w:name="_Ref45604094"/>
      <w:bookmarkStart w:id="51" w:name="_Ref45607125"/>
      <w:bookmarkStart w:id="52" w:name="_Ref45607405"/>
      <w:bookmarkStart w:id="53" w:name="_Toc52192291"/>
      <w:r>
        <w:lastRenderedPageBreak/>
        <w:t>Analysis</w:t>
      </w:r>
      <w:r w:rsidR="00D52D8D">
        <w:t xml:space="preserve"> Sets</w:t>
      </w:r>
      <w:r w:rsidR="1B920785">
        <w:t xml:space="preserve"> </w:t>
      </w:r>
      <w:bookmarkEnd w:id="46"/>
      <w:bookmarkEnd w:id="47"/>
      <w:bookmarkEnd w:id="48"/>
      <w:bookmarkEnd w:id="49"/>
      <w:bookmarkEnd w:id="50"/>
      <w:bookmarkEnd w:id="51"/>
      <w:bookmarkEnd w:id="52"/>
      <w:bookmarkEnd w:id="53"/>
    </w:p>
    <w:p w14:paraId="6FF55342" w14:textId="05E54952" w:rsidR="000875F6" w:rsidRPr="001D5A3F" w:rsidRDefault="000875F6" w:rsidP="00D65B50">
      <w:pPr>
        <w:pStyle w:val="CPTInstructional"/>
        <w:numPr>
          <w:ilvl w:val="0"/>
          <w:numId w:val="28"/>
        </w:numPr>
      </w:pPr>
      <w:r>
        <w:t xml:space="preserve">This information should be </w:t>
      </w:r>
      <w:r w:rsidR="006B12EB">
        <w:t>obtained</w:t>
      </w:r>
      <w:r>
        <w:t xml:space="preserve"> from the Analysis Sets section of the protocol (Section 9.2). Additional analysis sets may be added </w:t>
      </w:r>
      <w:r>
        <w:rPr>
          <w:rFonts w:cs="Times New Roman"/>
          <w:szCs w:val="22"/>
        </w:rPr>
        <w:t>(if there are additional sets, then this information should be summarized in the version history and in Section</w:t>
      </w:r>
      <w:r w:rsidR="002863E0">
        <w:rPr>
          <w:rFonts w:cs="Times New Roman"/>
          <w:szCs w:val="22"/>
        </w:rPr>
        <w:t xml:space="preserve"> 4.8</w:t>
      </w:r>
      <w:r>
        <w:rPr>
          <w:rFonts w:cs="Times New Roman"/>
          <w:szCs w:val="22"/>
        </w:rPr>
        <w:t xml:space="preserve"> Changes to Protocol-planned Analyses).</w:t>
      </w:r>
    </w:p>
    <w:p w14:paraId="504B453F" w14:textId="3B8F8657" w:rsidR="001D5A3F" w:rsidRPr="006A4330" w:rsidRDefault="001D5A3F" w:rsidP="6E66B177">
      <w:pPr>
        <w:pStyle w:val="CPTInstructional"/>
        <w:numPr>
          <w:ilvl w:val="0"/>
          <w:numId w:val="28"/>
        </w:numPr>
        <w:rPr>
          <w:rFonts w:cs="Times New Roman"/>
        </w:rPr>
      </w:pPr>
      <w:r w:rsidRPr="6E66B177">
        <w:rPr>
          <w:rFonts w:cs="Times New Roman"/>
        </w:rPr>
        <w:t xml:space="preserve">The definition of </w:t>
      </w:r>
      <w:r w:rsidR="008B4581" w:rsidRPr="6E66B177">
        <w:rPr>
          <w:rFonts w:cs="Times New Roman"/>
        </w:rPr>
        <w:t xml:space="preserve">each </w:t>
      </w:r>
      <w:r w:rsidRPr="6E66B177">
        <w:rPr>
          <w:rFonts w:cs="Times New Roman"/>
        </w:rPr>
        <w:t xml:space="preserve">analysis set need to include a </w:t>
      </w:r>
      <w:r w:rsidR="008B4581" w:rsidRPr="6E66B177">
        <w:rPr>
          <w:rFonts w:cs="Times New Roman"/>
        </w:rPr>
        <w:t xml:space="preserve">temporal </w:t>
      </w:r>
      <w:r w:rsidRPr="6E66B177">
        <w:rPr>
          <w:rFonts w:cs="Times New Roman"/>
        </w:rPr>
        <w:t xml:space="preserve">definition </w:t>
      </w:r>
      <w:r w:rsidR="008B4581" w:rsidRPr="6E66B177">
        <w:rPr>
          <w:rFonts w:cs="Times New Roman"/>
        </w:rPr>
        <w:t xml:space="preserve">of </w:t>
      </w:r>
      <w:r w:rsidRPr="6E66B177">
        <w:rPr>
          <w:rFonts w:cs="Times New Roman"/>
        </w:rPr>
        <w:t xml:space="preserve">which </w:t>
      </w:r>
      <w:r w:rsidR="007A67CB" w:rsidRPr="6E66B177">
        <w:rPr>
          <w:rFonts w:cs="Times New Roman"/>
        </w:rPr>
        <w:t xml:space="preserve">data </w:t>
      </w:r>
      <w:r w:rsidRPr="6E66B177">
        <w:rPr>
          <w:rFonts w:cs="Times New Roman"/>
        </w:rPr>
        <w:t xml:space="preserve">will be </w:t>
      </w:r>
      <w:r w:rsidR="008B4581" w:rsidRPr="6E66B177">
        <w:rPr>
          <w:rFonts w:cs="Times New Roman"/>
        </w:rPr>
        <w:t>utilized</w:t>
      </w:r>
      <w:r w:rsidRPr="6E66B177">
        <w:rPr>
          <w:rFonts w:cs="Times New Roman"/>
        </w:rPr>
        <w:t xml:space="preserve"> (e.g. </w:t>
      </w:r>
      <w:r w:rsidR="007A67CB" w:rsidRPr="6E66B177">
        <w:rPr>
          <w:rFonts w:cs="Times New Roman"/>
        </w:rPr>
        <w:t xml:space="preserve">using only </w:t>
      </w:r>
      <w:r w:rsidRPr="6E66B177">
        <w:rPr>
          <w:rFonts w:cs="Times New Roman"/>
        </w:rPr>
        <w:t>concurrent control</w:t>
      </w:r>
      <w:r w:rsidR="008B4581" w:rsidRPr="6E66B177">
        <w:rPr>
          <w:rFonts w:cs="Times New Roman"/>
        </w:rPr>
        <w:t xml:space="preserve"> within the same ISA</w:t>
      </w:r>
      <w:r w:rsidR="007A67CB" w:rsidRPr="6E66B177">
        <w:rPr>
          <w:rFonts w:cs="Times New Roman"/>
        </w:rPr>
        <w:t xml:space="preserve"> or also non-concurrent data from the </w:t>
      </w:r>
      <w:r w:rsidR="002C06AB">
        <w:rPr>
          <w:rFonts w:cs="Times New Roman"/>
        </w:rPr>
        <w:t>platform study</w:t>
      </w:r>
      <w:r w:rsidR="008B4581" w:rsidRPr="6E66B177">
        <w:rPr>
          <w:rFonts w:cs="Times New Roman"/>
        </w:rPr>
        <w:t>)</w:t>
      </w:r>
      <w:r w:rsidRPr="6E66B177">
        <w:rPr>
          <w:rFonts w:cs="Times New Roman"/>
        </w:rPr>
        <w:t xml:space="preserve">. This </w:t>
      </w:r>
      <w:r w:rsidR="007A67CB" w:rsidRPr="6E66B177">
        <w:rPr>
          <w:rFonts w:cs="Times New Roman"/>
        </w:rPr>
        <w:t>has to be aligned with definition i</w:t>
      </w:r>
      <w:r w:rsidRPr="6E66B177">
        <w:rPr>
          <w:rFonts w:cs="Times New Roman"/>
        </w:rPr>
        <w:t xml:space="preserve">n the master protocol template </w:t>
      </w:r>
      <w:r w:rsidR="27AAE345" w:rsidRPr="6E66B177">
        <w:rPr>
          <w:rFonts w:cs="Times New Roman"/>
        </w:rPr>
        <w:t>section</w:t>
      </w:r>
      <w:r w:rsidRPr="6E66B177">
        <w:rPr>
          <w:rFonts w:cs="Times New Roman"/>
        </w:rPr>
        <w:t xml:space="preserve"> 9.3.1.</w:t>
      </w:r>
    </w:p>
    <w:p w14:paraId="31880496" w14:textId="26B56115" w:rsidR="000875F6" w:rsidRDefault="000875F6" w:rsidP="00D65B50">
      <w:pPr>
        <w:pStyle w:val="CPTInstructional"/>
        <w:numPr>
          <w:ilvl w:val="0"/>
          <w:numId w:val="28"/>
        </w:numPr>
      </w:pPr>
      <w:r w:rsidRPr="6E66B177">
        <w:rPr>
          <w:rFonts w:cs="Times New Roman"/>
        </w:rPr>
        <w:t>If additional estimands are defined in the SAP (</w:t>
      </w:r>
      <w:r w:rsidR="195DD74E" w:rsidRPr="6E66B177">
        <w:rPr>
          <w:rFonts w:cs="Times New Roman"/>
        </w:rPr>
        <w:t>e.g.</w:t>
      </w:r>
      <w:r w:rsidRPr="6E66B177">
        <w:rPr>
          <w:rFonts w:cs="Times New Roman"/>
        </w:rPr>
        <w:t>, in supplementary analyses sections, tertiary/exploratory/other endpoint[s]/estimand[s], other safety analyses, or other analyses sections), specify which analysis sets are used to estimate them and if necessary, define new analysis sets.</w:t>
      </w:r>
    </w:p>
    <w:p w14:paraId="4A24C0D7" w14:textId="175A3640" w:rsidR="000875F6" w:rsidRDefault="000875F6" w:rsidP="6E66B177">
      <w:pPr>
        <w:pStyle w:val="CPTInstructional"/>
        <w:keepNext/>
        <w:numPr>
          <w:ilvl w:val="0"/>
          <w:numId w:val="29"/>
        </w:numPr>
        <w:rPr>
          <w:rFonts w:eastAsia="Times New Roman" w:cs="Times New Roman"/>
        </w:rPr>
      </w:pPr>
      <w:r>
        <w:t>In studies with estimands explicitly defined (</w:t>
      </w:r>
      <w:r w:rsidR="000919FF">
        <w:t>mandatory for</w:t>
      </w:r>
      <w:r>
        <w:t xml:space="preserve"> confirmatory studies), the analysis sets can be derived from the estimand description. However, for transparency, it is useful to specify in detail which participants and which data points are to be included in each analysis set used to estimate each estimand defined in the protocol. </w:t>
      </w:r>
      <w:r w:rsidR="00B57FB2">
        <w:t>Note, naming of the sets of selected participants and not only the full data set (participants and data points) is recommended for ease of programming of the ADaM data set.</w:t>
      </w:r>
    </w:p>
    <w:p w14:paraId="7F06C37B" w14:textId="0A52E0C7" w:rsidR="000875F6" w:rsidRDefault="000875F6" w:rsidP="00D65B50">
      <w:pPr>
        <w:pStyle w:val="CPTInstructional"/>
        <w:keepNext/>
        <w:numPr>
          <w:ilvl w:val="0"/>
          <w:numId w:val="29"/>
        </w:numPr>
        <w:rPr>
          <w:rFonts w:eastAsia="Times New Roman" w:cs="Times New Roman"/>
          <w:szCs w:val="22"/>
        </w:rPr>
      </w:pPr>
      <w:r>
        <w:t>In studies without estimands explicitly defined, the analysis sets should at minimum be defined at the participant level</w:t>
      </w:r>
      <w:r w:rsidR="000919FF">
        <w:t>,</w:t>
      </w:r>
      <w:r>
        <w:t xml:space="preserve"> and the data points to be included can be specified, if deemed relevant. </w:t>
      </w:r>
    </w:p>
    <w:p w14:paraId="41863B8C" w14:textId="7AE003FF" w:rsidR="000875F6" w:rsidRDefault="000875F6" w:rsidP="00D65B50">
      <w:pPr>
        <w:pStyle w:val="CPTInstructional"/>
        <w:numPr>
          <w:ilvl w:val="0"/>
          <w:numId w:val="28"/>
        </w:numPr>
      </w:pPr>
      <w:r>
        <w:t xml:space="preserve">If necessary, reference any team decisions that impact participant exclusions, </w:t>
      </w:r>
      <w:r w:rsidR="4F4EC864">
        <w:t>e.g.</w:t>
      </w:r>
      <w:r>
        <w:t>, if sites are excluded because of Good Clinical Practice violations. These decisions can be documented in the meeting minutes</w:t>
      </w:r>
      <w:r w:rsidR="000919FF">
        <w:t>,</w:t>
      </w:r>
      <w:r>
        <w:t xml:space="preserve"> if they are made after SAP finalization.</w:t>
      </w:r>
    </w:p>
    <w:p w14:paraId="111E7178" w14:textId="619D9C5F" w:rsidR="001A5199" w:rsidRPr="00523EE9" w:rsidRDefault="001A5199" w:rsidP="001A5199">
      <w:pPr>
        <w:pStyle w:val="paragraph0"/>
        <w:numPr>
          <w:ilvl w:val="0"/>
          <w:numId w:val="28"/>
        </w:numPr>
        <w:textAlignment w:val="baseline"/>
        <w:rPr>
          <w:color w:val="FF0000"/>
          <w:sz w:val="22"/>
          <w:szCs w:val="22"/>
          <w:lang w:eastAsia="de-AT"/>
        </w:rPr>
      </w:pPr>
      <w:r w:rsidRPr="00523EE9">
        <w:rPr>
          <w:color w:val="FF0000"/>
          <w:sz w:val="22"/>
          <w:szCs w:val="22"/>
          <w:lang w:eastAsia="de-AT"/>
        </w:rPr>
        <w:t xml:space="preserve">Definitions that apply to entire </w:t>
      </w:r>
      <w:r w:rsidR="002C06AB">
        <w:rPr>
          <w:color w:val="FF0000"/>
          <w:sz w:val="22"/>
          <w:szCs w:val="22"/>
          <w:lang w:eastAsia="de-AT"/>
        </w:rPr>
        <w:t>platform study</w:t>
      </w:r>
      <w:r w:rsidRPr="00523EE9">
        <w:rPr>
          <w:color w:val="FF0000"/>
          <w:sz w:val="22"/>
          <w:szCs w:val="22"/>
          <w:lang w:eastAsia="de-AT"/>
        </w:rPr>
        <w:t xml:space="preserve"> should be described in the </w:t>
      </w:r>
      <w:r w:rsidR="005E0D6A">
        <w:rPr>
          <w:color w:val="FF0000"/>
          <w:sz w:val="22"/>
          <w:szCs w:val="22"/>
          <w:lang w:eastAsia="de-AT"/>
        </w:rPr>
        <w:t>Master Protocol</w:t>
      </w:r>
      <w:r w:rsidR="00482A1A">
        <w:rPr>
          <w:color w:val="FF0000"/>
          <w:sz w:val="22"/>
          <w:szCs w:val="22"/>
          <w:lang w:eastAsia="de-AT"/>
        </w:rPr>
        <w:t xml:space="preserve"> and the master SAP</w:t>
      </w:r>
      <w:r w:rsidRPr="00523EE9">
        <w:rPr>
          <w:color w:val="FF0000"/>
          <w:sz w:val="22"/>
          <w:szCs w:val="22"/>
          <w:lang w:eastAsia="de-AT"/>
        </w:rPr>
        <w:t xml:space="preserve">.  </w:t>
      </w:r>
    </w:p>
    <w:p w14:paraId="57F3D625" w14:textId="7684D501" w:rsidR="001A5199" w:rsidRPr="00523EE9" w:rsidRDefault="001A5199" w:rsidP="001A5199">
      <w:pPr>
        <w:pStyle w:val="paragraph0"/>
        <w:numPr>
          <w:ilvl w:val="0"/>
          <w:numId w:val="28"/>
        </w:numPr>
        <w:textAlignment w:val="baseline"/>
        <w:rPr>
          <w:color w:val="FF0000"/>
          <w:sz w:val="22"/>
          <w:szCs w:val="22"/>
          <w:lang w:eastAsia="de-AT"/>
        </w:rPr>
      </w:pPr>
      <w:r w:rsidRPr="6E66B177">
        <w:rPr>
          <w:color w:val="FF0000"/>
          <w:sz w:val="22"/>
          <w:szCs w:val="22"/>
          <w:lang w:eastAsia="de-AT"/>
        </w:rPr>
        <w:t>If there are any definitions that are intervention-specific</w:t>
      </w:r>
      <w:r w:rsidR="0053227E">
        <w:rPr>
          <w:color w:val="FF0000"/>
          <w:sz w:val="22"/>
          <w:szCs w:val="22"/>
          <w:lang w:eastAsia="de-AT"/>
        </w:rPr>
        <w:t xml:space="preserve"> this should be described in the ISA-SAP and the</w:t>
      </w:r>
      <w:r w:rsidRPr="6E66B177">
        <w:rPr>
          <w:color w:val="FF0000"/>
          <w:sz w:val="22"/>
          <w:szCs w:val="22"/>
          <w:lang w:eastAsia="de-AT"/>
        </w:rPr>
        <w:t xml:space="preserve"> text should be aligned with Section 9.2 of the relevant ISA</w:t>
      </w:r>
      <w:r w:rsidR="6B4759E0" w:rsidRPr="6E66B177">
        <w:rPr>
          <w:color w:val="FF0000"/>
          <w:sz w:val="22"/>
          <w:szCs w:val="22"/>
          <w:lang w:eastAsia="de-AT"/>
        </w:rPr>
        <w:t>.</w:t>
      </w:r>
    </w:p>
    <w:p w14:paraId="55A7390F" w14:textId="3D6C0FD8" w:rsidR="000875F6" w:rsidRDefault="000875F6" w:rsidP="00E1703F">
      <w:r>
        <w:t xml:space="preserve">Three examples are provided below for illustration purposes only. Other formats, other definitions, and different naming conventions can be used. The first example is for a study with no estimands explicitly defined and the second and </w:t>
      </w:r>
      <w:r w:rsidR="000919FF">
        <w:t xml:space="preserve">the </w:t>
      </w:r>
      <w:r>
        <w:t>third examples address a study with estimands explicitly defined.</w:t>
      </w:r>
    </w:p>
    <w:p w14:paraId="1F56CBA4" w14:textId="05F24E5F" w:rsidR="008F2E5D" w:rsidRDefault="008F2E5D" w:rsidP="008F2E5D">
      <w:pPr>
        <w:pStyle w:val="CPTExample"/>
      </w:pPr>
      <w:r>
        <w:t>&lt;Start of example text&gt;</w:t>
      </w:r>
    </w:p>
    <w:p w14:paraId="5FCF0BC0" w14:textId="77777777" w:rsidR="008F2E5D" w:rsidRDefault="008F2E5D" w:rsidP="008F2E5D">
      <w:pPr>
        <w:pStyle w:val="CPTExample"/>
      </w:pPr>
      <w:r>
        <w:t>Example 1:</w:t>
      </w:r>
    </w:p>
    <w:p w14:paraId="2502A5EF" w14:textId="77777777" w:rsidR="008F2E5D" w:rsidRDefault="008F2E5D" w:rsidP="008F2E5D">
      <w:pPr>
        <w:pStyle w:val="CPTExample"/>
      </w:pPr>
      <w:r>
        <w:t>For the purposes of analysis, the following analysis sets are defined:</w:t>
      </w:r>
    </w:p>
    <w:tbl>
      <w:tblPr>
        <w:tblW w:w="5000" w:type="pct"/>
        <w:tblInd w:w="108" w:type="dxa"/>
        <w:tblLook w:val="04A0" w:firstRow="1" w:lastRow="0" w:firstColumn="1" w:lastColumn="0" w:noHBand="0" w:noVBand="1"/>
      </w:tblPr>
      <w:tblGrid>
        <w:gridCol w:w="2824"/>
        <w:gridCol w:w="6526"/>
      </w:tblGrid>
      <w:tr w:rsidR="008F2E5D" w14:paraId="28CC007F" w14:textId="77777777" w:rsidTr="004A6A9C">
        <w:tc>
          <w:tcPr>
            <w:tcW w:w="1510" w:type="pct"/>
            <w:tcBorders>
              <w:top w:val="single" w:sz="4" w:space="0" w:color="auto"/>
              <w:left w:val="single" w:sz="4" w:space="0" w:color="auto"/>
              <w:bottom w:val="single" w:sz="4" w:space="0" w:color="auto"/>
              <w:right w:val="single" w:sz="4" w:space="0" w:color="auto"/>
            </w:tcBorders>
            <w:hideMark/>
          </w:tcPr>
          <w:p w14:paraId="71A48BDA" w14:textId="77777777" w:rsidR="008F2E5D" w:rsidRDefault="008F2E5D" w:rsidP="004A6A9C">
            <w:pPr>
              <w:pStyle w:val="CPTExample"/>
              <w:jc w:val="center"/>
              <w:rPr>
                <w:b/>
                <w:bCs/>
              </w:rPr>
            </w:pPr>
            <w:r>
              <w:rPr>
                <w:b/>
                <w:bCs/>
              </w:rPr>
              <w:t>Participant Analysis Set</w:t>
            </w:r>
          </w:p>
        </w:tc>
        <w:tc>
          <w:tcPr>
            <w:tcW w:w="3490" w:type="pct"/>
            <w:tcBorders>
              <w:top w:val="single" w:sz="4" w:space="0" w:color="auto"/>
              <w:left w:val="single" w:sz="4" w:space="0" w:color="auto"/>
              <w:bottom w:val="single" w:sz="4" w:space="0" w:color="auto"/>
              <w:right w:val="single" w:sz="4" w:space="0" w:color="auto"/>
            </w:tcBorders>
            <w:hideMark/>
          </w:tcPr>
          <w:p w14:paraId="509615B7" w14:textId="77777777" w:rsidR="008F2E5D" w:rsidRDefault="008F2E5D" w:rsidP="004A6A9C">
            <w:pPr>
              <w:pStyle w:val="CPTExample"/>
              <w:jc w:val="center"/>
              <w:rPr>
                <w:b/>
                <w:bCs/>
              </w:rPr>
            </w:pPr>
            <w:r>
              <w:rPr>
                <w:b/>
                <w:bCs/>
              </w:rPr>
              <w:t>Description</w:t>
            </w:r>
          </w:p>
        </w:tc>
      </w:tr>
      <w:tr w:rsidR="008F2E5D" w14:paraId="43A01455" w14:textId="77777777" w:rsidTr="004A6A9C">
        <w:tc>
          <w:tcPr>
            <w:tcW w:w="1510" w:type="pct"/>
            <w:tcBorders>
              <w:top w:val="single" w:sz="4" w:space="0" w:color="auto"/>
              <w:left w:val="single" w:sz="4" w:space="0" w:color="auto"/>
              <w:bottom w:val="single" w:sz="4" w:space="0" w:color="auto"/>
              <w:right w:val="single" w:sz="4" w:space="0" w:color="auto"/>
            </w:tcBorders>
            <w:hideMark/>
          </w:tcPr>
          <w:p w14:paraId="353BDB02" w14:textId="77777777" w:rsidR="008F2E5D" w:rsidRDefault="008F2E5D" w:rsidP="004A6A9C">
            <w:pPr>
              <w:pStyle w:val="CPTExample"/>
            </w:pPr>
            <w:r>
              <w:t>Full analysis set</w:t>
            </w:r>
          </w:p>
        </w:tc>
        <w:tc>
          <w:tcPr>
            <w:tcW w:w="3490" w:type="pct"/>
            <w:tcBorders>
              <w:top w:val="single" w:sz="4" w:space="0" w:color="auto"/>
              <w:left w:val="single" w:sz="4" w:space="0" w:color="auto"/>
              <w:bottom w:val="single" w:sz="4" w:space="0" w:color="auto"/>
              <w:right w:val="single" w:sz="4" w:space="0" w:color="auto"/>
            </w:tcBorders>
            <w:hideMark/>
          </w:tcPr>
          <w:p w14:paraId="544DB185" w14:textId="77777777" w:rsidR="008F2E5D" w:rsidRDefault="008F2E5D" w:rsidP="00D65B50">
            <w:pPr>
              <w:pStyle w:val="CPTExample"/>
              <w:numPr>
                <w:ilvl w:val="0"/>
                <w:numId w:val="30"/>
              </w:numPr>
            </w:pPr>
            <w:r>
              <w:t>All randomized participants. Participants will be included in the analyses according to the planned intervention.</w:t>
            </w:r>
          </w:p>
        </w:tc>
      </w:tr>
      <w:tr w:rsidR="008F2E5D" w14:paraId="6485734D" w14:textId="77777777" w:rsidTr="004A6A9C">
        <w:tc>
          <w:tcPr>
            <w:tcW w:w="1510" w:type="pct"/>
            <w:tcBorders>
              <w:top w:val="single" w:sz="4" w:space="0" w:color="auto"/>
              <w:left w:val="single" w:sz="4" w:space="0" w:color="auto"/>
              <w:bottom w:val="single" w:sz="4" w:space="0" w:color="auto"/>
              <w:right w:val="single" w:sz="4" w:space="0" w:color="auto"/>
            </w:tcBorders>
            <w:hideMark/>
          </w:tcPr>
          <w:p w14:paraId="6F38D2A0" w14:textId="77777777" w:rsidR="008F2E5D" w:rsidRDefault="008F2E5D" w:rsidP="004A6A9C">
            <w:pPr>
              <w:pStyle w:val="CPTExample"/>
            </w:pPr>
            <w:r>
              <w:lastRenderedPageBreak/>
              <w:t>Safety analysis set</w:t>
            </w:r>
          </w:p>
        </w:tc>
        <w:tc>
          <w:tcPr>
            <w:tcW w:w="3490" w:type="pct"/>
            <w:tcBorders>
              <w:top w:val="single" w:sz="4" w:space="0" w:color="auto"/>
              <w:left w:val="single" w:sz="4" w:space="0" w:color="auto"/>
              <w:bottom w:val="single" w:sz="4" w:space="0" w:color="auto"/>
              <w:right w:val="single" w:sz="4" w:space="0" w:color="auto"/>
            </w:tcBorders>
            <w:hideMark/>
          </w:tcPr>
          <w:p w14:paraId="71F5247B" w14:textId="67684741" w:rsidR="008F2E5D" w:rsidRDefault="008F2E5D" w:rsidP="00D65B50">
            <w:pPr>
              <w:pStyle w:val="CPTExample"/>
              <w:numPr>
                <w:ilvl w:val="0"/>
                <w:numId w:val="30"/>
              </w:numPr>
            </w:pPr>
            <w:r>
              <w:t xml:space="preserve">All participants who are exposed to study </w:t>
            </w:r>
            <w:r>
              <w:rPr>
                <w:rFonts w:eastAsia="Calibri"/>
              </w:rPr>
              <w:t>intervention</w:t>
            </w:r>
            <w:r>
              <w:t xml:space="preserve">. Participants will be </w:t>
            </w:r>
            <w:r w:rsidR="000919FF">
              <w:t xml:space="preserve">included in the </w:t>
            </w:r>
            <w:r>
              <w:t>analy</w:t>
            </w:r>
            <w:r w:rsidR="000919FF">
              <w:t>ses</w:t>
            </w:r>
            <w:r>
              <w:t xml:space="preserve"> according to the </w:t>
            </w:r>
            <w:r>
              <w:rPr>
                <w:rFonts w:eastAsia="Calibri"/>
              </w:rPr>
              <w:t xml:space="preserve">intervention </w:t>
            </w:r>
            <w:r>
              <w:t>they actually received.</w:t>
            </w:r>
          </w:p>
        </w:tc>
      </w:tr>
    </w:tbl>
    <w:p w14:paraId="6EA52B1C" w14:textId="268281ED" w:rsidR="008F2E5D" w:rsidRDefault="008F2E5D" w:rsidP="008F2E5D">
      <w:pPr>
        <w:pStyle w:val="CPTExample"/>
      </w:pPr>
      <w:r>
        <w:t>The full analysis set is used to analyze endpoints related to the efficacy objectives</w:t>
      </w:r>
      <w:r w:rsidR="000919FF">
        <w:t>,</w:t>
      </w:r>
      <w:r>
        <w:t xml:space="preserve"> and the safety analysis set is used to analyze the endpoints and assessments related to safety.</w:t>
      </w:r>
    </w:p>
    <w:p w14:paraId="5173BEB7" w14:textId="77777777" w:rsidR="008F2E5D" w:rsidRDefault="008F2E5D" w:rsidP="008F2E5D">
      <w:pPr>
        <w:pStyle w:val="CPTExample"/>
        <w:keepNext/>
      </w:pPr>
      <w:r>
        <w:t>Example 2:</w:t>
      </w:r>
    </w:p>
    <w:p w14:paraId="606861E6" w14:textId="77777777" w:rsidR="008F2E5D" w:rsidRDefault="008F2E5D" w:rsidP="008F2E5D">
      <w:pPr>
        <w:pStyle w:val="CPTExample"/>
        <w:keepNext/>
      </w:pPr>
      <w:r>
        <w:t>The following analysis data sets are defined to estimate the estimands defined in the protocol and to address safety.</w:t>
      </w:r>
    </w:p>
    <w:tbl>
      <w:tblPr>
        <w:tblW w:w="5000" w:type="pct"/>
        <w:tblInd w:w="137" w:type="dxa"/>
        <w:tblLook w:val="04A0" w:firstRow="1" w:lastRow="0" w:firstColumn="1" w:lastColumn="0" w:noHBand="0" w:noVBand="1"/>
      </w:tblPr>
      <w:tblGrid>
        <w:gridCol w:w="2833"/>
        <w:gridCol w:w="6517"/>
      </w:tblGrid>
      <w:tr w:rsidR="008F2E5D" w14:paraId="2947039A" w14:textId="77777777" w:rsidTr="004A6A9C">
        <w:trPr>
          <w:tblHeader/>
        </w:trPr>
        <w:tc>
          <w:tcPr>
            <w:tcW w:w="1515" w:type="pct"/>
            <w:tcBorders>
              <w:top w:val="single" w:sz="4" w:space="0" w:color="auto"/>
              <w:left w:val="single" w:sz="4" w:space="0" w:color="auto"/>
              <w:bottom w:val="single" w:sz="4" w:space="0" w:color="auto"/>
              <w:right w:val="single" w:sz="4" w:space="0" w:color="auto"/>
            </w:tcBorders>
            <w:hideMark/>
          </w:tcPr>
          <w:p w14:paraId="1F809238" w14:textId="3A2CFCF2" w:rsidR="008F2E5D" w:rsidRDefault="008F2E5D" w:rsidP="004A6A9C">
            <w:pPr>
              <w:pStyle w:val="CPTExample"/>
              <w:keepNext/>
              <w:jc w:val="center"/>
              <w:rPr>
                <w:rFonts w:eastAsia="MS Gothic" w:cs="Arial"/>
                <w:b/>
                <w:bCs/>
              </w:rPr>
            </w:pPr>
            <w:r>
              <w:rPr>
                <w:rFonts w:eastAsia="MS Gothic" w:cs="Arial"/>
                <w:b/>
                <w:bCs/>
              </w:rPr>
              <w:t>Analysis Data Sets</w:t>
            </w:r>
          </w:p>
        </w:tc>
        <w:tc>
          <w:tcPr>
            <w:tcW w:w="3485" w:type="pct"/>
            <w:tcBorders>
              <w:top w:val="single" w:sz="4" w:space="0" w:color="auto"/>
              <w:left w:val="single" w:sz="4" w:space="0" w:color="auto"/>
              <w:bottom w:val="single" w:sz="4" w:space="0" w:color="auto"/>
              <w:right w:val="single" w:sz="4" w:space="0" w:color="auto"/>
            </w:tcBorders>
            <w:hideMark/>
          </w:tcPr>
          <w:p w14:paraId="227623C5" w14:textId="77777777" w:rsidR="008F2E5D" w:rsidRDefault="008F2E5D" w:rsidP="004A6A9C">
            <w:pPr>
              <w:pStyle w:val="CPTExample"/>
              <w:keepNext/>
              <w:jc w:val="center"/>
              <w:rPr>
                <w:rFonts w:eastAsia="MS Gothic" w:cs="Arial"/>
                <w:b/>
                <w:bCs/>
              </w:rPr>
            </w:pPr>
            <w:r>
              <w:rPr>
                <w:rFonts w:eastAsia="MS Gothic" w:cs="Arial"/>
                <w:b/>
                <w:bCs/>
              </w:rPr>
              <w:t>Description</w:t>
            </w:r>
          </w:p>
        </w:tc>
      </w:tr>
      <w:tr w:rsidR="008F2E5D" w14:paraId="2EAE47FD" w14:textId="77777777" w:rsidTr="004A6A9C">
        <w:trPr>
          <w:cantSplit/>
        </w:trPr>
        <w:tc>
          <w:tcPr>
            <w:tcW w:w="1515" w:type="pct"/>
            <w:tcBorders>
              <w:top w:val="single" w:sz="4" w:space="0" w:color="auto"/>
              <w:left w:val="single" w:sz="4" w:space="0" w:color="auto"/>
              <w:bottom w:val="single" w:sz="4" w:space="0" w:color="auto"/>
              <w:right w:val="single" w:sz="4" w:space="0" w:color="auto"/>
            </w:tcBorders>
            <w:hideMark/>
          </w:tcPr>
          <w:p w14:paraId="2461E5EA" w14:textId="1896082B" w:rsidR="008F2E5D" w:rsidRDefault="008F2E5D" w:rsidP="004A6A9C">
            <w:pPr>
              <w:pStyle w:val="CPTExample"/>
              <w:rPr>
                <w:rStyle w:val="TableText12"/>
                <w:rFonts w:eastAsia="Calibri" w:cs="Arial"/>
                <w:i w:val="0"/>
                <w:color w:val="auto"/>
              </w:rPr>
            </w:pPr>
            <w:r>
              <w:rPr>
                <w:rStyle w:val="TableText12"/>
                <w:rFonts w:eastAsia="MS Gothic" w:cs="Arial"/>
              </w:rPr>
              <w:t xml:space="preserve">Analysis set 1 for the primary estimand and for the secondary estimand for </w:t>
            </w:r>
            <w:r w:rsidR="000919FF">
              <w:rPr>
                <w:rStyle w:val="TableText12"/>
                <w:rFonts w:eastAsia="MS Gothic" w:cs="Arial"/>
              </w:rPr>
              <w:t xml:space="preserve">the </w:t>
            </w:r>
            <w:r>
              <w:rPr>
                <w:rStyle w:val="TableText12"/>
                <w:rFonts w:eastAsia="MS Gothic" w:cs="Arial"/>
              </w:rPr>
              <w:t>secondary objective 1</w:t>
            </w:r>
          </w:p>
        </w:tc>
        <w:tc>
          <w:tcPr>
            <w:tcW w:w="3485" w:type="pct"/>
            <w:tcBorders>
              <w:top w:val="single" w:sz="4" w:space="0" w:color="auto"/>
              <w:left w:val="single" w:sz="4" w:space="0" w:color="auto"/>
              <w:bottom w:val="single" w:sz="4" w:space="0" w:color="auto"/>
              <w:right w:val="single" w:sz="4" w:space="0" w:color="auto"/>
            </w:tcBorders>
            <w:hideMark/>
          </w:tcPr>
          <w:p w14:paraId="5ABE19F9" w14:textId="2B569858" w:rsidR="008F2E5D" w:rsidRDefault="008F2E5D" w:rsidP="00D65B50">
            <w:pPr>
              <w:pStyle w:val="CPTExample"/>
              <w:numPr>
                <w:ilvl w:val="0"/>
                <w:numId w:val="31"/>
              </w:numPr>
              <w:ind w:left="360"/>
            </w:pPr>
            <w:r>
              <w:rPr>
                <w:rFonts w:cs="Arial"/>
              </w:rPr>
              <w:t>PAS1: All randomized participants</w:t>
            </w:r>
            <w:r w:rsidR="00184EE3">
              <w:rPr>
                <w:rFonts w:cs="Arial"/>
              </w:rPr>
              <w:t xml:space="preserve">. </w:t>
            </w:r>
            <w:r w:rsidR="00184EE3">
              <w:t xml:space="preserve">Participants will be included in the analyses according to </w:t>
            </w:r>
            <w:r w:rsidR="00184EE3" w:rsidRPr="00861B5C">
              <w:t>the planned intervention</w:t>
            </w:r>
          </w:p>
          <w:p w14:paraId="49F748BD" w14:textId="77777777" w:rsidR="008F2E5D" w:rsidRDefault="008F2E5D" w:rsidP="00D65B50">
            <w:pPr>
              <w:pStyle w:val="CPTExample"/>
              <w:numPr>
                <w:ilvl w:val="0"/>
                <w:numId w:val="31"/>
              </w:numPr>
              <w:ind w:left="360"/>
              <w:rPr>
                <w:rFonts w:cs="Arial"/>
              </w:rPr>
            </w:pPr>
            <w:r>
              <w:rPr>
                <w:rFonts w:cs="Arial"/>
              </w:rPr>
              <w:t>For participants who discontinue study intervention and/or receive rescue therapy, post-discontinuation or post-rescue observations will not be included.</w:t>
            </w:r>
          </w:p>
        </w:tc>
      </w:tr>
      <w:tr w:rsidR="008F2E5D" w14:paraId="5DC00C51" w14:textId="77777777" w:rsidTr="004A6A9C">
        <w:tc>
          <w:tcPr>
            <w:tcW w:w="1515" w:type="pct"/>
            <w:tcBorders>
              <w:top w:val="single" w:sz="4" w:space="0" w:color="auto"/>
              <w:left w:val="single" w:sz="4" w:space="0" w:color="auto"/>
              <w:bottom w:val="single" w:sz="4" w:space="0" w:color="auto"/>
              <w:right w:val="single" w:sz="4" w:space="0" w:color="auto"/>
            </w:tcBorders>
            <w:hideMark/>
          </w:tcPr>
          <w:p w14:paraId="6F0C79C4" w14:textId="77777777" w:rsidR="008F2E5D" w:rsidRDefault="008F2E5D" w:rsidP="004A6A9C">
            <w:pPr>
              <w:pStyle w:val="CPTExample"/>
              <w:rPr>
                <w:rStyle w:val="TableText12"/>
                <w:rFonts w:eastAsia="MS Gothic" w:cs="Arial"/>
              </w:rPr>
            </w:pPr>
            <w:r>
              <w:rPr>
                <w:rStyle w:val="TableText12"/>
                <w:rFonts w:eastAsia="MS Gothic" w:cs="Arial"/>
              </w:rPr>
              <w:t>Analysis set 2 for the additional estimand for the primary objective</w:t>
            </w:r>
          </w:p>
        </w:tc>
        <w:tc>
          <w:tcPr>
            <w:tcW w:w="3485" w:type="pct"/>
            <w:tcBorders>
              <w:top w:val="single" w:sz="4" w:space="0" w:color="auto"/>
              <w:left w:val="single" w:sz="4" w:space="0" w:color="auto"/>
              <w:bottom w:val="single" w:sz="4" w:space="0" w:color="auto"/>
              <w:right w:val="single" w:sz="4" w:space="0" w:color="auto"/>
            </w:tcBorders>
            <w:hideMark/>
          </w:tcPr>
          <w:p w14:paraId="4CA851A2" w14:textId="04841142" w:rsidR="008F2E5D" w:rsidRDefault="008F2E5D" w:rsidP="00D65B50">
            <w:pPr>
              <w:pStyle w:val="CPTExample"/>
              <w:numPr>
                <w:ilvl w:val="0"/>
                <w:numId w:val="32"/>
              </w:numPr>
              <w:ind w:left="360"/>
              <w:rPr>
                <w:rFonts w:eastAsia="MS Gothic"/>
              </w:rPr>
            </w:pPr>
            <w:r>
              <w:rPr>
                <w:rFonts w:cs="Arial"/>
              </w:rPr>
              <w:t>PAS1: All randomized participants</w:t>
            </w:r>
            <w:r w:rsidR="00184EE3">
              <w:rPr>
                <w:rFonts w:cs="Arial"/>
              </w:rPr>
              <w:t xml:space="preserve">. </w:t>
            </w:r>
            <w:r w:rsidR="00184EE3">
              <w:t xml:space="preserve">Participants will be included in the analyses according to </w:t>
            </w:r>
            <w:r w:rsidR="00184EE3" w:rsidRPr="00861B5C">
              <w:t>the planned intervention</w:t>
            </w:r>
            <w:r>
              <w:rPr>
                <w:rFonts w:cs="Arial"/>
              </w:rPr>
              <w:t xml:space="preserve"> </w:t>
            </w:r>
          </w:p>
          <w:p w14:paraId="70509063" w14:textId="1622CF11" w:rsidR="008F2E5D" w:rsidRDefault="008F2E5D" w:rsidP="00D65B50">
            <w:pPr>
              <w:pStyle w:val="CPTExample"/>
              <w:numPr>
                <w:ilvl w:val="0"/>
                <w:numId w:val="32"/>
              </w:numPr>
              <w:ind w:left="360"/>
              <w:rPr>
                <w:rFonts w:cs="Arial"/>
              </w:rPr>
            </w:pPr>
            <w:r>
              <w:rPr>
                <w:rFonts w:cs="Arial"/>
              </w:rPr>
              <w:t>For participants who discontinue study intervention and/or receive rescue therapy, all post</w:t>
            </w:r>
            <w:r w:rsidR="00184EE3">
              <w:rPr>
                <w:rFonts w:cs="Arial"/>
              </w:rPr>
              <w:t>-</w:t>
            </w:r>
            <w:r>
              <w:rPr>
                <w:rFonts w:cs="Arial"/>
              </w:rPr>
              <w:t>discontinuation or post</w:t>
            </w:r>
            <w:r w:rsidR="00184EE3">
              <w:rPr>
                <w:rFonts w:cs="Arial"/>
              </w:rPr>
              <w:t>-</w:t>
            </w:r>
            <w:r>
              <w:rPr>
                <w:rFonts w:cs="Arial"/>
              </w:rPr>
              <w:t>rescue observations will be included in the analysis set.</w:t>
            </w:r>
          </w:p>
        </w:tc>
      </w:tr>
      <w:tr w:rsidR="008F2E5D" w14:paraId="744526E8" w14:textId="77777777" w:rsidTr="004A6A9C">
        <w:tc>
          <w:tcPr>
            <w:tcW w:w="1515" w:type="pct"/>
            <w:tcBorders>
              <w:top w:val="single" w:sz="4" w:space="0" w:color="auto"/>
              <w:left w:val="single" w:sz="4" w:space="0" w:color="auto"/>
              <w:bottom w:val="single" w:sz="4" w:space="0" w:color="auto"/>
              <w:right w:val="single" w:sz="4" w:space="0" w:color="auto"/>
            </w:tcBorders>
            <w:hideMark/>
          </w:tcPr>
          <w:p w14:paraId="2BA55E10" w14:textId="77777777" w:rsidR="008F2E5D" w:rsidRDefault="008F2E5D" w:rsidP="004A6A9C">
            <w:pPr>
              <w:pStyle w:val="CPTExample"/>
              <w:rPr>
                <w:rStyle w:val="TableText12"/>
                <w:rFonts w:eastAsia="MS Gothic" w:cs="Arial"/>
              </w:rPr>
            </w:pPr>
            <w:r>
              <w:rPr>
                <w:rStyle w:val="TableText12"/>
                <w:rFonts w:eastAsia="MS Gothic" w:cs="Arial"/>
              </w:rPr>
              <w:t>Safety analysis set 1 to be used for safety assessments with a long lag-time</w:t>
            </w:r>
          </w:p>
        </w:tc>
        <w:tc>
          <w:tcPr>
            <w:tcW w:w="3485" w:type="pct"/>
            <w:tcBorders>
              <w:top w:val="single" w:sz="4" w:space="0" w:color="auto"/>
              <w:left w:val="single" w:sz="4" w:space="0" w:color="auto"/>
              <w:bottom w:val="single" w:sz="4" w:space="0" w:color="auto"/>
              <w:right w:val="single" w:sz="4" w:space="0" w:color="auto"/>
            </w:tcBorders>
            <w:hideMark/>
          </w:tcPr>
          <w:p w14:paraId="02164F1A" w14:textId="763B1497" w:rsidR="008F2E5D" w:rsidRDefault="008F2E5D" w:rsidP="00D65B50">
            <w:pPr>
              <w:pStyle w:val="CPTExample"/>
              <w:numPr>
                <w:ilvl w:val="0"/>
                <w:numId w:val="33"/>
              </w:numPr>
              <w:ind w:left="360"/>
              <w:rPr>
                <w:rFonts w:eastAsia="MS Gothic"/>
              </w:rPr>
            </w:pPr>
            <w:r>
              <w:rPr>
                <w:rFonts w:cs="Arial"/>
              </w:rPr>
              <w:t xml:space="preserve">PAS2: All participants who are exposed to study </w:t>
            </w:r>
            <w:r>
              <w:rPr>
                <w:rFonts w:eastAsia="Calibri" w:cs="Arial"/>
              </w:rPr>
              <w:t>intervention</w:t>
            </w:r>
            <w:r>
              <w:rPr>
                <w:rFonts w:cs="Arial"/>
              </w:rPr>
              <w:t xml:space="preserve">. Participants will be </w:t>
            </w:r>
            <w:r w:rsidR="00184EE3">
              <w:rPr>
                <w:rFonts w:cs="Arial"/>
              </w:rPr>
              <w:t xml:space="preserve">included in the </w:t>
            </w:r>
            <w:r>
              <w:rPr>
                <w:rFonts w:cs="Arial"/>
              </w:rPr>
              <w:t>analy</w:t>
            </w:r>
            <w:r w:rsidR="00184EE3">
              <w:rPr>
                <w:rFonts w:cs="Arial"/>
              </w:rPr>
              <w:t>s</w:t>
            </w:r>
            <w:r>
              <w:rPr>
                <w:rFonts w:cs="Arial"/>
              </w:rPr>
              <w:t>e</w:t>
            </w:r>
            <w:r w:rsidR="00184EE3">
              <w:rPr>
                <w:rFonts w:cs="Arial"/>
              </w:rPr>
              <w:t>s</w:t>
            </w:r>
            <w:r>
              <w:rPr>
                <w:rFonts w:cs="Arial"/>
              </w:rPr>
              <w:t xml:space="preserve"> according to the </w:t>
            </w:r>
            <w:r>
              <w:rPr>
                <w:rFonts w:eastAsia="Calibri" w:cs="Arial"/>
              </w:rPr>
              <w:t xml:space="preserve">intervention </w:t>
            </w:r>
            <w:r>
              <w:rPr>
                <w:rFonts w:cs="Arial"/>
              </w:rPr>
              <w:t xml:space="preserve">they actually received. </w:t>
            </w:r>
          </w:p>
          <w:p w14:paraId="2CE55045" w14:textId="77777777" w:rsidR="008F2E5D" w:rsidRDefault="008F2E5D" w:rsidP="00D65B50">
            <w:pPr>
              <w:pStyle w:val="CPTExample"/>
              <w:numPr>
                <w:ilvl w:val="0"/>
                <w:numId w:val="33"/>
              </w:numPr>
              <w:ind w:left="360"/>
              <w:rPr>
                <w:rFonts w:cs="Arial"/>
              </w:rPr>
            </w:pPr>
            <w:r>
              <w:rPr>
                <w:rFonts w:cs="Arial"/>
              </w:rPr>
              <w:t>All observed data will be included in the analysis set.</w:t>
            </w:r>
          </w:p>
        </w:tc>
      </w:tr>
      <w:tr w:rsidR="008F2E5D" w14:paraId="1008B919" w14:textId="77777777" w:rsidTr="004A6A9C">
        <w:tc>
          <w:tcPr>
            <w:tcW w:w="1515" w:type="pct"/>
            <w:tcBorders>
              <w:top w:val="single" w:sz="4" w:space="0" w:color="auto"/>
              <w:left w:val="single" w:sz="4" w:space="0" w:color="auto"/>
              <w:bottom w:val="single" w:sz="4" w:space="0" w:color="auto"/>
              <w:right w:val="single" w:sz="4" w:space="0" w:color="auto"/>
            </w:tcBorders>
            <w:hideMark/>
          </w:tcPr>
          <w:p w14:paraId="1BF279D6" w14:textId="77777777" w:rsidR="008F2E5D" w:rsidRDefault="008F2E5D" w:rsidP="004A6A9C">
            <w:pPr>
              <w:pStyle w:val="CPTExample"/>
              <w:rPr>
                <w:rStyle w:val="TableText12"/>
                <w:rFonts w:eastAsia="MS Gothic" w:cs="Arial"/>
              </w:rPr>
            </w:pPr>
            <w:r>
              <w:rPr>
                <w:rStyle w:val="TableText12"/>
                <w:rFonts w:eastAsia="MS Gothic" w:cs="Arial"/>
              </w:rPr>
              <w:t>Safety analysis set 2 to be used for safety assessments with an acute onset</w:t>
            </w:r>
          </w:p>
        </w:tc>
        <w:tc>
          <w:tcPr>
            <w:tcW w:w="3485" w:type="pct"/>
            <w:tcBorders>
              <w:top w:val="single" w:sz="4" w:space="0" w:color="auto"/>
              <w:left w:val="single" w:sz="4" w:space="0" w:color="auto"/>
              <w:bottom w:val="single" w:sz="4" w:space="0" w:color="auto"/>
              <w:right w:val="single" w:sz="4" w:space="0" w:color="auto"/>
            </w:tcBorders>
            <w:hideMark/>
          </w:tcPr>
          <w:p w14:paraId="4038BB6B" w14:textId="0FC12AF2" w:rsidR="008F2E5D" w:rsidRDefault="008F2E5D" w:rsidP="00D65B50">
            <w:pPr>
              <w:pStyle w:val="CPTExample"/>
              <w:numPr>
                <w:ilvl w:val="0"/>
                <w:numId w:val="34"/>
              </w:numPr>
              <w:ind w:left="360"/>
              <w:rPr>
                <w:rFonts w:eastAsia="MS Gothic"/>
              </w:rPr>
            </w:pPr>
            <w:r>
              <w:rPr>
                <w:rFonts w:cs="Arial"/>
              </w:rPr>
              <w:t xml:space="preserve">PAS2: All participants who are exposed to study </w:t>
            </w:r>
            <w:r>
              <w:rPr>
                <w:rFonts w:eastAsia="Calibri" w:cs="Arial"/>
              </w:rPr>
              <w:t>intervention</w:t>
            </w:r>
            <w:r>
              <w:rPr>
                <w:rFonts w:cs="Arial"/>
              </w:rPr>
              <w:t xml:space="preserve">. Participants will be </w:t>
            </w:r>
            <w:r w:rsidR="00184EE3">
              <w:rPr>
                <w:rFonts w:cs="Arial"/>
              </w:rPr>
              <w:t xml:space="preserve">included in the </w:t>
            </w:r>
            <w:r>
              <w:rPr>
                <w:rFonts w:cs="Arial"/>
              </w:rPr>
              <w:t>analy</w:t>
            </w:r>
            <w:r w:rsidR="00184EE3">
              <w:rPr>
                <w:rFonts w:cs="Arial"/>
              </w:rPr>
              <w:t>s</w:t>
            </w:r>
            <w:r>
              <w:rPr>
                <w:rFonts w:cs="Arial"/>
              </w:rPr>
              <w:t>e</w:t>
            </w:r>
            <w:r w:rsidR="00184EE3">
              <w:rPr>
                <w:rFonts w:cs="Arial"/>
              </w:rPr>
              <w:t>s</w:t>
            </w:r>
            <w:r>
              <w:rPr>
                <w:rFonts w:cs="Arial"/>
              </w:rPr>
              <w:t xml:space="preserve"> according to the </w:t>
            </w:r>
            <w:r>
              <w:rPr>
                <w:rFonts w:eastAsia="Calibri" w:cs="Arial"/>
              </w:rPr>
              <w:t xml:space="preserve">intervention </w:t>
            </w:r>
            <w:r>
              <w:rPr>
                <w:rFonts w:cs="Arial"/>
              </w:rPr>
              <w:t xml:space="preserve">they actually received. </w:t>
            </w:r>
          </w:p>
          <w:p w14:paraId="5B7AC5F2" w14:textId="77777777" w:rsidR="008F2E5D" w:rsidRDefault="008F2E5D" w:rsidP="00D65B50">
            <w:pPr>
              <w:pStyle w:val="CPTExample"/>
              <w:numPr>
                <w:ilvl w:val="0"/>
                <w:numId w:val="34"/>
              </w:numPr>
              <w:ind w:left="360"/>
              <w:rPr>
                <w:rFonts w:cs="Arial"/>
              </w:rPr>
            </w:pPr>
            <w:r>
              <w:rPr>
                <w:rFonts w:cs="Arial"/>
              </w:rPr>
              <w:t>All observed data until discontinuation of intervention will be included in the analysis set.</w:t>
            </w:r>
          </w:p>
        </w:tc>
      </w:tr>
    </w:tbl>
    <w:p w14:paraId="39B1A1F0" w14:textId="77777777" w:rsidR="008F2E5D" w:rsidRPr="00BE6AD7" w:rsidRDefault="008F2E5D" w:rsidP="007443CD">
      <w:pPr>
        <w:pStyle w:val="CPTExample"/>
        <w:rPr>
          <w:lang w:val="fr-FR"/>
        </w:rPr>
      </w:pPr>
      <w:r w:rsidRPr="00BE6AD7">
        <w:rPr>
          <w:lang w:val="fr-FR"/>
        </w:rPr>
        <w:t>PAS = participant analysis set</w:t>
      </w:r>
    </w:p>
    <w:p w14:paraId="6E9E5451" w14:textId="6C92A2A8" w:rsidR="008F2E5D" w:rsidRDefault="008F2E5D" w:rsidP="008F2E5D">
      <w:pPr>
        <w:pStyle w:val="CPTExample"/>
        <w:keepNext/>
        <w:rPr>
          <w:lang w:val="fr-FR"/>
        </w:rPr>
      </w:pPr>
      <w:r>
        <w:rPr>
          <w:lang w:val="fr-FR"/>
        </w:rPr>
        <w:t>Example 3:</w:t>
      </w:r>
    </w:p>
    <w:p w14:paraId="4B15A95A" w14:textId="77777777" w:rsidR="008F2E5D" w:rsidRDefault="008F2E5D" w:rsidP="008F2E5D">
      <w:pPr>
        <w:pStyle w:val="CPTExample"/>
      </w:pPr>
      <w:r>
        <w:t>The following participant analysis sets are defined:</w:t>
      </w:r>
    </w:p>
    <w:tbl>
      <w:tblPr>
        <w:tblW w:w="5000" w:type="pct"/>
        <w:tblInd w:w="108" w:type="dxa"/>
        <w:tblLook w:val="04A0" w:firstRow="1" w:lastRow="0" w:firstColumn="1" w:lastColumn="0" w:noHBand="0" w:noVBand="1"/>
      </w:tblPr>
      <w:tblGrid>
        <w:gridCol w:w="2824"/>
        <w:gridCol w:w="6526"/>
      </w:tblGrid>
      <w:tr w:rsidR="008F2E5D" w14:paraId="16AA5231" w14:textId="77777777" w:rsidTr="004A6A9C">
        <w:tc>
          <w:tcPr>
            <w:tcW w:w="1510" w:type="pct"/>
            <w:tcBorders>
              <w:top w:val="single" w:sz="4" w:space="0" w:color="auto"/>
              <w:left w:val="single" w:sz="4" w:space="0" w:color="auto"/>
              <w:bottom w:val="single" w:sz="4" w:space="0" w:color="auto"/>
              <w:right w:val="single" w:sz="4" w:space="0" w:color="auto"/>
            </w:tcBorders>
            <w:hideMark/>
          </w:tcPr>
          <w:p w14:paraId="190EBA57" w14:textId="77777777" w:rsidR="008F2E5D" w:rsidRDefault="008F2E5D" w:rsidP="004A6A9C">
            <w:pPr>
              <w:pStyle w:val="CPTExample"/>
              <w:jc w:val="center"/>
              <w:rPr>
                <w:b/>
                <w:bCs/>
              </w:rPr>
            </w:pPr>
            <w:r>
              <w:rPr>
                <w:b/>
                <w:bCs/>
              </w:rPr>
              <w:t>Participant Analysis Set</w:t>
            </w:r>
          </w:p>
        </w:tc>
        <w:tc>
          <w:tcPr>
            <w:tcW w:w="3490" w:type="pct"/>
            <w:tcBorders>
              <w:top w:val="single" w:sz="4" w:space="0" w:color="auto"/>
              <w:left w:val="single" w:sz="4" w:space="0" w:color="auto"/>
              <w:bottom w:val="single" w:sz="4" w:space="0" w:color="auto"/>
              <w:right w:val="single" w:sz="4" w:space="0" w:color="auto"/>
            </w:tcBorders>
            <w:hideMark/>
          </w:tcPr>
          <w:p w14:paraId="650F4A82" w14:textId="77777777" w:rsidR="008F2E5D" w:rsidRDefault="008F2E5D" w:rsidP="004A6A9C">
            <w:pPr>
              <w:pStyle w:val="CPTExample"/>
              <w:jc w:val="center"/>
              <w:rPr>
                <w:b/>
                <w:bCs/>
              </w:rPr>
            </w:pPr>
            <w:r>
              <w:rPr>
                <w:b/>
                <w:bCs/>
              </w:rPr>
              <w:t>Description</w:t>
            </w:r>
          </w:p>
        </w:tc>
      </w:tr>
      <w:tr w:rsidR="008F2E5D" w14:paraId="1B720056" w14:textId="77777777" w:rsidTr="004A6A9C">
        <w:tc>
          <w:tcPr>
            <w:tcW w:w="1510" w:type="pct"/>
            <w:tcBorders>
              <w:top w:val="single" w:sz="4" w:space="0" w:color="auto"/>
              <w:left w:val="single" w:sz="4" w:space="0" w:color="auto"/>
              <w:bottom w:val="single" w:sz="4" w:space="0" w:color="auto"/>
              <w:right w:val="single" w:sz="4" w:space="0" w:color="auto"/>
            </w:tcBorders>
            <w:hideMark/>
          </w:tcPr>
          <w:p w14:paraId="1F1FEA09" w14:textId="77777777" w:rsidR="008F2E5D" w:rsidRDefault="008F2E5D" w:rsidP="004A6A9C">
            <w:pPr>
              <w:pStyle w:val="CPTExample"/>
            </w:pPr>
            <w:r>
              <w:lastRenderedPageBreak/>
              <w:t>Full analysis set (FAS)</w:t>
            </w:r>
          </w:p>
        </w:tc>
        <w:tc>
          <w:tcPr>
            <w:tcW w:w="3490" w:type="pct"/>
            <w:tcBorders>
              <w:top w:val="single" w:sz="4" w:space="0" w:color="auto"/>
              <w:left w:val="single" w:sz="4" w:space="0" w:color="auto"/>
              <w:bottom w:val="single" w:sz="4" w:space="0" w:color="auto"/>
              <w:right w:val="single" w:sz="4" w:space="0" w:color="auto"/>
            </w:tcBorders>
            <w:hideMark/>
          </w:tcPr>
          <w:p w14:paraId="266212A5" w14:textId="317961FF" w:rsidR="008F2E5D" w:rsidRDefault="008F2E5D" w:rsidP="00D65B50">
            <w:pPr>
              <w:pStyle w:val="CPTExample"/>
              <w:numPr>
                <w:ilvl w:val="0"/>
                <w:numId w:val="35"/>
              </w:numPr>
              <w:ind w:left="360"/>
            </w:pPr>
            <w:r>
              <w:t xml:space="preserve">All randomized participants. Participants will be included in the analyses according to the planned </w:t>
            </w:r>
            <w:r w:rsidR="00D65B50">
              <w:t>intervention</w:t>
            </w:r>
            <w:r>
              <w:t>.</w:t>
            </w:r>
          </w:p>
        </w:tc>
      </w:tr>
      <w:tr w:rsidR="008F2E5D" w14:paraId="625CF0D1" w14:textId="77777777" w:rsidTr="004A6A9C">
        <w:tc>
          <w:tcPr>
            <w:tcW w:w="1510" w:type="pct"/>
            <w:tcBorders>
              <w:top w:val="single" w:sz="4" w:space="0" w:color="auto"/>
              <w:left w:val="single" w:sz="4" w:space="0" w:color="auto"/>
              <w:bottom w:val="single" w:sz="4" w:space="0" w:color="auto"/>
              <w:right w:val="single" w:sz="4" w:space="0" w:color="auto"/>
            </w:tcBorders>
            <w:hideMark/>
          </w:tcPr>
          <w:p w14:paraId="7F83A626" w14:textId="77777777" w:rsidR="008F2E5D" w:rsidRDefault="008F2E5D" w:rsidP="004A6A9C">
            <w:pPr>
              <w:pStyle w:val="CPTExample"/>
            </w:pPr>
            <w:r>
              <w:t>Safety analysis set</w:t>
            </w:r>
          </w:p>
        </w:tc>
        <w:tc>
          <w:tcPr>
            <w:tcW w:w="3490" w:type="pct"/>
            <w:tcBorders>
              <w:top w:val="single" w:sz="4" w:space="0" w:color="auto"/>
              <w:left w:val="single" w:sz="4" w:space="0" w:color="auto"/>
              <w:bottom w:val="single" w:sz="4" w:space="0" w:color="auto"/>
              <w:right w:val="single" w:sz="4" w:space="0" w:color="auto"/>
            </w:tcBorders>
            <w:hideMark/>
          </w:tcPr>
          <w:p w14:paraId="788A07DF" w14:textId="18320C1E" w:rsidR="008F2E5D" w:rsidRDefault="008F2E5D" w:rsidP="00D65B50">
            <w:pPr>
              <w:pStyle w:val="CPTExample"/>
              <w:numPr>
                <w:ilvl w:val="0"/>
                <w:numId w:val="35"/>
              </w:numPr>
              <w:ind w:left="360"/>
            </w:pPr>
            <w:r>
              <w:t xml:space="preserve">All participants who are exposed to study </w:t>
            </w:r>
            <w:r>
              <w:rPr>
                <w:rFonts w:eastAsia="Calibri"/>
              </w:rPr>
              <w:t>intervention</w:t>
            </w:r>
            <w:r>
              <w:t xml:space="preserve">. Participants will be </w:t>
            </w:r>
            <w:r w:rsidR="00184EE3">
              <w:rPr>
                <w:rFonts w:cs="Arial"/>
              </w:rPr>
              <w:t xml:space="preserve">included in the </w:t>
            </w:r>
            <w:r>
              <w:t>analy</w:t>
            </w:r>
            <w:r w:rsidR="00184EE3">
              <w:t>s</w:t>
            </w:r>
            <w:r>
              <w:t>e</w:t>
            </w:r>
            <w:r w:rsidR="00184EE3">
              <w:t>s</w:t>
            </w:r>
            <w:r>
              <w:t xml:space="preserve"> according to the </w:t>
            </w:r>
            <w:r>
              <w:rPr>
                <w:rFonts w:eastAsia="Calibri"/>
              </w:rPr>
              <w:t xml:space="preserve">intervention </w:t>
            </w:r>
            <w:r>
              <w:t>they actually received.</w:t>
            </w:r>
          </w:p>
        </w:tc>
      </w:tr>
    </w:tbl>
    <w:p w14:paraId="228F770A" w14:textId="77777777" w:rsidR="008F2E5D" w:rsidRDefault="008F2E5D" w:rsidP="008F2E5D">
      <w:pPr>
        <w:pStyle w:val="CPTExample"/>
        <w:keepNext/>
      </w:pPr>
      <w:r>
        <w:t>The following data points sets are defined:</w:t>
      </w:r>
    </w:p>
    <w:tbl>
      <w:tblPr>
        <w:tblW w:w="5000" w:type="pct"/>
        <w:tblInd w:w="137" w:type="dxa"/>
        <w:tblLook w:val="04A0" w:firstRow="1" w:lastRow="0" w:firstColumn="1" w:lastColumn="0" w:noHBand="0" w:noVBand="1"/>
      </w:tblPr>
      <w:tblGrid>
        <w:gridCol w:w="2833"/>
        <w:gridCol w:w="6517"/>
      </w:tblGrid>
      <w:tr w:rsidR="008F2E5D" w14:paraId="05B93050" w14:textId="77777777" w:rsidTr="004A6A9C">
        <w:trPr>
          <w:tblHeader/>
        </w:trPr>
        <w:tc>
          <w:tcPr>
            <w:tcW w:w="1515" w:type="pct"/>
            <w:tcBorders>
              <w:top w:val="single" w:sz="4" w:space="0" w:color="auto"/>
              <w:left w:val="single" w:sz="4" w:space="0" w:color="auto"/>
              <w:bottom w:val="single" w:sz="4" w:space="0" w:color="auto"/>
              <w:right w:val="single" w:sz="4" w:space="0" w:color="auto"/>
            </w:tcBorders>
            <w:hideMark/>
          </w:tcPr>
          <w:p w14:paraId="74D690CC" w14:textId="4E74320D" w:rsidR="008F2E5D" w:rsidRDefault="008F2E5D" w:rsidP="004A6A9C">
            <w:pPr>
              <w:pStyle w:val="CPTExample"/>
              <w:keepNext/>
              <w:jc w:val="center"/>
              <w:rPr>
                <w:rFonts w:eastAsia="MS Gothic" w:cs="Arial"/>
                <w:b/>
                <w:bCs/>
              </w:rPr>
            </w:pPr>
            <w:r>
              <w:rPr>
                <w:rFonts w:eastAsia="MS Gothic" w:cs="Arial"/>
                <w:b/>
                <w:bCs/>
              </w:rPr>
              <w:t>Data Points Sets</w:t>
            </w:r>
          </w:p>
        </w:tc>
        <w:tc>
          <w:tcPr>
            <w:tcW w:w="3485" w:type="pct"/>
            <w:tcBorders>
              <w:top w:val="single" w:sz="4" w:space="0" w:color="auto"/>
              <w:left w:val="single" w:sz="4" w:space="0" w:color="auto"/>
              <w:bottom w:val="single" w:sz="4" w:space="0" w:color="auto"/>
              <w:right w:val="single" w:sz="4" w:space="0" w:color="auto"/>
            </w:tcBorders>
            <w:hideMark/>
          </w:tcPr>
          <w:p w14:paraId="667DDDF7" w14:textId="77777777" w:rsidR="008F2E5D" w:rsidRDefault="008F2E5D" w:rsidP="004A6A9C">
            <w:pPr>
              <w:pStyle w:val="CPTExample"/>
              <w:keepNext/>
              <w:jc w:val="center"/>
              <w:rPr>
                <w:rFonts w:eastAsia="MS Gothic" w:cs="Arial"/>
                <w:b/>
                <w:bCs/>
              </w:rPr>
            </w:pPr>
            <w:r>
              <w:rPr>
                <w:rFonts w:eastAsia="MS Gothic" w:cs="Arial"/>
                <w:b/>
                <w:bCs/>
              </w:rPr>
              <w:t>Description</w:t>
            </w:r>
          </w:p>
        </w:tc>
      </w:tr>
      <w:tr w:rsidR="008F2E5D" w14:paraId="6803C6CF" w14:textId="77777777" w:rsidTr="004A6A9C">
        <w:trPr>
          <w:cantSplit/>
        </w:trPr>
        <w:tc>
          <w:tcPr>
            <w:tcW w:w="1515" w:type="pct"/>
            <w:tcBorders>
              <w:top w:val="single" w:sz="4" w:space="0" w:color="auto"/>
              <w:left w:val="single" w:sz="4" w:space="0" w:color="auto"/>
              <w:bottom w:val="single" w:sz="4" w:space="0" w:color="auto"/>
              <w:right w:val="single" w:sz="4" w:space="0" w:color="auto"/>
            </w:tcBorders>
            <w:hideMark/>
          </w:tcPr>
          <w:p w14:paraId="2C7F2FE6" w14:textId="77777777" w:rsidR="008F2E5D" w:rsidRDefault="008F2E5D" w:rsidP="004A6A9C">
            <w:pPr>
              <w:pStyle w:val="CPTExample"/>
              <w:rPr>
                <w:rStyle w:val="TableText12"/>
                <w:rFonts w:eastAsia="Calibri" w:cs="Arial"/>
                <w:i w:val="0"/>
                <w:color w:val="auto"/>
              </w:rPr>
            </w:pPr>
            <w:r>
              <w:rPr>
                <w:rStyle w:val="TableText12"/>
                <w:rFonts w:eastAsia="MS Gothic" w:cs="Arial"/>
              </w:rPr>
              <w:t>DPS1</w:t>
            </w:r>
          </w:p>
        </w:tc>
        <w:tc>
          <w:tcPr>
            <w:tcW w:w="3485" w:type="pct"/>
            <w:tcBorders>
              <w:top w:val="single" w:sz="4" w:space="0" w:color="auto"/>
              <w:left w:val="single" w:sz="4" w:space="0" w:color="auto"/>
              <w:bottom w:val="single" w:sz="4" w:space="0" w:color="auto"/>
              <w:right w:val="single" w:sz="4" w:space="0" w:color="auto"/>
            </w:tcBorders>
            <w:hideMark/>
          </w:tcPr>
          <w:p w14:paraId="265D654B" w14:textId="54038C0F" w:rsidR="008F2E5D" w:rsidRDefault="008F2E5D" w:rsidP="00D65B50">
            <w:pPr>
              <w:pStyle w:val="CPTExample"/>
              <w:numPr>
                <w:ilvl w:val="0"/>
                <w:numId w:val="31"/>
              </w:numPr>
              <w:ind w:left="360"/>
            </w:pPr>
            <w:r>
              <w:rPr>
                <w:rFonts w:cs="Arial"/>
              </w:rPr>
              <w:t>For participants who discontinue study intervention and/or receive rescue therapy, post</w:t>
            </w:r>
            <w:r w:rsidR="00184EE3">
              <w:rPr>
                <w:rFonts w:cs="Arial"/>
              </w:rPr>
              <w:t>-</w:t>
            </w:r>
            <w:r>
              <w:rPr>
                <w:rFonts w:cs="Arial"/>
              </w:rPr>
              <w:t>discontinuation or post</w:t>
            </w:r>
            <w:r w:rsidR="00184EE3">
              <w:rPr>
                <w:rFonts w:cs="Arial"/>
              </w:rPr>
              <w:t>-</w:t>
            </w:r>
            <w:r>
              <w:rPr>
                <w:rFonts w:cs="Arial"/>
              </w:rPr>
              <w:t>rescue observations will not be included.</w:t>
            </w:r>
          </w:p>
        </w:tc>
      </w:tr>
      <w:tr w:rsidR="008F2E5D" w14:paraId="0CA20096" w14:textId="77777777" w:rsidTr="004A6A9C">
        <w:tc>
          <w:tcPr>
            <w:tcW w:w="1515" w:type="pct"/>
            <w:tcBorders>
              <w:top w:val="single" w:sz="4" w:space="0" w:color="auto"/>
              <w:left w:val="single" w:sz="4" w:space="0" w:color="auto"/>
              <w:bottom w:val="single" w:sz="4" w:space="0" w:color="auto"/>
              <w:right w:val="single" w:sz="4" w:space="0" w:color="auto"/>
            </w:tcBorders>
            <w:hideMark/>
          </w:tcPr>
          <w:p w14:paraId="73EEE7DC" w14:textId="77777777" w:rsidR="008F2E5D" w:rsidRDefault="008F2E5D" w:rsidP="004A6A9C">
            <w:pPr>
              <w:pStyle w:val="CPTExample"/>
              <w:rPr>
                <w:rStyle w:val="TableText12"/>
                <w:rFonts w:eastAsia="MS Gothic" w:cs="Arial"/>
              </w:rPr>
            </w:pPr>
            <w:r>
              <w:rPr>
                <w:rStyle w:val="TableText12"/>
                <w:rFonts w:eastAsia="MS Gothic" w:cs="Arial"/>
              </w:rPr>
              <w:t>DPS2</w:t>
            </w:r>
          </w:p>
        </w:tc>
        <w:tc>
          <w:tcPr>
            <w:tcW w:w="3485" w:type="pct"/>
            <w:tcBorders>
              <w:top w:val="single" w:sz="4" w:space="0" w:color="auto"/>
              <w:left w:val="single" w:sz="4" w:space="0" w:color="auto"/>
              <w:bottom w:val="single" w:sz="4" w:space="0" w:color="auto"/>
              <w:right w:val="single" w:sz="4" w:space="0" w:color="auto"/>
            </w:tcBorders>
            <w:hideMark/>
          </w:tcPr>
          <w:p w14:paraId="2F41DC02" w14:textId="371881ED" w:rsidR="008F2E5D" w:rsidRDefault="008F2E5D" w:rsidP="00D65B50">
            <w:pPr>
              <w:pStyle w:val="CPTExample"/>
              <w:numPr>
                <w:ilvl w:val="0"/>
                <w:numId w:val="32"/>
              </w:numPr>
              <w:ind w:left="360"/>
              <w:rPr>
                <w:rFonts w:eastAsia="MS Gothic"/>
              </w:rPr>
            </w:pPr>
            <w:r>
              <w:rPr>
                <w:rFonts w:cs="Arial"/>
              </w:rPr>
              <w:t>For participants who discontinue study intervention and/or receive rescue therapy, all post</w:t>
            </w:r>
            <w:r w:rsidR="00184EE3">
              <w:rPr>
                <w:rFonts w:cs="Arial"/>
              </w:rPr>
              <w:t>-</w:t>
            </w:r>
            <w:r>
              <w:rPr>
                <w:rFonts w:cs="Arial"/>
              </w:rPr>
              <w:t>discontinuation or post</w:t>
            </w:r>
            <w:r w:rsidR="00184EE3">
              <w:rPr>
                <w:rFonts w:cs="Arial"/>
              </w:rPr>
              <w:t>-</w:t>
            </w:r>
            <w:r>
              <w:rPr>
                <w:rFonts w:cs="Arial"/>
              </w:rPr>
              <w:t>rescue observations will be included in the analysis set.</w:t>
            </w:r>
          </w:p>
        </w:tc>
      </w:tr>
      <w:tr w:rsidR="008F2E5D" w14:paraId="35D0AFC5" w14:textId="77777777" w:rsidTr="004A6A9C">
        <w:tc>
          <w:tcPr>
            <w:tcW w:w="1515" w:type="pct"/>
            <w:tcBorders>
              <w:top w:val="single" w:sz="4" w:space="0" w:color="auto"/>
              <w:left w:val="single" w:sz="4" w:space="0" w:color="auto"/>
              <w:bottom w:val="single" w:sz="4" w:space="0" w:color="auto"/>
              <w:right w:val="single" w:sz="4" w:space="0" w:color="auto"/>
            </w:tcBorders>
            <w:hideMark/>
          </w:tcPr>
          <w:p w14:paraId="3DFD3563" w14:textId="77777777" w:rsidR="008F2E5D" w:rsidRDefault="008F2E5D" w:rsidP="004A6A9C">
            <w:pPr>
              <w:pStyle w:val="CPTExample"/>
              <w:rPr>
                <w:rStyle w:val="TableText12"/>
                <w:rFonts w:eastAsia="MS Gothic" w:cs="Arial"/>
              </w:rPr>
            </w:pPr>
            <w:r>
              <w:rPr>
                <w:rStyle w:val="TableText12"/>
                <w:rFonts w:eastAsia="MS Gothic" w:cs="Arial"/>
              </w:rPr>
              <w:t>DPS3</w:t>
            </w:r>
          </w:p>
        </w:tc>
        <w:tc>
          <w:tcPr>
            <w:tcW w:w="3485" w:type="pct"/>
            <w:tcBorders>
              <w:top w:val="single" w:sz="4" w:space="0" w:color="auto"/>
              <w:left w:val="single" w:sz="4" w:space="0" w:color="auto"/>
              <w:bottom w:val="single" w:sz="4" w:space="0" w:color="auto"/>
              <w:right w:val="single" w:sz="4" w:space="0" w:color="auto"/>
            </w:tcBorders>
            <w:hideMark/>
          </w:tcPr>
          <w:p w14:paraId="35F5E7F7" w14:textId="3E2E18EC" w:rsidR="008F2E5D" w:rsidRDefault="008F2E5D" w:rsidP="00D65B50">
            <w:pPr>
              <w:pStyle w:val="CPTExample"/>
              <w:numPr>
                <w:ilvl w:val="0"/>
                <w:numId w:val="33"/>
              </w:numPr>
              <w:ind w:left="360"/>
              <w:rPr>
                <w:rFonts w:eastAsia="MS Gothic"/>
              </w:rPr>
            </w:pPr>
            <w:r>
              <w:rPr>
                <w:rFonts w:cs="Arial"/>
              </w:rPr>
              <w:t xml:space="preserve">All observed data will be included in the </w:t>
            </w:r>
            <w:r w:rsidR="00D65B50">
              <w:rPr>
                <w:rFonts w:cs="Arial"/>
              </w:rPr>
              <w:t>analysis</w:t>
            </w:r>
            <w:r>
              <w:rPr>
                <w:rFonts w:cs="Arial"/>
              </w:rPr>
              <w:t xml:space="preserve"> set.</w:t>
            </w:r>
          </w:p>
        </w:tc>
      </w:tr>
      <w:tr w:rsidR="008F2E5D" w14:paraId="649D8356" w14:textId="77777777" w:rsidTr="004A6A9C">
        <w:tc>
          <w:tcPr>
            <w:tcW w:w="1515" w:type="pct"/>
            <w:tcBorders>
              <w:top w:val="single" w:sz="4" w:space="0" w:color="auto"/>
              <w:left w:val="single" w:sz="4" w:space="0" w:color="auto"/>
              <w:bottom w:val="single" w:sz="4" w:space="0" w:color="auto"/>
              <w:right w:val="single" w:sz="4" w:space="0" w:color="auto"/>
            </w:tcBorders>
            <w:hideMark/>
          </w:tcPr>
          <w:p w14:paraId="21F3E585" w14:textId="77777777" w:rsidR="008F2E5D" w:rsidRDefault="008F2E5D" w:rsidP="004A6A9C">
            <w:pPr>
              <w:pStyle w:val="CPTExample"/>
              <w:rPr>
                <w:rStyle w:val="TableText12"/>
                <w:rFonts w:eastAsia="MS Gothic" w:cs="Arial"/>
              </w:rPr>
            </w:pPr>
            <w:r>
              <w:rPr>
                <w:rStyle w:val="TableText12"/>
                <w:rFonts w:eastAsia="MS Gothic" w:cs="Arial"/>
              </w:rPr>
              <w:t>DPS4</w:t>
            </w:r>
          </w:p>
        </w:tc>
        <w:tc>
          <w:tcPr>
            <w:tcW w:w="3485" w:type="pct"/>
            <w:tcBorders>
              <w:top w:val="single" w:sz="4" w:space="0" w:color="auto"/>
              <w:left w:val="single" w:sz="4" w:space="0" w:color="auto"/>
              <w:bottom w:val="single" w:sz="4" w:space="0" w:color="auto"/>
              <w:right w:val="single" w:sz="4" w:space="0" w:color="auto"/>
            </w:tcBorders>
            <w:hideMark/>
          </w:tcPr>
          <w:p w14:paraId="24B8E7B3" w14:textId="77777777" w:rsidR="008F2E5D" w:rsidRDefault="008F2E5D" w:rsidP="00D65B50">
            <w:pPr>
              <w:pStyle w:val="CPTExample"/>
              <w:numPr>
                <w:ilvl w:val="0"/>
                <w:numId w:val="34"/>
              </w:numPr>
              <w:ind w:left="360"/>
              <w:rPr>
                <w:rFonts w:eastAsia="MS Gothic"/>
              </w:rPr>
            </w:pPr>
            <w:r>
              <w:rPr>
                <w:rFonts w:cs="Arial"/>
              </w:rPr>
              <w:t>All observed data until discontinuation of intervention will be included in the analysis set.</w:t>
            </w:r>
          </w:p>
        </w:tc>
      </w:tr>
    </w:tbl>
    <w:p w14:paraId="4080FE30" w14:textId="77777777" w:rsidR="00D65B50" w:rsidRDefault="00D65B50" w:rsidP="00D65B50">
      <w:pPr>
        <w:pStyle w:val="CPTExample"/>
      </w:pPr>
      <w:r>
        <w:t>FAS and DPS1 are used to estimate the primary estimand and the secondary estimand for secondary objective 1.</w:t>
      </w:r>
    </w:p>
    <w:p w14:paraId="2FA4419E" w14:textId="77777777" w:rsidR="00D65B50" w:rsidRDefault="00D65B50" w:rsidP="00D65B50">
      <w:pPr>
        <w:pStyle w:val="CPTExample"/>
      </w:pPr>
      <w:r>
        <w:t>FAS and DPS2 are used to estimate the additional estimand for the primary objective.</w:t>
      </w:r>
    </w:p>
    <w:p w14:paraId="4B761D7E" w14:textId="77777777" w:rsidR="00D65B50" w:rsidRDefault="00D65B50" w:rsidP="00D65B50">
      <w:pPr>
        <w:pStyle w:val="CPTExample"/>
      </w:pPr>
      <w:r>
        <w:t>Safety analysis set and DPS3 are used to present safety data with a long lag-time.</w:t>
      </w:r>
    </w:p>
    <w:p w14:paraId="0D56557A" w14:textId="77777777" w:rsidR="00D65B50" w:rsidRDefault="00D65B50" w:rsidP="00D65B50">
      <w:pPr>
        <w:pStyle w:val="CPTExample"/>
      </w:pPr>
      <w:r>
        <w:t>Safety analysis set and DPS4 are used to present safety data with an acute onset.</w:t>
      </w:r>
    </w:p>
    <w:p w14:paraId="7D4CD18B" w14:textId="055497AA" w:rsidR="00EA3E2B" w:rsidRPr="00FF59D7" w:rsidRDefault="008F2E5D" w:rsidP="008F2E5D">
      <w:pPr>
        <w:pStyle w:val="CPTExample"/>
      </w:pPr>
      <w:r>
        <w:t>&lt;End of example text&gt;</w:t>
      </w:r>
    </w:p>
    <w:p w14:paraId="070FCC58" w14:textId="2424F67E" w:rsidR="00EA3E2B" w:rsidRDefault="00EA3E2B" w:rsidP="00EA3E2B">
      <w:pPr>
        <w:pStyle w:val="Heading1"/>
      </w:pPr>
      <w:bookmarkStart w:id="54" w:name="_Toc521400468"/>
      <w:bookmarkStart w:id="55" w:name="_Toc518655976"/>
      <w:bookmarkStart w:id="56" w:name="_Toc518466162"/>
      <w:bookmarkStart w:id="57" w:name="_Toc52192292"/>
      <w:r>
        <w:lastRenderedPageBreak/>
        <w:t>Statistical Analyses</w:t>
      </w:r>
      <w:bookmarkEnd w:id="54"/>
      <w:bookmarkEnd w:id="55"/>
      <w:bookmarkEnd w:id="56"/>
      <w:bookmarkEnd w:id="57"/>
    </w:p>
    <w:p w14:paraId="041EEF6A" w14:textId="7C743F73" w:rsidR="00EA3E2B" w:rsidRDefault="00EA3E2B" w:rsidP="00EA3E2B">
      <w:pPr>
        <w:pStyle w:val="Heading2"/>
      </w:pPr>
      <w:bookmarkStart w:id="58" w:name="_Toc521400469"/>
      <w:bookmarkStart w:id="59" w:name="_Ref521320293"/>
      <w:bookmarkStart w:id="60" w:name="_Ref521320255"/>
      <w:bookmarkStart w:id="61" w:name="_Toc518655977"/>
      <w:bookmarkStart w:id="62" w:name="_Toc518466163"/>
      <w:bookmarkStart w:id="63" w:name="_Ref45607352"/>
      <w:bookmarkStart w:id="64" w:name="_Toc52192293"/>
      <w:r>
        <w:t>General Considerations</w:t>
      </w:r>
      <w:r w:rsidR="1FDCEA69">
        <w:t xml:space="preserve"> </w:t>
      </w:r>
      <w:bookmarkEnd w:id="58"/>
      <w:bookmarkEnd w:id="59"/>
      <w:bookmarkEnd w:id="60"/>
      <w:bookmarkEnd w:id="61"/>
      <w:bookmarkEnd w:id="62"/>
      <w:bookmarkEnd w:id="63"/>
      <w:bookmarkEnd w:id="64"/>
    </w:p>
    <w:p w14:paraId="1BC5FE8F" w14:textId="100F1017" w:rsidR="00B67DAB" w:rsidRDefault="00B67DAB" w:rsidP="00B67DAB">
      <w:pPr>
        <w:pStyle w:val="CPTInstructional"/>
        <w:rPr>
          <w:szCs w:val="22"/>
        </w:rPr>
      </w:pPr>
      <w:r>
        <w:t xml:space="preserve">This information should be </w:t>
      </w:r>
      <w:r w:rsidR="002F04E0">
        <w:t>taken</w:t>
      </w:r>
      <w:r>
        <w:t xml:space="preserve"> from the </w:t>
      </w:r>
      <w:r w:rsidR="002F04E0">
        <w:t xml:space="preserve">master </w:t>
      </w:r>
      <w:r>
        <w:t>protocol (Section 9.3.1). Additional general considerations may be added.</w:t>
      </w:r>
    </w:p>
    <w:p w14:paraId="15C381A7" w14:textId="77777777" w:rsidR="00B67DAB" w:rsidRDefault="00B67DAB" w:rsidP="00B67DAB">
      <w:pPr>
        <w:pStyle w:val="CPTInstructional"/>
      </w:pPr>
      <w:r>
        <w:t xml:space="preserve">This section should describe general methods and definitions that do not need to be repeated in the subsequent sections. For example, a general statement that all treatment group comparisons for all categorical analyses will be tested using Fisher’s exact test does not need to be repeated for each categorical analysis described in later subsections. The same would be true for analysis of variance information and the model used. If different definitions are required for specific analyses, these should be stated in the relevant section. Suggested topics to be included in this section, if appropriate for the study, are provided below. If subsections are used, this section can include the section heading only, with no text required. </w:t>
      </w:r>
    </w:p>
    <w:p w14:paraId="0851A502" w14:textId="51D89CD6" w:rsidR="00B67DAB" w:rsidRDefault="00B67DAB" w:rsidP="00D65B50">
      <w:pPr>
        <w:pStyle w:val="CPTInstructional"/>
        <w:numPr>
          <w:ilvl w:val="0"/>
          <w:numId w:val="36"/>
        </w:numPr>
      </w:pPr>
      <w:r>
        <w:t>Decision criteria, such as nominal significance levels, 1- or 2-sided tests, and confidence interval probabilities, if not already specified in Section</w:t>
      </w:r>
      <w:r w:rsidR="00504244">
        <w:t xml:space="preserve"> 2</w:t>
      </w:r>
    </w:p>
    <w:p w14:paraId="3F340030" w14:textId="77777777" w:rsidR="00B67DAB" w:rsidRDefault="00B67DAB" w:rsidP="00D65B50">
      <w:pPr>
        <w:pStyle w:val="CPTInstructional"/>
        <w:numPr>
          <w:ilvl w:val="0"/>
          <w:numId w:val="36"/>
        </w:numPr>
      </w:pPr>
      <w:r>
        <w:t>Common definitions of baseline</w:t>
      </w:r>
    </w:p>
    <w:p w14:paraId="48F80FB2" w14:textId="4731DBFB" w:rsidR="00B67DAB" w:rsidRDefault="00B67DAB" w:rsidP="00D65B50">
      <w:pPr>
        <w:pStyle w:val="CPTInstructional"/>
        <w:numPr>
          <w:ilvl w:val="0"/>
          <w:numId w:val="36"/>
        </w:numPr>
      </w:pPr>
      <w:r>
        <w:t>For randomized studies, describe stratification factors if applicable</w:t>
      </w:r>
      <w:r w:rsidR="00184EE3">
        <w:t xml:space="preserve"> and</w:t>
      </w:r>
      <w:r>
        <w:t xml:space="preserve"> if not specified in Section </w:t>
      </w:r>
      <w:r w:rsidR="00504244">
        <w:t>1.2</w:t>
      </w:r>
    </w:p>
    <w:p w14:paraId="6F7F0CD5" w14:textId="5F861C7B" w:rsidR="00B67DAB" w:rsidRDefault="00B67DAB" w:rsidP="00D65B50">
      <w:pPr>
        <w:pStyle w:val="CPTInstructional"/>
        <w:numPr>
          <w:ilvl w:val="0"/>
          <w:numId w:val="36"/>
        </w:numPr>
      </w:pPr>
      <w:r>
        <w:t>General methods, such as handling of wrong stratification, wrong intervention assignment, handling of values below lower limit of quantification, continuous variables will be summarized with min, max, mean, median, std, quantiles, etc</w:t>
      </w:r>
      <w:r w:rsidR="10F05E85">
        <w:t>.</w:t>
      </w:r>
    </w:p>
    <w:p w14:paraId="781C3A2A" w14:textId="77777777" w:rsidR="00B67DAB" w:rsidRDefault="00B67DAB" w:rsidP="00D65B50">
      <w:pPr>
        <w:pStyle w:val="CPTInstructional"/>
        <w:numPr>
          <w:ilvl w:val="0"/>
          <w:numId w:val="37"/>
        </w:numPr>
        <w:rPr>
          <w:rFonts w:eastAsia="Times New Roman" w:cs="Times New Roman"/>
        </w:rPr>
      </w:pPr>
      <w:r>
        <w:t>General choice of analysis sets for analyses</w:t>
      </w:r>
    </w:p>
    <w:p w14:paraId="6DF067F3" w14:textId="7F064A2A" w:rsidR="00B67DAB" w:rsidRDefault="00B67DAB" w:rsidP="00D65B50">
      <w:pPr>
        <w:pStyle w:val="CPTInstructional"/>
        <w:numPr>
          <w:ilvl w:val="0"/>
          <w:numId w:val="36"/>
        </w:numPr>
      </w:pPr>
      <w:r>
        <w:t>Pooling strategies for countries/regions, sites, etc</w:t>
      </w:r>
      <w:r w:rsidR="193BCC33">
        <w:t>.</w:t>
      </w:r>
    </w:p>
    <w:p w14:paraId="3AD0B782" w14:textId="2F582944" w:rsidR="00B67DAB" w:rsidRDefault="00B67DAB" w:rsidP="00D65B50">
      <w:pPr>
        <w:pStyle w:val="CPTInstructional"/>
        <w:numPr>
          <w:ilvl w:val="0"/>
          <w:numId w:val="36"/>
        </w:numPr>
        <w:rPr>
          <w:rFonts w:eastAsia="Times New Roman" w:cs="Times New Roman"/>
        </w:rPr>
      </w:pPr>
      <w:r>
        <w:t xml:space="preserve">Intervention grouping strategy, </w:t>
      </w:r>
      <w:r w:rsidR="5F6EF3CE">
        <w:t>e.g.</w:t>
      </w:r>
      <w:r>
        <w:t>, combining all active dose arms versus control</w:t>
      </w:r>
    </w:p>
    <w:p w14:paraId="1F230392" w14:textId="388AEAE1" w:rsidR="007E43DE" w:rsidRDefault="00B67DAB" w:rsidP="00D65B50">
      <w:pPr>
        <w:pStyle w:val="CPTInstructional"/>
        <w:numPr>
          <w:ilvl w:val="0"/>
          <w:numId w:val="36"/>
        </w:numPr>
      </w:pPr>
      <w:r>
        <w:t>Handling of missing baseline values, if this is planned to be handled in the same way across analyses</w:t>
      </w:r>
    </w:p>
    <w:p w14:paraId="0C192AF3" w14:textId="1D4CB868" w:rsidR="007E43DE" w:rsidRDefault="007E43DE" w:rsidP="00D65B50">
      <w:pPr>
        <w:pStyle w:val="CPTInstructional"/>
        <w:numPr>
          <w:ilvl w:val="0"/>
          <w:numId w:val="36"/>
        </w:numPr>
      </w:pPr>
      <w:r>
        <w:t>Definition of study periods if needed</w:t>
      </w:r>
    </w:p>
    <w:p w14:paraId="0A4D700B" w14:textId="6433E0DB" w:rsidR="007E43DE" w:rsidRDefault="00B67DAB" w:rsidP="00D65B50">
      <w:pPr>
        <w:pStyle w:val="CPTInstructional"/>
        <w:numPr>
          <w:ilvl w:val="0"/>
          <w:numId w:val="36"/>
        </w:numPr>
      </w:pPr>
      <w:r>
        <w:t>For studies with estimands, describe how intercurrent events will be summarized (number by intervention group and timing)</w:t>
      </w:r>
    </w:p>
    <w:p w14:paraId="57CFFCE2" w14:textId="35461284" w:rsidR="007E43DE" w:rsidRDefault="007E43DE" w:rsidP="00D65B50">
      <w:pPr>
        <w:pStyle w:val="CPTInstructional"/>
        <w:numPr>
          <w:ilvl w:val="0"/>
          <w:numId w:val="36"/>
        </w:numPr>
      </w:pPr>
      <w:r>
        <w:t>Definition of which study intervention contrasts will be provided</w:t>
      </w:r>
    </w:p>
    <w:p w14:paraId="6E0C25D9" w14:textId="4D6926C3" w:rsidR="00C17B4A" w:rsidRDefault="004E3850" w:rsidP="00D65B50">
      <w:pPr>
        <w:pStyle w:val="CPTInstructional"/>
        <w:numPr>
          <w:ilvl w:val="0"/>
          <w:numId w:val="36"/>
        </w:numPr>
      </w:pPr>
      <w:r>
        <w:t>Details of software used for the analyses</w:t>
      </w:r>
    </w:p>
    <w:p w14:paraId="6666E7F3" w14:textId="4B791993" w:rsidR="0069423D" w:rsidRPr="00523EE9" w:rsidRDefault="0069423D" w:rsidP="00D65B50">
      <w:pPr>
        <w:pStyle w:val="CPTInstructional"/>
        <w:numPr>
          <w:ilvl w:val="0"/>
          <w:numId w:val="36"/>
        </w:numPr>
      </w:pPr>
      <w:r>
        <w:t xml:space="preserve">Definition of how the control group will be defined across all of the interventions, any adaptations or sharing that will be broadly required should be outlined here. Intervention grouping strategy, </w:t>
      </w:r>
      <w:r w:rsidR="3F94B81E">
        <w:t>e.g.</w:t>
      </w:r>
      <w:r>
        <w:t>, combining all active dose arms versus control</w:t>
      </w:r>
    </w:p>
    <w:p w14:paraId="5600EF70" w14:textId="77777777" w:rsidR="0069423D" w:rsidRDefault="0069423D" w:rsidP="00150288">
      <w:pPr>
        <w:pStyle w:val="CPTInstructional"/>
      </w:pPr>
    </w:p>
    <w:p w14:paraId="16A7D730" w14:textId="77777777" w:rsidR="00BA1569" w:rsidRPr="00EE304D" w:rsidRDefault="00BA1569" w:rsidP="000D6206">
      <w:pPr>
        <w:pStyle w:val="CPTExample"/>
        <w:ind w:left="360"/>
      </w:pPr>
      <w:r w:rsidRPr="00EE304D">
        <w:t xml:space="preserve">&lt;Start of suggested </w:t>
      </w:r>
      <w:r>
        <w:t>text</w:t>
      </w:r>
      <w:r w:rsidRPr="00EE304D">
        <w:t>&gt;</w:t>
      </w:r>
    </w:p>
    <w:p w14:paraId="3FF710D9" w14:textId="1D4C48A1" w:rsidR="00BA1569" w:rsidRDefault="00BA1569" w:rsidP="00D65B50">
      <w:pPr>
        <w:pStyle w:val="ListParagraph"/>
        <w:numPr>
          <w:ilvl w:val="0"/>
          <w:numId w:val="36"/>
        </w:numPr>
      </w:pPr>
      <w:r w:rsidRPr="00BA440F">
        <w:rPr>
          <w:i/>
          <w:iCs/>
          <w:color w:val="00B050"/>
        </w:rPr>
        <w:t>The statistical analysis will be performed in alignment with the following standards and regulations:</w:t>
      </w:r>
      <w:r w:rsidRPr="00BA440F">
        <w:rPr>
          <w:color w:val="00B050"/>
        </w:rPr>
        <w:t xml:space="preserve"> </w:t>
      </w:r>
      <w:r>
        <w:t>[</w:t>
      </w:r>
      <w:r w:rsidRPr="00BA440F">
        <w:rPr>
          <w:rStyle w:val="CPTVariable"/>
          <w:i/>
          <w:iCs/>
        </w:rPr>
        <w:t>fill in as appropriate, for example ICH-E9 standards, the GDPR</w:t>
      </w:r>
      <w:r>
        <w:t xml:space="preserve">]. All </w:t>
      </w:r>
      <w:r w:rsidRPr="00BA440F">
        <w:rPr>
          <w:i/>
          <w:iCs/>
          <w:color w:val="00B050"/>
        </w:rPr>
        <w:lastRenderedPageBreak/>
        <w:t>available data</w:t>
      </w:r>
      <w:r w:rsidRPr="00BA440F">
        <w:rPr>
          <w:color w:val="00B050"/>
        </w:rPr>
        <w:t xml:space="preserve"> </w:t>
      </w:r>
      <w:r w:rsidR="008B4581">
        <w:t>[</w:t>
      </w:r>
      <w:r w:rsidR="00BA440F">
        <w:rPr>
          <w:rStyle w:val="CPTVariable"/>
          <w:iCs/>
        </w:rPr>
        <w:t>P</w:t>
      </w:r>
      <w:r w:rsidR="008B4581" w:rsidRPr="00BA440F">
        <w:rPr>
          <w:rStyle w:val="CPTVariable"/>
          <w:iCs/>
        </w:rPr>
        <w:t xml:space="preserve">latform </w:t>
      </w:r>
      <w:r w:rsidR="00BA440F">
        <w:rPr>
          <w:rStyle w:val="CPTVariable"/>
          <w:iCs/>
        </w:rPr>
        <w:t xml:space="preserve">study </w:t>
      </w:r>
      <w:r w:rsidR="008B4581" w:rsidRPr="00BA440F">
        <w:rPr>
          <w:rStyle w:val="CPTVariable"/>
          <w:iCs/>
        </w:rPr>
        <w:t>or ISA</w:t>
      </w:r>
      <w:r w:rsidR="008B4581">
        <w:t xml:space="preserve">] </w:t>
      </w:r>
      <w:r w:rsidRPr="00BA440F">
        <w:rPr>
          <w:i/>
          <w:iCs/>
          <w:color w:val="00B050"/>
        </w:rPr>
        <w:t>will be used in the analysis</w:t>
      </w:r>
      <w:r w:rsidRPr="00BA440F">
        <w:rPr>
          <w:color w:val="00B050"/>
        </w:rPr>
        <w:t xml:space="preserve"> </w:t>
      </w:r>
      <w:r>
        <w:t>[</w:t>
      </w:r>
      <w:r w:rsidRPr="008114E1">
        <w:rPr>
          <w:rStyle w:val="CPTVariable"/>
        </w:rPr>
        <w:t>otherwise, specify here the exceptions</w:t>
      </w:r>
      <w:r w:rsidR="007A67CB">
        <w:rPr>
          <w:rStyle w:val="CPTVariable"/>
        </w:rPr>
        <w:t>, e.g., if in an ISA SAP only concurrent control data will be used</w:t>
      </w:r>
      <w:r>
        <w:t xml:space="preserve">]. </w:t>
      </w:r>
      <w:r w:rsidRPr="00BA440F">
        <w:rPr>
          <w:i/>
          <w:iCs/>
          <w:color w:val="00B050"/>
        </w:rPr>
        <w:t xml:space="preserve">The following paragraphs describe the statistical analysis for the evaluation of the primary and secondary endpoints and other analysis that will be performed at the end of the study. Interim analysis are described in Section </w:t>
      </w:r>
      <w:r w:rsidR="006F7E60" w:rsidRPr="00BA440F">
        <w:rPr>
          <w:i/>
          <w:iCs/>
          <w:color w:val="00B050"/>
        </w:rPr>
        <w:t>4.7</w:t>
      </w:r>
      <w:r w:rsidRPr="00BA440F">
        <w:rPr>
          <w:i/>
          <w:iCs/>
          <w:color w:val="00B050"/>
        </w:rPr>
        <w:t>.</w:t>
      </w:r>
    </w:p>
    <w:p w14:paraId="044E2875" w14:textId="77777777" w:rsidR="00BA1569" w:rsidRPr="00BA440F" w:rsidRDefault="00BA1569" w:rsidP="00D65B50">
      <w:pPr>
        <w:pStyle w:val="ListParagraph"/>
        <w:numPr>
          <w:ilvl w:val="0"/>
          <w:numId w:val="36"/>
        </w:numPr>
        <w:rPr>
          <w:i/>
          <w:iCs/>
        </w:rPr>
      </w:pPr>
      <w:r w:rsidRPr="00BA440F">
        <w:rPr>
          <w:i/>
          <w:iCs/>
          <w:color w:val="00B050"/>
        </w:rPr>
        <w:t xml:space="preserve">Patient demographics and baseline characteristics will be summarized on the XXX set, overall and by randomized treatment group, by means of summary descriptive statistics.  </w:t>
      </w:r>
    </w:p>
    <w:p w14:paraId="4572B8E4" w14:textId="77777777" w:rsidR="00BA1569" w:rsidRPr="00BA440F" w:rsidRDefault="00BA1569" w:rsidP="00D65B50">
      <w:pPr>
        <w:pStyle w:val="ListParagraph"/>
        <w:numPr>
          <w:ilvl w:val="0"/>
          <w:numId w:val="36"/>
        </w:numPr>
        <w:rPr>
          <w:i/>
          <w:iCs/>
          <w:color w:val="00B050"/>
        </w:rPr>
      </w:pPr>
      <w:r w:rsidRPr="00BA440F">
        <w:rPr>
          <w:i/>
          <w:iCs/>
          <w:color w:val="00B050"/>
        </w:rPr>
        <w:t xml:space="preserve">For qualitative variables (e.g. sex), absolute (n= ) and relative frequencies will be calculated per treatment group. Data will be visualized by bar plots. For quantitative data (e.g. age), the number of valid observations (n = ), mean, standard deviation, standard error, median, interquartile range, minimum and maximum will be calculated for each randomized group. </w:t>
      </w:r>
    </w:p>
    <w:p w14:paraId="5D2BD8FF" w14:textId="77777777" w:rsidR="00BA1569" w:rsidRPr="00BA440F" w:rsidRDefault="00BA1569" w:rsidP="00D65B50">
      <w:pPr>
        <w:pStyle w:val="ListParagraph"/>
        <w:numPr>
          <w:ilvl w:val="0"/>
          <w:numId w:val="36"/>
        </w:numPr>
        <w:rPr>
          <w:i/>
          <w:iCs/>
          <w:color w:val="00B050"/>
        </w:rPr>
      </w:pPr>
      <w:r w:rsidRPr="00BA440F">
        <w:rPr>
          <w:i/>
          <w:iCs/>
          <w:color w:val="00B050"/>
        </w:rPr>
        <w:t>Data will be visualized by [write here the more relevant graphical representation with respect to the aim of the descriptive statistics (e.g. histogram or boxplot) and eventually described whether reference/normative values will be plotted].</w:t>
      </w:r>
    </w:p>
    <w:p w14:paraId="6E705988" w14:textId="5A011883" w:rsidR="00BA1569" w:rsidRDefault="00BA1569" w:rsidP="002F04E0">
      <w:pPr>
        <w:pStyle w:val="CPTExample"/>
        <w:ind w:left="360"/>
      </w:pPr>
      <w:r w:rsidRPr="00311D36">
        <w:t xml:space="preserve">&lt;End of suggested </w:t>
      </w:r>
      <w:r>
        <w:t>text</w:t>
      </w:r>
      <w:r w:rsidRPr="00311D36">
        <w:t>&gt;</w:t>
      </w:r>
    </w:p>
    <w:p w14:paraId="56C76AAD" w14:textId="02D6AF27" w:rsidR="00EA3E2B" w:rsidRDefault="00DD573D" w:rsidP="00EA3E2B">
      <w:pPr>
        <w:pStyle w:val="Heading2"/>
      </w:pPr>
      <w:bookmarkStart w:id="65" w:name="_Toc521400471"/>
      <w:bookmarkStart w:id="66" w:name="_Ref521320658"/>
      <w:bookmarkStart w:id="67" w:name="_Ref521320650"/>
      <w:bookmarkStart w:id="68" w:name="_Toc518655979"/>
      <w:bookmarkStart w:id="69" w:name="_Toc518466165"/>
      <w:bookmarkStart w:id="70" w:name="_Ref518462326"/>
      <w:bookmarkStart w:id="71" w:name="_Ref518462301"/>
      <w:bookmarkStart w:id="72" w:name="_Ref517707144"/>
      <w:bookmarkStart w:id="73" w:name="_Toc497118841"/>
      <w:bookmarkStart w:id="74" w:name="_Toc477961656"/>
      <w:bookmarkStart w:id="75" w:name="_Ref449945485"/>
      <w:bookmarkStart w:id="76" w:name="_Toc421709293"/>
      <w:bookmarkStart w:id="77" w:name="_Ref34740898"/>
      <w:bookmarkStart w:id="78" w:name="_Ref34741319"/>
      <w:bookmarkStart w:id="79" w:name="_Toc44422559"/>
      <w:bookmarkStart w:id="80" w:name="_Ref45607429"/>
      <w:bookmarkStart w:id="81" w:name="_Ref45607450"/>
      <w:bookmarkStart w:id="82" w:name="_Ref45607544"/>
      <w:bookmarkStart w:id="83" w:name="_Toc52192294"/>
      <w:r>
        <w:t xml:space="preserve">Primary </w:t>
      </w:r>
      <w:r w:rsidRPr="05CCDB72">
        <w:rPr>
          <w:rStyle w:val="CPTVariable"/>
        </w:rPr>
        <w:t>[Endpoint(s)/Estimand(s)]</w:t>
      </w:r>
      <w:r>
        <w:t xml:space="preserve"> Analysis</w:t>
      </w:r>
      <w:r w:rsidR="2CC3D8D7">
        <w:t xml:space="preserve"> </w:t>
      </w:r>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49DDEDDB" w14:textId="3B031EE1" w:rsidR="00DD573D" w:rsidRDefault="00D65B50" w:rsidP="00DD573D">
      <w:pPr>
        <w:pStyle w:val="CPTInstructional"/>
        <w:rPr>
          <w:lang w:eastAsia="ja-JP"/>
        </w:rPr>
      </w:pPr>
      <w:r>
        <w:t>This information should be copied directly from the protocol (Section 9.3.2). Additional details may be added.</w:t>
      </w:r>
    </w:p>
    <w:p w14:paraId="22E7B8E2" w14:textId="22BED16F" w:rsidR="00EA3E2B" w:rsidRPr="00256B0D" w:rsidRDefault="00EA3E2B" w:rsidP="00EA3E2B">
      <w:pPr>
        <w:pStyle w:val="Heading3"/>
      </w:pPr>
      <w:bookmarkStart w:id="84" w:name="_Toc521400472"/>
      <w:bookmarkStart w:id="85" w:name="_Toc518655980"/>
      <w:bookmarkStart w:id="86" w:name="_Toc518466166"/>
      <w:bookmarkStart w:id="87" w:name="_Ref518462376"/>
      <w:bookmarkStart w:id="88" w:name="_Ref45603851"/>
      <w:bookmarkStart w:id="89" w:name="_Toc52192295"/>
      <w:r>
        <w:t xml:space="preserve">Definition of </w:t>
      </w:r>
      <w:r w:rsidR="00412B9B">
        <w:t>E</w:t>
      </w:r>
      <w:r>
        <w:t>ndpoint(s)</w:t>
      </w:r>
      <w:r w:rsidR="07A972FB">
        <w:t xml:space="preserve"> </w:t>
      </w:r>
      <w:bookmarkEnd w:id="84"/>
      <w:bookmarkEnd w:id="85"/>
      <w:bookmarkEnd w:id="86"/>
      <w:bookmarkEnd w:id="87"/>
      <w:bookmarkEnd w:id="88"/>
      <w:bookmarkEnd w:id="89"/>
    </w:p>
    <w:p w14:paraId="7B4AA0EB" w14:textId="77777777" w:rsidR="00DD573D" w:rsidRDefault="00DD573D" w:rsidP="00D65B50">
      <w:pPr>
        <w:pStyle w:val="CPTInstructional"/>
        <w:numPr>
          <w:ilvl w:val="0"/>
          <w:numId w:val="37"/>
        </w:numPr>
      </w:pPr>
      <w:bookmarkStart w:id="90" w:name="_Ref518462394"/>
      <w:bookmarkStart w:id="91" w:name="_Toc518466167"/>
      <w:bookmarkStart w:id="92" w:name="_Toc518655981"/>
      <w:bookmarkStart w:id="93" w:name="_Toc521400473"/>
      <w:r>
        <w:t xml:space="preserve">State how the primary endpoint(s) will be defined/calculated/derived and used to address the primary objective. </w:t>
      </w:r>
    </w:p>
    <w:p w14:paraId="790C4151" w14:textId="61AFEC21" w:rsidR="00DD573D" w:rsidRDefault="00DD573D" w:rsidP="00D65B50">
      <w:pPr>
        <w:pStyle w:val="CPTInstructional"/>
        <w:numPr>
          <w:ilvl w:val="0"/>
          <w:numId w:val="37"/>
        </w:numPr>
      </w:pPr>
      <w:r>
        <w:t>Describe if the primary endpoint will be transformed, such as square-root and logarithm, before analysis. It is recommended to include the rationale/justification for transformation and the interpretation.</w:t>
      </w:r>
    </w:p>
    <w:p w14:paraId="3D2AF6BE" w14:textId="6ACC4054" w:rsidR="00EB3E12" w:rsidRPr="00523EE9" w:rsidRDefault="00EB3E12" w:rsidP="004652FB">
      <w:pPr>
        <w:pStyle w:val="CPTExample"/>
        <w:ind w:left="360"/>
      </w:pPr>
      <w:r w:rsidRPr="00523EE9">
        <w:t>&lt;Start of suggested text&gt;</w:t>
      </w:r>
    </w:p>
    <w:p w14:paraId="2927FAAF" w14:textId="7FD6E7DA" w:rsidR="00355C9A" w:rsidRPr="00523EE9" w:rsidRDefault="00355C9A" w:rsidP="00355C9A">
      <w:pPr>
        <w:pStyle w:val="CPTExample"/>
        <w:ind w:left="360"/>
      </w:pPr>
      <w:r>
        <w:t xml:space="preserve">The primary endpoint is the Repeatable Battery for the Assessment of Neuropsychological Status (RBANS)™ Total Scale Index Score. </w:t>
      </w:r>
    </w:p>
    <w:p w14:paraId="7DC8DEBE" w14:textId="77777777" w:rsidR="00355C9A" w:rsidRPr="00523EE9" w:rsidRDefault="00355C9A" w:rsidP="00355C9A">
      <w:pPr>
        <w:pStyle w:val="CPTExample"/>
        <w:ind w:left="360"/>
      </w:pPr>
      <w:r w:rsidRPr="00523EE9">
        <w:t xml:space="preserve">The RBANS™ Total Scale Index Score is comprised of the total mean score of the following 5 indexes themselves comprised of 12 subtests: </w:t>
      </w:r>
    </w:p>
    <w:p w14:paraId="1E1610B1" w14:textId="77777777" w:rsidR="00355C9A" w:rsidRPr="00523EE9" w:rsidRDefault="00355C9A" w:rsidP="00355C9A">
      <w:pPr>
        <w:pStyle w:val="CPTExample"/>
        <w:ind w:left="360"/>
      </w:pPr>
      <w:r w:rsidRPr="00523EE9">
        <w:t xml:space="preserve">1. Immediate Memory – List Learning and Story Memory </w:t>
      </w:r>
    </w:p>
    <w:p w14:paraId="4F8B1EE8" w14:textId="77777777" w:rsidR="00355C9A" w:rsidRPr="00523EE9" w:rsidRDefault="00355C9A" w:rsidP="00355C9A">
      <w:pPr>
        <w:pStyle w:val="CPTExample"/>
        <w:ind w:left="360"/>
      </w:pPr>
      <w:r w:rsidRPr="00523EE9">
        <w:t xml:space="preserve">2. Visuospatial/Constructional – Figure Copy and Line Orientation </w:t>
      </w:r>
    </w:p>
    <w:p w14:paraId="272D847F" w14:textId="77777777" w:rsidR="00355C9A" w:rsidRPr="00523EE9" w:rsidRDefault="00355C9A" w:rsidP="00355C9A">
      <w:pPr>
        <w:pStyle w:val="CPTExample"/>
        <w:ind w:left="360"/>
      </w:pPr>
      <w:r w:rsidRPr="00523EE9">
        <w:t xml:space="preserve">3. Language – Picture naming and Semantic Fluency </w:t>
      </w:r>
    </w:p>
    <w:p w14:paraId="1840CA4A" w14:textId="77777777" w:rsidR="00355C9A" w:rsidRPr="00523EE9" w:rsidRDefault="00355C9A" w:rsidP="00355C9A">
      <w:pPr>
        <w:pStyle w:val="CPTExample"/>
        <w:ind w:left="360"/>
      </w:pPr>
      <w:r w:rsidRPr="00523EE9">
        <w:t xml:space="preserve">4. Attention – Digit Span and Coding </w:t>
      </w:r>
    </w:p>
    <w:p w14:paraId="089D3DAC" w14:textId="77777777" w:rsidR="00355C9A" w:rsidRPr="00523EE9" w:rsidRDefault="00355C9A" w:rsidP="00355C9A">
      <w:pPr>
        <w:pStyle w:val="CPTExample"/>
        <w:ind w:left="360"/>
      </w:pPr>
      <w:r w:rsidRPr="00523EE9">
        <w:t xml:space="preserve">5. Delayed Memory – List Recall, List Recognition, Story Memory, and Figure Recall </w:t>
      </w:r>
    </w:p>
    <w:p w14:paraId="38CCCFC0" w14:textId="6594C57E" w:rsidR="00355C9A" w:rsidRPr="00BA440F" w:rsidRDefault="00355C9A" w:rsidP="004652FB">
      <w:pPr>
        <w:rPr>
          <w:i/>
          <w:iCs/>
          <w:color w:val="00B050"/>
        </w:rPr>
      </w:pPr>
      <w:r w:rsidRPr="00BA440F">
        <w:rPr>
          <w:i/>
          <w:iCs/>
          <w:color w:val="00B050"/>
        </w:rPr>
        <w:t>The rate of decline during the treatment period of the intervention will be compared to placebo using the proportional disease progression model.</w:t>
      </w:r>
    </w:p>
    <w:p w14:paraId="1769511C" w14:textId="7C0639B7" w:rsidR="00355C9A" w:rsidRPr="00355C9A" w:rsidRDefault="00355C9A" w:rsidP="004652FB">
      <w:pPr>
        <w:rPr>
          <w:highlight w:val="yellow"/>
        </w:rPr>
      </w:pPr>
      <w:r w:rsidRPr="00BA440F">
        <w:rPr>
          <w:i/>
          <w:iCs/>
          <w:color w:val="00B050"/>
          <w:sz w:val="22"/>
        </w:rPr>
        <w:lastRenderedPageBreak/>
        <w:t xml:space="preserve">If the intervention owner requires an additional endpoint </w:t>
      </w:r>
      <w:r w:rsidR="00D65B50" w:rsidRPr="00BA440F">
        <w:rPr>
          <w:i/>
          <w:iCs/>
          <w:color w:val="00B050"/>
          <w:sz w:val="22"/>
        </w:rPr>
        <w:t>for</w:t>
      </w:r>
      <w:r w:rsidRPr="00BA440F">
        <w:rPr>
          <w:i/>
          <w:iCs/>
          <w:color w:val="00B050"/>
          <w:sz w:val="22"/>
        </w:rPr>
        <w:t xml:space="preserve"> decision making for an intervention, it will be specified in the Intervention Specific Appendix. This will not change the primary endpoint required in the </w:t>
      </w:r>
      <w:r w:rsidR="005E0D6A">
        <w:rPr>
          <w:i/>
          <w:iCs/>
          <w:color w:val="00B050"/>
          <w:sz w:val="22"/>
        </w:rPr>
        <w:t>Master Protocol</w:t>
      </w:r>
      <w:r w:rsidR="005E0D6A" w:rsidRPr="00BA440F">
        <w:rPr>
          <w:i/>
          <w:iCs/>
          <w:color w:val="00B050"/>
          <w:sz w:val="22"/>
        </w:rPr>
        <w:t xml:space="preserve"> </w:t>
      </w:r>
      <w:r w:rsidRPr="00BA440F">
        <w:rPr>
          <w:i/>
          <w:iCs/>
          <w:color w:val="00B050"/>
          <w:sz w:val="22"/>
        </w:rPr>
        <w:t>and the Master SAP.</w:t>
      </w:r>
    </w:p>
    <w:p w14:paraId="6CCB5DCE" w14:textId="6FEEC2D5" w:rsidR="00EB3E12" w:rsidRPr="00311D36" w:rsidRDefault="00EB3E12" w:rsidP="004652FB">
      <w:pPr>
        <w:pStyle w:val="CPTExample"/>
        <w:ind w:left="720"/>
      </w:pPr>
      <w:r w:rsidRPr="00311D36">
        <w:t xml:space="preserve">&lt;End of suggested </w:t>
      </w:r>
      <w:r>
        <w:t>text</w:t>
      </w:r>
      <w:r w:rsidRPr="00311D36">
        <w:t>&gt;</w:t>
      </w:r>
    </w:p>
    <w:p w14:paraId="44AF2F06" w14:textId="18765EBD" w:rsidR="00EA3E2B" w:rsidRDefault="00EA3E2B" w:rsidP="00EA3E2B">
      <w:pPr>
        <w:pStyle w:val="Heading3"/>
      </w:pPr>
      <w:bookmarkStart w:id="94" w:name="_Toc52192296"/>
      <w:r>
        <w:t xml:space="preserve">Main </w:t>
      </w:r>
      <w:r w:rsidR="00412B9B">
        <w:t>A</w:t>
      </w:r>
      <w:r>
        <w:t xml:space="preserve">nalytical </w:t>
      </w:r>
      <w:r w:rsidR="00412B9B">
        <w:t>A</w:t>
      </w:r>
      <w:r>
        <w:t>pproach</w:t>
      </w:r>
      <w:r w:rsidR="3410BE13">
        <w:t xml:space="preserve"> </w:t>
      </w:r>
      <w:bookmarkEnd w:id="90"/>
      <w:bookmarkEnd w:id="91"/>
      <w:bookmarkEnd w:id="92"/>
      <w:bookmarkEnd w:id="93"/>
      <w:bookmarkEnd w:id="94"/>
    </w:p>
    <w:p w14:paraId="29A47A20" w14:textId="13BF2F5F" w:rsidR="00DD573D" w:rsidRDefault="00DD573D" w:rsidP="00D65B50">
      <w:pPr>
        <w:pStyle w:val="CPTInstructional"/>
        <w:numPr>
          <w:ilvl w:val="0"/>
          <w:numId w:val="37"/>
        </w:numPr>
      </w:pPr>
      <w:bookmarkStart w:id="95" w:name="_Ref518462410"/>
      <w:bookmarkStart w:id="96" w:name="_Toc518466168"/>
      <w:bookmarkStart w:id="97" w:name="_Toc518655982"/>
      <w:bookmarkStart w:id="98" w:name="_Toc521400474"/>
      <w:r>
        <w:t xml:space="preserve">Refer to estimand(s) in Section </w:t>
      </w:r>
      <w:r w:rsidR="00504244">
        <w:t>1.1</w:t>
      </w:r>
      <w:r>
        <w:t xml:space="preserve"> and ICH E9 (R1), if applicable. In case of more than one primary estimand due to different requirements across different regulatory agencies, describe the analysis of the primary endpoint for all primary estimands and indicate which estimands are required by which authorities if this is not clear from Section</w:t>
      </w:r>
      <w:r w:rsidR="00504244">
        <w:t xml:space="preserve"> 1.1</w:t>
      </w:r>
      <w:r>
        <w:t>. If no estimands are defined, please describe how important anticipated protocol deviations will be handled.</w:t>
      </w:r>
    </w:p>
    <w:p w14:paraId="2BC94A94" w14:textId="6DAD5DC9" w:rsidR="004E3850" w:rsidRDefault="00D65B50" w:rsidP="00D65B50">
      <w:pPr>
        <w:pStyle w:val="CPTInstructional"/>
        <w:numPr>
          <w:ilvl w:val="0"/>
          <w:numId w:val="37"/>
        </w:numPr>
      </w:pPr>
      <w:r>
        <w:t>In sequential and/or adaptive designs, describe analysis methodology relevant to the sequential and/or adaptive design (e.g. corrected p-values, confidence limits, critical values, combination weights in combination tests).</w:t>
      </w:r>
    </w:p>
    <w:p w14:paraId="25EDEF13" w14:textId="77777777" w:rsidR="00DD573D" w:rsidRDefault="00DD573D" w:rsidP="00D65B50">
      <w:pPr>
        <w:pStyle w:val="CPTInstructional"/>
        <w:numPr>
          <w:ilvl w:val="0"/>
          <w:numId w:val="37"/>
        </w:numPr>
      </w:pPr>
      <w:r>
        <w:t>Refer to the analysis set to be used in the main analytical approach(es).</w:t>
      </w:r>
    </w:p>
    <w:p w14:paraId="33F97063" w14:textId="2B755363" w:rsidR="00DD573D" w:rsidRDefault="00DD573D" w:rsidP="00D65B50">
      <w:pPr>
        <w:pStyle w:val="CPTInstructional"/>
        <w:numPr>
          <w:ilvl w:val="0"/>
          <w:numId w:val="37"/>
        </w:numPr>
      </w:pPr>
      <w:r>
        <w:t>Refer to the Statistical Hypotheses section (</w:t>
      </w:r>
      <w:r w:rsidR="00483CC3">
        <w:t xml:space="preserve">Section </w:t>
      </w:r>
      <w:r w:rsidR="00504244">
        <w:t>2</w:t>
      </w:r>
      <w:r w:rsidR="00483CC3">
        <w:t xml:space="preserve"> </w:t>
      </w:r>
      <w:r>
        <w:t>of this template) regarding the hypothesis to be tested, if applicable.</w:t>
      </w:r>
    </w:p>
    <w:p w14:paraId="0359608F" w14:textId="73E06052" w:rsidR="00DD573D" w:rsidRDefault="00DD573D" w:rsidP="00D65B50">
      <w:pPr>
        <w:pStyle w:val="CPTInstructional"/>
        <w:numPr>
          <w:ilvl w:val="0"/>
          <w:numId w:val="37"/>
        </w:numPr>
      </w:pPr>
      <w:r>
        <w:t xml:space="preserve">Describe the main analytical approach(es) </w:t>
      </w:r>
      <w:r w:rsidR="007E43DE">
        <w:t>(</w:t>
      </w:r>
      <w:r>
        <w:t xml:space="preserve">aligned to the primary estimand[s], if applicable). Describe how missing data will be handled. If imputation methods differ across different intercurrent events, describe how. In case of multiple imputation, state imputation model, number of datasets, </w:t>
      </w:r>
      <w:r w:rsidR="00D65B50">
        <w:t>and seed</w:t>
      </w:r>
      <w:r>
        <w:t>. Specify how datasets will be combined.</w:t>
      </w:r>
    </w:p>
    <w:p w14:paraId="22C9976D" w14:textId="130994E0" w:rsidR="00A57262" w:rsidRPr="00A57262" w:rsidRDefault="00A57262" w:rsidP="002F04E0">
      <w:pPr>
        <w:pStyle w:val="ListParagraph"/>
        <w:numPr>
          <w:ilvl w:val="0"/>
          <w:numId w:val="37"/>
        </w:numPr>
      </w:pPr>
      <w:r w:rsidRPr="00A57262">
        <w:rPr>
          <w:rFonts w:eastAsia="Calibri" w:cs="Arial"/>
          <w:vanish/>
          <w:color w:val="FF0000"/>
          <w:sz w:val="22"/>
          <w:szCs w:val="20"/>
        </w:rPr>
        <w:t xml:space="preserve">Describe whether </w:t>
      </w:r>
      <w:r>
        <w:rPr>
          <w:rFonts w:eastAsia="Calibri" w:cs="Arial"/>
          <w:vanish/>
          <w:color w:val="FF0000"/>
          <w:sz w:val="22"/>
          <w:szCs w:val="20"/>
        </w:rPr>
        <w:t xml:space="preserve">the analysis of the primary </w:t>
      </w:r>
      <w:r w:rsidRPr="00A57262">
        <w:rPr>
          <w:rFonts w:eastAsia="Calibri" w:cs="Arial"/>
          <w:vanish/>
          <w:color w:val="FF0000"/>
          <w:sz w:val="22"/>
          <w:szCs w:val="20"/>
        </w:rPr>
        <w:t>endpoints will require longitudinal analysis and, in case, which are the parameters that should be estimated (e.g. slope, time point differences; plateau of eventual non-linear trend)</w:t>
      </w:r>
      <w:r>
        <w:rPr>
          <w:rFonts w:eastAsia="Calibri" w:cs="Arial"/>
          <w:vanish/>
          <w:color w:val="FF0000"/>
          <w:sz w:val="22"/>
          <w:szCs w:val="20"/>
        </w:rPr>
        <w:t xml:space="preserve"> based on which model (e.g., specifying the variance-covariance matrix in a mixed model for repeated measurements</w:t>
      </w:r>
      <w:r w:rsidRPr="00A57262">
        <w:rPr>
          <w:rFonts w:eastAsia="Calibri" w:cs="Arial"/>
          <w:vanish/>
          <w:color w:val="FF0000"/>
          <w:sz w:val="22"/>
          <w:szCs w:val="20"/>
        </w:rPr>
        <w:t>)</w:t>
      </w:r>
    </w:p>
    <w:p w14:paraId="16D9F238" w14:textId="2F31C119" w:rsidR="00DD573D" w:rsidRDefault="00DD573D" w:rsidP="00D65B50">
      <w:pPr>
        <w:pStyle w:val="CPTInstructional"/>
        <w:numPr>
          <w:ilvl w:val="0"/>
          <w:numId w:val="37"/>
        </w:numPr>
      </w:pPr>
      <w:r>
        <w:t xml:space="preserve">Describe (if applicable) </w:t>
      </w:r>
      <w:r w:rsidR="003D6AB4">
        <w:t xml:space="preserve">prognostic </w:t>
      </w:r>
      <w:r>
        <w:t>factors, covariates, stratification factors, etc, to be included in the analysis model.</w:t>
      </w:r>
    </w:p>
    <w:p w14:paraId="422DFE86" w14:textId="24765D92" w:rsidR="00DD573D" w:rsidRDefault="00DD573D" w:rsidP="00D65B50">
      <w:pPr>
        <w:pStyle w:val="CPTInstructional"/>
        <w:numPr>
          <w:ilvl w:val="0"/>
          <w:numId w:val="37"/>
        </w:numPr>
      </w:pPr>
      <w:r>
        <w:t>Describe underlying assumption</w:t>
      </w:r>
      <w:r w:rsidR="007E43DE">
        <w:t>(s)</w:t>
      </w:r>
      <w:r>
        <w:t xml:space="preserve"> of the main analytical approach(es) including assumptions on the missing data mechanism. </w:t>
      </w:r>
    </w:p>
    <w:p w14:paraId="798A2CA6" w14:textId="1625F6A4" w:rsidR="00DD573D" w:rsidRDefault="00DD573D" w:rsidP="00D65B50">
      <w:pPr>
        <w:pStyle w:val="CPTInstructional"/>
        <w:numPr>
          <w:ilvl w:val="0"/>
          <w:numId w:val="37"/>
        </w:numPr>
      </w:pPr>
      <w:r>
        <w:t xml:space="preserve">In case of more than 2 study intervention groups, define which study intervention contrasts will be provided, if not fully described in the General Considerations section (Section </w:t>
      </w:r>
      <w:r w:rsidR="00504244">
        <w:t>4.1</w:t>
      </w:r>
      <w:r>
        <w:t xml:space="preserve"> of this template).</w:t>
      </w:r>
    </w:p>
    <w:p w14:paraId="44DFD191" w14:textId="66522244" w:rsidR="00DD573D" w:rsidRDefault="00DD573D" w:rsidP="00D65B50">
      <w:pPr>
        <w:pStyle w:val="CPTInstructional"/>
        <w:numPr>
          <w:ilvl w:val="0"/>
          <w:numId w:val="37"/>
        </w:numPr>
      </w:pPr>
      <w:r>
        <w:t>Describe how analysis results will be presented, such as estimated study intervention difference</w:t>
      </w:r>
      <w:r w:rsidR="003D6AB4">
        <w:t xml:space="preserve"> or a more general effect size</w:t>
      </w:r>
      <w:r>
        <w:t>, xx% confidence intervals, p-values, forest plots, etc.</w:t>
      </w:r>
    </w:p>
    <w:p w14:paraId="59778BDB" w14:textId="39BD6A30" w:rsidR="00DD573D" w:rsidRDefault="00DD573D" w:rsidP="00D65B50">
      <w:pPr>
        <w:pStyle w:val="CPTInstructional"/>
        <w:numPr>
          <w:ilvl w:val="0"/>
          <w:numId w:val="37"/>
        </w:numPr>
      </w:pPr>
      <w:r>
        <w:t>Recommended to describe how the endpoint(s) will be summarized descriptively including how missing data patterns will be presented.</w:t>
      </w:r>
    </w:p>
    <w:p w14:paraId="329F9286" w14:textId="5AA28DD2" w:rsidR="003D6AB4" w:rsidRPr="004652FB" w:rsidRDefault="003D6AB4" w:rsidP="00D65B50">
      <w:pPr>
        <w:pStyle w:val="ListParagraph"/>
        <w:numPr>
          <w:ilvl w:val="0"/>
          <w:numId w:val="37"/>
        </w:numPr>
        <w:rPr>
          <w:rFonts w:eastAsia="Calibri" w:cs="Arial"/>
          <w:vanish/>
          <w:color w:val="FF0000"/>
          <w:sz w:val="22"/>
          <w:szCs w:val="20"/>
        </w:rPr>
      </w:pPr>
      <w:r w:rsidRPr="004652FB">
        <w:rPr>
          <w:rFonts w:eastAsia="Calibri" w:cs="Arial"/>
          <w:vanish/>
          <w:color w:val="FF0000"/>
          <w:sz w:val="22"/>
          <w:szCs w:val="20"/>
        </w:rPr>
        <w:t>In case of transformation of the endpoint(s), describe whether the back transformation of the results will be also presented</w:t>
      </w:r>
    </w:p>
    <w:p w14:paraId="5A3D24C7" w14:textId="77777777" w:rsidR="00DD573D" w:rsidRDefault="00DD573D" w:rsidP="00D65B50">
      <w:pPr>
        <w:pStyle w:val="CPTInstructional"/>
        <w:numPr>
          <w:ilvl w:val="0"/>
          <w:numId w:val="37"/>
        </w:numPr>
      </w:pPr>
      <w:r>
        <w:t>Describe diagnostics, if relevant.</w:t>
      </w:r>
    </w:p>
    <w:p w14:paraId="0E31D4B2" w14:textId="62D86C8F" w:rsidR="00EA3E2B" w:rsidRDefault="009A4CDF" w:rsidP="00EA3E2B">
      <w:pPr>
        <w:pStyle w:val="Heading3"/>
        <w:rPr>
          <w:color w:val="000000" w:themeColor="text1"/>
        </w:rPr>
      </w:pPr>
      <w:bookmarkStart w:id="99" w:name="_Toc44422564"/>
      <w:bookmarkStart w:id="100" w:name="_Ref34741151"/>
      <w:bookmarkStart w:id="101" w:name="_Toc52192297"/>
      <w:r>
        <w:lastRenderedPageBreak/>
        <w:t xml:space="preserve">Sensitivity </w:t>
      </w:r>
      <w:r w:rsidRPr="05CCDB72">
        <w:rPr>
          <w:rStyle w:val="CPTVariable"/>
        </w:rPr>
        <w:t>[Analysis/</w:t>
      </w:r>
      <w:r w:rsidR="00D4016E" w:rsidRPr="00D4016E">
        <w:rPr>
          <w:rStyle w:val="CPTVariable"/>
        </w:rPr>
        <w:t xml:space="preserve"> </w:t>
      </w:r>
      <w:r w:rsidR="00D4016E" w:rsidRPr="05CCDB72">
        <w:rPr>
          <w:rStyle w:val="CPTVariable"/>
        </w:rPr>
        <w:t>Analyses</w:t>
      </w:r>
      <w:r w:rsidRPr="05CCDB72">
        <w:rPr>
          <w:rStyle w:val="CPTVariable"/>
        </w:rPr>
        <w:t>]</w:t>
      </w:r>
      <w:r w:rsidR="2610A2DC" w:rsidRPr="05CCDB72">
        <w:rPr>
          <w:rStyle w:val="CPTVariable"/>
        </w:rPr>
        <w:t xml:space="preserve"> </w:t>
      </w:r>
      <w:bookmarkEnd w:id="95"/>
      <w:bookmarkEnd w:id="96"/>
      <w:bookmarkEnd w:id="97"/>
      <w:bookmarkEnd w:id="98"/>
      <w:bookmarkEnd w:id="99"/>
      <w:bookmarkEnd w:id="100"/>
      <w:bookmarkEnd w:id="101"/>
    </w:p>
    <w:p w14:paraId="54575C0A" w14:textId="6F0E9689" w:rsidR="009A4CDF" w:rsidRDefault="009A4CDF" w:rsidP="00D65B50">
      <w:pPr>
        <w:pStyle w:val="CPTInstructional"/>
        <w:numPr>
          <w:ilvl w:val="0"/>
          <w:numId w:val="37"/>
        </w:numPr>
      </w:pPr>
      <w:bookmarkStart w:id="102" w:name="_Ref518462418"/>
      <w:bookmarkStart w:id="103" w:name="_Toc518466169"/>
      <w:bookmarkStart w:id="104" w:name="_Toc518655983"/>
      <w:bookmarkStart w:id="105" w:name="_Toc521400475"/>
      <w:r>
        <w:t>Describe the planned sensitivity analyses and how the sensitivity analyses will target the assumptions behind the main analytical approach(es). Pay special attention to assumptions regarding the missing data mechanism.</w:t>
      </w:r>
      <w:r w:rsidR="5888451C">
        <w:t xml:space="preserve"> A sensitivity analysis targets the same estimand / endpoint as the main analysis, but under different assumptions, e.g. regarding </w:t>
      </w:r>
      <w:r w:rsidR="6F1597F0">
        <w:t>the behavior of patients in whom an observation of the primary endpoint is missing or with respect to covariate which have an impact on the primary endpoint.</w:t>
      </w:r>
    </w:p>
    <w:p w14:paraId="2D27C842" w14:textId="236A98ED" w:rsidR="027888D7" w:rsidRDefault="027888D7" w:rsidP="00D65B50">
      <w:pPr>
        <w:pStyle w:val="CPTInstructional"/>
        <w:numPr>
          <w:ilvl w:val="0"/>
          <w:numId w:val="37"/>
        </w:numPr>
      </w:pPr>
      <w:r w:rsidRPr="30052C81">
        <w:rPr>
          <w:szCs w:val="22"/>
        </w:rPr>
        <w:t xml:space="preserve">State the estimand which is targeted and specify in what way </w:t>
      </w:r>
      <w:r w:rsidR="30620BB0" w:rsidRPr="30052C81">
        <w:rPr>
          <w:szCs w:val="22"/>
        </w:rPr>
        <w:t>the sensitivity analysis assumptions will deviate from the main analysis assumptions, For example, you may state: “</w:t>
      </w:r>
      <w:r w:rsidR="6C50BB44" w:rsidRPr="30052C81">
        <w:rPr>
          <w:szCs w:val="22"/>
        </w:rPr>
        <w:t>T</w:t>
      </w:r>
      <w:r w:rsidR="30620BB0" w:rsidRPr="30052C81">
        <w:rPr>
          <w:szCs w:val="22"/>
        </w:rPr>
        <w:t xml:space="preserve">he main analysis </w:t>
      </w:r>
      <w:r w:rsidR="5CDB91F9" w:rsidRPr="30052C81">
        <w:rPr>
          <w:szCs w:val="22"/>
        </w:rPr>
        <w:t>followed</w:t>
      </w:r>
      <w:r w:rsidR="11EDB222" w:rsidRPr="30052C81">
        <w:rPr>
          <w:szCs w:val="22"/>
        </w:rPr>
        <w:t xml:space="preserve"> </w:t>
      </w:r>
      <w:r w:rsidR="00894F1D">
        <w:rPr>
          <w:szCs w:val="22"/>
        </w:rPr>
        <w:t>participant</w:t>
      </w:r>
      <w:r w:rsidR="11EDB222" w:rsidRPr="30052C81">
        <w:rPr>
          <w:szCs w:val="22"/>
        </w:rPr>
        <w:t>s who discontinue</w:t>
      </w:r>
      <w:r w:rsidR="7775CF66" w:rsidRPr="30052C81">
        <w:rPr>
          <w:szCs w:val="22"/>
        </w:rPr>
        <w:t>d</w:t>
      </w:r>
      <w:r w:rsidR="11EDB222" w:rsidRPr="30052C81">
        <w:rPr>
          <w:szCs w:val="22"/>
        </w:rPr>
        <w:t xml:space="preserve"> treatment </w:t>
      </w:r>
      <w:r w:rsidR="1B7E5B73" w:rsidRPr="30052C81">
        <w:rPr>
          <w:szCs w:val="22"/>
        </w:rPr>
        <w:t>and use the observed 12-week-response irrespective of whether a discontinuation of the randomized treatment occurred prior to this tim</w:t>
      </w:r>
      <w:r w:rsidR="63B0F107" w:rsidRPr="30052C81">
        <w:rPr>
          <w:szCs w:val="22"/>
        </w:rPr>
        <w:t>epoint or not</w:t>
      </w:r>
      <w:r w:rsidR="01B0A5B6" w:rsidRPr="30052C81">
        <w:rPr>
          <w:szCs w:val="22"/>
        </w:rPr>
        <w:t xml:space="preserve">, This sensitivity analysis is a tipping point analysis which uses multiple imputation and a range </w:t>
      </w:r>
      <w:r w:rsidR="1EACA5D0" w:rsidRPr="30052C81">
        <w:rPr>
          <w:szCs w:val="22"/>
        </w:rPr>
        <w:t>of effect-modifying factors delta</w:t>
      </w:r>
      <w:r w:rsidR="6333EF43" w:rsidRPr="30052C81">
        <w:rPr>
          <w:szCs w:val="22"/>
        </w:rPr>
        <w:t xml:space="preserve"> to impute the 12-week response of pa</w:t>
      </w:r>
      <w:r w:rsidR="00894F1D">
        <w:rPr>
          <w:szCs w:val="22"/>
        </w:rPr>
        <w:t>rticipant</w:t>
      </w:r>
      <w:r w:rsidR="6333EF43" w:rsidRPr="30052C81">
        <w:rPr>
          <w:szCs w:val="22"/>
        </w:rPr>
        <w:t>s who discontinued randomized treatment prior to 12 weeks.</w:t>
      </w:r>
    </w:p>
    <w:p w14:paraId="36500F73" w14:textId="13C02520" w:rsidR="7E834A8A" w:rsidRDefault="7E834A8A" w:rsidP="00D65B50">
      <w:pPr>
        <w:pStyle w:val="CPTInstructional"/>
        <w:numPr>
          <w:ilvl w:val="0"/>
          <w:numId w:val="37"/>
        </w:numPr>
      </w:pPr>
      <w:r w:rsidRPr="30052C81">
        <w:rPr>
          <w:szCs w:val="22"/>
        </w:rPr>
        <w:t xml:space="preserve">If intercurrent events have been defined in the protocol, state how the sensitivity analysis </w:t>
      </w:r>
      <w:r w:rsidR="5434BF00" w:rsidRPr="30052C81">
        <w:rPr>
          <w:szCs w:val="22"/>
        </w:rPr>
        <w:t xml:space="preserve">will modify the handling of these intercurrent events </w:t>
      </w:r>
      <w:r w:rsidR="2B6B997E" w:rsidRPr="30052C81">
        <w:rPr>
          <w:szCs w:val="22"/>
        </w:rPr>
        <w:t>relative to the main analysis. For example, you may modify the handling of missing data caused</w:t>
      </w:r>
      <w:r w:rsidR="7C3BDD97" w:rsidRPr="30052C81">
        <w:rPr>
          <w:szCs w:val="22"/>
        </w:rPr>
        <w:t xml:space="preserve"> by an intercurrent event from </w:t>
      </w:r>
      <w:r w:rsidR="0783A458" w:rsidRPr="30052C81">
        <w:rPr>
          <w:szCs w:val="22"/>
        </w:rPr>
        <w:t>an</w:t>
      </w:r>
      <w:r w:rsidR="7C3BDD97" w:rsidRPr="30052C81">
        <w:rPr>
          <w:szCs w:val="22"/>
        </w:rPr>
        <w:t xml:space="preserve"> assumption of “missing at random” to assump</w:t>
      </w:r>
      <w:r w:rsidR="11936CAF" w:rsidRPr="30052C81">
        <w:rPr>
          <w:szCs w:val="22"/>
        </w:rPr>
        <w:t xml:space="preserve">tion </w:t>
      </w:r>
      <w:r w:rsidR="731F1196" w:rsidRPr="30052C81">
        <w:rPr>
          <w:szCs w:val="22"/>
        </w:rPr>
        <w:t>of “jump to reference” in the test treatment arm.</w:t>
      </w:r>
    </w:p>
    <w:p w14:paraId="2B4B841C" w14:textId="3A48D245" w:rsidR="2B152CF6" w:rsidRDefault="2B152CF6" w:rsidP="00D65B50">
      <w:pPr>
        <w:pStyle w:val="CPTInstructional"/>
        <w:numPr>
          <w:ilvl w:val="0"/>
          <w:numId w:val="37"/>
        </w:numPr>
      </w:pPr>
      <w:r w:rsidRPr="30052C81">
        <w:rPr>
          <w:szCs w:val="22"/>
        </w:rPr>
        <w:t>If an alternative model is used to analyse the primary endpoint, de</w:t>
      </w:r>
      <w:r w:rsidR="60B7C122" w:rsidRPr="30052C81">
        <w:rPr>
          <w:szCs w:val="22"/>
        </w:rPr>
        <w:t>s</w:t>
      </w:r>
      <w:r w:rsidRPr="30052C81">
        <w:rPr>
          <w:szCs w:val="22"/>
        </w:rPr>
        <w:t>cribe how it is related to the main analysis. For example</w:t>
      </w:r>
      <w:r w:rsidR="3A06241F" w:rsidRPr="30052C81">
        <w:rPr>
          <w:szCs w:val="22"/>
        </w:rPr>
        <w:t>: “The primary analysis compared the response to treatment in the two arms by a stratified CMH test strat</w:t>
      </w:r>
      <w:r w:rsidR="40DB832D" w:rsidRPr="30052C81">
        <w:rPr>
          <w:szCs w:val="22"/>
        </w:rPr>
        <w:t>ified by smoking status. This sensitivity analysis uses a logistic regression model including treatment, smoking status, disease severity score, g</w:t>
      </w:r>
      <w:r w:rsidR="19DCC8DA" w:rsidRPr="30052C81">
        <w:rPr>
          <w:szCs w:val="22"/>
        </w:rPr>
        <w:t xml:space="preserve">ender and age group as covariates </w:t>
      </w:r>
      <w:r w:rsidR="00894F1D">
        <w:rPr>
          <w:szCs w:val="22"/>
        </w:rPr>
        <w:t>t</w:t>
      </w:r>
      <w:r w:rsidR="19DCC8DA" w:rsidRPr="30052C81">
        <w:rPr>
          <w:szCs w:val="22"/>
        </w:rPr>
        <w:t>o analyze the response.”</w:t>
      </w:r>
    </w:p>
    <w:p w14:paraId="0A67829F" w14:textId="72DAA541" w:rsidR="041B8427" w:rsidRDefault="041B8427" w:rsidP="00D65B50">
      <w:pPr>
        <w:pStyle w:val="CPTInstructional"/>
        <w:numPr>
          <w:ilvl w:val="0"/>
          <w:numId w:val="37"/>
        </w:numPr>
      </w:pPr>
      <w:r w:rsidRPr="30052C81">
        <w:rPr>
          <w:szCs w:val="22"/>
        </w:rPr>
        <w:t xml:space="preserve">Describe </w:t>
      </w:r>
      <w:r w:rsidR="5724FC19" w:rsidRPr="30052C81">
        <w:rPr>
          <w:szCs w:val="22"/>
        </w:rPr>
        <w:t xml:space="preserve">how you plan to compare the results of </w:t>
      </w:r>
      <w:r w:rsidRPr="30052C81">
        <w:rPr>
          <w:szCs w:val="22"/>
        </w:rPr>
        <w:t xml:space="preserve">the sensitivity analysis </w:t>
      </w:r>
      <w:r w:rsidR="514297D7" w:rsidRPr="30052C81">
        <w:rPr>
          <w:szCs w:val="22"/>
        </w:rPr>
        <w:t xml:space="preserve">with results from the main analysis, e.g. under what outcomes you would label the </w:t>
      </w:r>
      <w:r w:rsidR="5DFA5B27" w:rsidRPr="30052C81">
        <w:rPr>
          <w:szCs w:val="22"/>
        </w:rPr>
        <w:t>results from the analysi</w:t>
      </w:r>
      <w:r w:rsidR="3D09F859" w:rsidRPr="30052C81">
        <w:rPr>
          <w:szCs w:val="22"/>
        </w:rPr>
        <w:t>s</w:t>
      </w:r>
      <w:r w:rsidR="5DFA5B27" w:rsidRPr="30052C81">
        <w:rPr>
          <w:szCs w:val="22"/>
        </w:rPr>
        <w:t xml:space="preserve"> as “robust” and when you would label them as “sensitive to assumptions”.</w:t>
      </w:r>
    </w:p>
    <w:p w14:paraId="6AD92F88" w14:textId="664531B2" w:rsidR="00EA3E2B" w:rsidRDefault="00EA3E2B" w:rsidP="00EA3E2B">
      <w:pPr>
        <w:pStyle w:val="Heading3"/>
      </w:pPr>
      <w:bookmarkStart w:id="106" w:name="_Ref45603887"/>
      <w:bookmarkStart w:id="107" w:name="_Toc52192298"/>
      <w:r>
        <w:t xml:space="preserve">Supplementary </w:t>
      </w:r>
      <w:r w:rsidR="000024F8">
        <w:t>A</w:t>
      </w:r>
      <w:r>
        <w:t>nalyses</w:t>
      </w:r>
      <w:r w:rsidR="19DC0241">
        <w:t xml:space="preserve"> </w:t>
      </w:r>
      <w:bookmarkEnd w:id="102"/>
      <w:bookmarkEnd w:id="103"/>
      <w:bookmarkEnd w:id="104"/>
      <w:bookmarkEnd w:id="105"/>
      <w:bookmarkEnd w:id="106"/>
      <w:bookmarkEnd w:id="107"/>
    </w:p>
    <w:p w14:paraId="0DBFF36F" w14:textId="6826923F" w:rsidR="009A4CDF" w:rsidRDefault="00044E01" w:rsidP="00D65B50">
      <w:pPr>
        <w:pStyle w:val="CPTInstructional"/>
        <w:numPr>
          <w:ilvl w:val="0"/>
          <w:numId w:val="20"/>
        </w:numPr>
      </w:pPr>
      <w:r>
        <w:t xml:space="preserve">Describe any supplementary analyses. </w:t>
      </w:r>
      <w:r w:rsidR="2232BE88">
        <w:t>A supplementary analysis</w:t>
      </w:r>
      <w:r w:rsidR="2E2C7D04">
        <w:t xml:space="preserve"> of the primary estimand / primary endpoint</w:t>
      </w:r>
      <w:r w:rsidR="2232BE88">
        <w:t xml:space="preserve"> </w:t>
      </w:r>
      <w:r w:rsidR="68A71D06">
        <w:t xml:space="preserve">is an additional analysis of the primary </w:t>
      </w:r>
      <w:r w:rsidR="22524B08">
        <w:t>en</w:t>
      </w:r>
      <w:r w:rsidR="2DE51D66">
        <w:t>d</w:t>
      </w:r>
      <w:r w:rsidR="22524B08">
        <w:t>point that does not qualify as a sensitivity analysis. For example, it may be an analysis of a post-randomizat</w:t>
      </w:r>
      <w:r w:rsidR="43840A91">
        <w:t>ion subpopulation</w:t>
      </w:r>
      <w:r w:rsidR="0228EFC3">
        <w:t>s</w:t>
      </w:r>
      <w:r w:rsidR="43840A91">
        <w:t xml:space="preserve"> such as the per-protocol-set or patients who achieved a certain biomarker value during the course of the trial.</w:t>
      </w:r>
      <w:r w:rsidR="009A4CDF">
        <w:t xml:space="preserve">Estimands to be estimated, but not defined in Section 3 of the protocol or in Section </w:t>
      </w:r>
      <w:r w:rsidR="00504244">
        <w:t>1.1</w:t>
      </w:r>
      <w:r w:rsidR="009A4CDF">
        <w:t xml:space="preserve"> of the SAP, should be defined in this section.</w:t>
      </w:r>
    </w:p>
    <w:p w14:paraId="17EAA472" w14:textId="687A27DC" w:rsidR="009A4CDF" w:rsidRDefault="009A4CDF" w:rsidP="00D65B50">
      <w:pPr>
        <w:pStyle w:val="CPTInstructional"/>
        <w:numPr>
          <w:ilvl w:val="0"/>
          <w:numId w:val="20"/>
        </w:numPr>
      </w:pPr>
      <w:r>
        <w:t xml:space="preserve">If not defined in Section </w:t>
      </w:r>
      <w:r w:rsidR="00504244">
        <w:t>3</w:t>
      </w:r>
      <w:r>
        <w:t xml:space="preserve"> of the SAP, describe which participants and data points are included in the analysis set(s) to be used to estimate each of the estimand(s) related to supplementary analyses.</w:t>
      </w:r>
      <w:r w:rsidR="34E24F92">
        <w:t xml:space="preserve"> </w:t>
      </w:r>
    </w:p>
    <w:p w14:paraId="15ADDD39" w14:textId="77777777" w:rsidR="00D4016E" w:rsidRDefault="00D4016E" w:rsidP="00D4016E">
      <w:pPr>
        <w:pStyle w:val="CPTInstructional"/>
        <w:numPr>
          <w:ilvl w:val="0"/>
          <w:numId w:val="20"/>
        </w:numPr>
      </w:pPr>
      <w:bookmarkStart w:id="108" w:name="_Toc518466172"/>
      <w:bookmarkStart w:id="109" w:name="_Toc518655984"/>
      <w:bookmarkStart w:id="110" w:name="_Ref521320677"/>
      <w:bookmarkStart w:id="111" w:name="_Ref521320684"/>
      <w:bookmarkStart w:id="112" w:name="_Ref521320734"/>
      <w:bookmarkStart w:id="113" w:name="_Toc521400476"/>
      <w:bookmarkStart w:id="114" w:name="_Ref34741348"/>
      <w:bookmarkStart w:id="115" w:name="_Toc44422566"/>
      <w:bookmarkStart w:id="116" w:name="_Toc52192299"/>
      <w:r>
        <w:t>If the SAP is updated during study conduct and new intercurrent events that are not part of the predefined estimand(s) have emerged during study conduct, it should be addressed here. If the new intercurrent events result in a change of primary estimand, a protocol amendment should be considered.</w:t>
      </w:r>
    </w:p>
    <w:p w14:paraId="74386ECB" w14:textId="1D933066" w:rsidR="00EA3E2B" w:rsidRDefault="00463FDE" w:rsidP="00EA3E2B">
      <w:pPr>
        <w:pStyle w:val="Heading2"/>
      </w:pPr>
      <w:r>
        <w:lastRenderedPageBreak/>
        <w:t xml:space="preserve">Secondary </w:t>
      </w:r>
      <w:r w:rsidRPr="004A6A9C">
        <w:rPr>
          <w:rStyle w:val="CPTVariable"/>
        </w:rPr>
        <w:t>[Endpoint(s)/Estimand(s)]</w:t>
      </w:r>
      <w:r>
        <w:t xml:space="preserve"> Analysis</w:t>
      </w:r>
      <w:bookmarkEnd w:id="108"/>
      <w:bookmarkEnd w:id="109"/>
      <w:bookmarkEnd w:id="110"/>
      <w:bookmarkEnd w:id="111"/>
      <w:bookmarkEnd w:id="112"/>
      <w:bookmarkEnd w:id="113"/>
      <w:bookmarkEnd w:id="114"/>
      <w:bookmarkEnd w:id="115"/>
      <w:bookmarkEnd w:id="116"/>
      <w:r w:rsidR="00393FC3">
        <w:t xml:space="preserve"> </w:t>
      </w:r>
    </w:p>
    <w:p w14:paraId="329940DD" w14:textId="749BFCB6" w:rsidR="00D4016E" w:rsidRDefault="00D4016E" w:rsidP="00D4016E">
      <w:pPr>
        <w:pStyle w:val="CPTInstructional"/>
      </w:pPr>
      <w:bookmarkStart w:id="117" w:name="_Toc521400477"/>
      <w:bookmarkStart w:id="118" w:name="_Toc518655985"/>
      <w:bookmarkStart w:id="119" w:name="_Toc518466173"/>
      <w:bookmarkStart w:id="120" w:name="_Toc44422567"/>
      <w:bookmarkStart w:id="121" w:name="_Toc52192300"/>
      <w:r>
        <w:t xml:space="preserve">This information should be </w:t>
      </w:r>
      <w:r w:rsidR="005534EE">
        <w:t>taken</w:t>
      </w:r>
      <w:r>
        <w:t xml:space="preserve"> from the </w:t>
      </w:r>
      <w:r w:rsidR="005534EE">
        <w:t xml:space="preserve">master </w:t>
      </w:r>
      <w:r>
        <w:t>protocol (Section 9.3.3). Additional details may be added.</w:t>
      </w:r>
    </w:p>
    <w:p w14:paraId="0C81324F" w14:textId="423EAE94" w:rsidR="00EA3E2B" w:rsidRPr="002C0646" w:rsidRDefault="00463FDE" w:rsidP="00EA3E2B">
      <w:pPr>
        <w:pStyle w:val="Heading3"/>
        <w:keepLines/>
        <w:tabs>
          <w:tab w:val="clear" w:pos="1080"/>
          <w:tab w:val="num" w:pos="902"/>
        </w:tabs>
        <w:spacing w:before="216" w:line="374" w:lineRule="exact"/>
        <w:ind w:left="902" w:hanging="902"/>
      </w:pPr>
      <w:r>
        <w:rPr>
          <w:rStyle w:val="CPTVariable"/>
        </w:rPr>
        <w:t>[Key/Confirmatory]</w:t>
      </w:r>
      <w:r>
        <w:t xml:space="preserve"> Secondary </w:t>
      </w:r>
      <w:r w:rsidRPr="004A6A9C">
        <w:rPr>
          <w:rStyle w:val="CPTVariable"/>
        </w:rPr>
        <w:t>[Endpoint(s)</w:t>
      </w:r>
      <w:bookmarkEnd w:id="117"/>
      <w:bookmarkEnd w:id="118"/>
      <w:bookmarkEnd w:id="119"/>
      <w:r w:rsidRPr="004A6A9C">
        <w:rPr>
          <w:rStyle w:val="CPTVariable"/>
        </w:rPr>
        <w:t>/Estimand(s)]</w:t>
      </w:r>
      <w:bookmarkEnd w:id="120"/>
      <w:bookmarkEnd w:id="121"/>
    </w:p>
    <w:p w14:paraId="3D6187C9" w14:textId="7F61BA38" w:rsidR="007E43DE" w:rsidRDefault="007E43DE" w:rsidP="007E43DE">
      <w:pPr>
        <w:pStyle w:val="CPTInstructional"/>
      </w:pPr>
      <w:r>
        <w:t>Key/confirmatory secondary endpoint(s)/estimand(s) (eg, for which a label claim is pursued) are part of the confirmatory hypotheses where the type 1 error is controlled (via multiplicity adjustment). It is recommended to describe the analysis of such endpoints to the same level of detail as the primary endpoint(s)/estimand(s) being described in, Section </w:t>
      </w:r>
      <w:r w:rsidR="00504244">
        <w:t>4.2</w:t>
      </w:r>
      <w:r>
        <w:t xml:space="preserve">. If the same methodology/analytical approach is taken for these endpoints, it will be sufficient to add a crossreference to Section </w:t>
      </w:r>
      <w:r w:rsidR="00ED393F">
        <w:t>4.2</w:t>
      </w:r>
      <w:r>
        <w:t xml:space="preserve"> to avoid redundancy.</w:t>
      </w:r>
    </w:p>
    <w:p w14:paraId="1B9CD3F3" w14:textId="11BB7DF0" w:rsidR="00EA3E2B" w:rsidRDefault="00EA3E2B" w:rsidP="00EA3E2B">
      <w:pPr>
        <w:pStyle w:val="Heading4"/>
      </w:pPr>
      <w:r>
        <w:t xml:space="preserve">Definition of </w:t>
      </w:r>
      <w:r w:rsidR="000024F8">
        <w:t>E</w:t>
      </w:r>
      <w:r>
        <w:t>ndpoint(s)</w:t>
      </w:r>
    </w:p>
    <w:p w14:paraId="42678CDC" w14:textId="1149A222" w:rsidR="7B8FB708" w:rsidRPr="00150288" w:rsidRDefault="7B8FB708" w:rsidP="005534EE">
      <w:pPr>
        <w:pStyle w:val="CPTListBullet"/>
        <w:rPr>
          <w:color w:val="FF0000"/>
          <w:sz w:val="22"/>
          <w:szCs w:val="20"/>
        </w:rPr>
      </w:pPr>
      <w:r w:rsidRPr="00150288">
        <w:rPr>
          <w:color w:val="FF0000"/>
          <w:sz w:val="22"/>
          <w:szCs w:val="20"/>
        </w:rPr>
        <w:t>State how the secondary endpoint(s) will be defined/calculated/derived and used to address the primary objective. In particular</w:t>
      </w:r>
      <w:r w:rsidR="6CCD684D" w:rsidRPr="00150288">
        <w:rPr>
          <w:color w:val="FF0000"/>
          <w:sz w:val="22"/>
          <w:szCs w:val="20"/>
        </w:rPr>
        <w:t xml:space="preserve"> it</w:t>
      </w:r>
      <w:r w:rsidRPr="00150288">
        <w:rPr>
          <w:color w:val="FF0000"/>
          <w:sz w:val="22"/>
          <w:szCs w:val="20"/>
        </w:rPr>
        <w:t xml:space="preserve"> is suggested to specify whether a secondary endpoint is binary, categorical (with proportional categories or not) or continuous. </w:t>
      </w:r>
    </w:p>
    <w:p w14:paraId="6BC46324" w14:textId="6F9D264E" w:rsidR="7B8FB708" w:rsidRPr="00150288" w:rsidRDefault="7B8FB708" w:rsidP="005534EE">
      <w:pPr>
        <w:pStyle w:val="CPTListBullet"/>
        <w:rPr>
          <w:color w:val="FF0000"/>
          <w:sz w:val="22"/>
          <w:szCs w:val="20"/>
        </w:rPr>
      </w:pPr>
      <w:r w:rsidRPr="00150288">
        <w:rPr>
          <w:color w:val="FF0000"/>
          <w:sz w:val="22"/>
          <w:szCs w:val="20"/>
        </w:rPr>
        <w:t>Describe if the secondary endpoint will be transformed, such as square-root and logarithm, before analysis. It is recommended to include the rationale/justification for transformation and the interpretation.</w:t>
      </w:r>
    </w:p>
    <w:p w14:paraId="2B379AC4" w14:textId="38F981F0" w:rsidR="00EA3E2B" w:rsidRDefault="00D4016E" w:rsidP="00D4016E">
      <w:pPr>
        <w:pStyle w:val="Heading4"/>
      </w:pPr>
      <w:r>
        <w:t>Main Analytical Approach</w:t>
      </w:r>
    </w:p>
    <w:p w14:paraId="68B82808" w14:textId="135CB0BE" w:rsidR="1B1C038F" w:rsidRPr="00150288" w:rsidRDefault="1B1C038F" w:rsidP="005534EE">
      <w:pPr>
        <w:pStyle w:val="CPTListBullet"/>
        <w:rPr>
          <w:color w:val="FF0000"/>
          <w:sz w:val="22"/>
          <w:szCs w:val="20"/>
        </w:rPr>
      </w:pPr>
      <w:r w:rsidRPr="00150288">
        <w:rPr>
          <w:color w:val="FF0000"/>
          <w:sz w:val="22"/>
          <w:szCs w:val="20"/>
        </w:rPr>
        <w:t xml:space="preserve">Refer to estimand(s) in Section 1.1 and ICH E9 (R1), if applicable. In case of more than one secondary estimands due to different requirements across different regulatory agencies, describe the analysis of the secondary endpoints for all secondary estimands and indicate which estimands are required by which authorities if this is not clear from Section 1.1. If no estimands are defined, please describe how important anticipated protocol </w:t>
      </w:r>
      <w:r w:rsidR="00CC76AF" w:rsidRPr="00150288">
        <w:rPr>
          <w:color w:val="FF0000"/>
          <w:sz w:val="22"/>
          <w:szCs w:val="20"/>
        </w:rPr>
        <w:t>deviations</w:t>
      </w:r>
      <w:r w:rsidRPr="00150288">
        <w:rPr>
          <w:color w:val="FF0000"/>
          <w:sz w:val="22"/>
          <w:szCs w:val="20"/>
        </w:rPr>
        <w:t xml:space="preserve"> will be handled.</w:t>
      </w:r>
    </w:p>
    <w:p w14:paraId="69E924BA" w14:textId="5F9FF72D" w:rsidR="1B1C038F" w:rsidRPr="00150288" w:rsidRDefault="1B1C038F" w:rsidP="005534EE">
      <w:pPr>
        <w:pStyle w:val="CPTListBullet"/>
        <w:rPr>
          <w:color w:val="FF0000"/>
          <w:sz w:val="22"/>
          <w:szCs w:val="20"/>
        </w:rPr>
      </w:pPr>
      <w:r w:rsidRPr="00150288">
        <w:rPr>
          <w:color w:val="FF0000"/>
          <w:sz w:val="22"/>
          <w:szCs w:val="20"/>
        </w:rPr>
        <w:t>In sequential and/or adaptive designs, describe analysis methodology relevant to the sequential and/or adaptive design (e.g. corrected p-values, confidence limits, critical values, combination weights in combination tests).</w:t>
      </w:r>
      <w:r w:rsidR="00A57262" w:rsidRPr="00150288">
        <w:rPr>
          <w:color w:val="FF0000"/>
          <w:sz w:val="22"/>
          <w:szCs w:val="20"/>
        </w:rPr>
        <w:t xml:space="preserve"> This is mostly relevant for confirmatory secondary endpoints.</w:t>
      </w:r>
    </w:p>
    <w:p w14:paraId="64D18ABE" w14:textId="6E721739" w:rsidR="1B1C038F" w:rsidRPr="00150288" w:rsidRDefault="1B1C038F" w:rsidP="005534EE">
      <w:pPr>
        <w:pStyle w:val="CPTListBullet"/>
        <w:rPr>
          <w:color w:val="FF0000"/>
          <w:sz w:val="22"/>
          <w:szCs w:val="20"/>
        </w:rPr>
      </w:pPr>
      <w:r w:rsidRPr="00150288">
        <w:rPr>
          <w:color w:val="FF0000"/>
          <w:sz w:val="22"/>
          <w:szCs w:val="20"/>
        </w:rPr>
        <w:t>Refer to the analysis set to be used in the main analytical approach(es).</w:t>
      </w:r>
    </w:p>
    <w:p w14:paraId="1821E25C" w14:textId="57A84409" w:rsidR="1B1C038F" w:rsidRPr="00150288" w:rsidRDefault="1B1C038F" w:rsidP="005534EE">
      <w:pPr>
        <w:pStyle w:val="CPTListBullet"/>
        <w:rPr>
          <w:color w:val="FF0000"/>
          <w:sz w:val="22"/>
          <w:szCs w:val="20"/>
        </w:rPr>
      </w:pPr>
      <w:r w:rsidRPr="00150288">
        <w:rPr>
          <w:color w:val="FF0000"/>
          <w:sz w:val="22"/>
          <w:szCs w:val="20"/>
        </w:rPr>
        <w:t>Refer to the Statistical Hypotheses section (Section 2 of this template) regarding the hypothesis to be tested, if applicable.</w:t>
      </w:r>
    </w:p>
    <w:p w14:paraId="57E7087B" w14:textId="08B9ADD1" w:rsidR="1B1C038F" w:rsidRPr="00150288" w:rsidRDefault="1B1C038F" w:rsidP="005534EE">
      <w:pPr>
        <w:pStyle w:val="CPTListBullet"/>
        <w:rPr>
          <w:color w:val="FF0000"/>
          <w:sz w:val="22"/>
          <w:szCs w:val="20"/>
        </w:rPr>
      </w:pPr>
      <w:r w:rsidRPr="00150288">
        <w:rPr>
          <w:color w:val="FF0000"/>
          <w:sz w:val="22"/>
          <w:szCs w:val="20"/>
        </w:rPr>
        <w:t>Describe the main analytical approach(es) (aligned to the secondary estimand[s], if applicable). Describe how missing data will be handled. If imputation methods differ across different intercurrent events, describe how. In case of multiple imputation, state imputation model, number of datasets, and seed. Specify how datasets will be combined.</w:t>
      </w:r>
    </w:p>
    <w:p w14:paraId="76524A92" w14:textId="3D25A292" w:rsidR="1B1C038F" w:rsidRPr="00150288" w:rsidRDefault="1B1C038F" w:rsidP="005534EE">
      <w:pPr>
        <w:pStyle w:val="CPTListBullet"/>
        <w:rPr>
          <w:color w:val="FF0000"/>
          <w:sz w:val="22"/>
          <w:szCs w:val="20"/>
        </w:rPr>
      </w:pPr>
      <w:r w:rsidRPr="00150288">
        <w:rPr>
          <w:color w:val="FF0000"/>
          <w:sz w:val="22"/>
          <w:szCs w:val="20"/>
        </w:rPr>
        <w:t>Describe whether secondary endpoints will require longitudinal analysis and, in case, which are the parameters that should be estimated (e.g. slope, time point differences; plateau of eventual non-linear trend)</w:t>
      </w:r>
    </w:p>
    <w:p w14:paraId="1E1B6130" w14:textId="77777777" w:rsidR="003A1014" w:rsidRPr="00150288" w:rsidRDefault="1B1C038F" w:rsidP="005534EE">
      <w:pPr>
        <w:pStyle w:val="CPTListBullet"/>
        <w:rPr>
          <w:color w:val="FF0000"/>
          <w:sz w:val="22"/>
          <w:szCs w:val="20"/>
        </w:rPr>
      </w:pPr>
      <w:r w:rsidRPr="00150288">
        <w:rPr>
          <w:color w:val="FF0000"/>
          <w:sz w:val="22"/>
          <w:szCs w:val="20"/>
        </w:rPr>
        <w:t xml:space="preserve">Describe (if applicable) prognostic factors, covariates, stratification factors, etc, to be included in the analysis model. </w:t>
      </w:r>
    </w:p>
    <w:p w14:paraId="6531BB85" w14:textId="714CFE59" w:rsidR="1B1C038F" w:rsidRPr="00150288" w:rsidRDefault="003A1014" w:rsidP="005534EE">
      <w:pPr>
        <w:pStyle w:val="CPTListBullet"/>
        <w:rPr>
          <w:color w:val="FF0000"/>
          <w:sz w:val="22"/>
          <w:szCs w:val="20"/>
        </w:rPr>
      </w:pPr>
      <w:r w:rsidRPr="00150288">
        <w:rPr>
          <w:color w:val="FF0000"/>
          <w:sz w:val="22"/>
          <w:szCs w:val="20"/>
        </w:rPr>
        <w:t xml:space="preserve">Describe any factors that will be used to evaluate the heterogeneity of the population for which the endpoint(s) are being evaluated and if any adjustments will be made. </w:t>
      </w:r>
    </w:p>
    <w:p w14:paraId="744572E6" w14:textId="0A82EA28" w:rsidR="003A1014" w:rsidRPr="00150288" w:rsidRDefault="1B1C038F" w:rsidP="005534EE">
      <w:pPr>
        <w:pStyle w:val="CPTListBullet"/>
        <w:rPr>
          <w:color w:val="FF0000"/>
          <w:sz w:val="22"/>
          <w:szCs w:val="20"/>
        </w:rPr>
      </w:pPr>
      <w:r w:rsidRPr="00150288">
        <w:rPr>
          <w:color w:val="FF0000"/>
          <w:sz w:val="22"/>
          <w:szCs w:val="20"/>
        </w:rPr>
        <w:lastRenderedPageBreak/>
        <w:t xml:space="preserve">Describe underlying assumption(s) of the main analytical approach(es) including assumptions on </w:t>
      </w:r>
      <w:r w:rsidR="003A1014" w:rsidRPr="00150288">
        <w:rPr>
          <w:color w:val="FF0000"/>
          <w:sz w:val="22"/>
          <w:szCs w:val="20"/>
        </w:rPr>
        <w:t>intercurrent events/missing data</w:t>
      </w:r>
      <w:r w:rsidRPr="00150288">
        <w:rPr>
          <w:color w:val="FF0000"/>
          <w:sz w:val="22"/>
          <w:szCs w:val="20"/>
        </w:rPr>
        <w:t xml:space="preserve">  </w:t>
      </w:r>
    </w:p>
    <w:p w14:paraId="15B79903" w14:textId="67175595" w:rsidR="1B1C038F" w:rsidRPr="00150288" w:rsidRDefault="1B1C038F" w:rsidP="005534EE">
      <w:pPr>
        <w:pStyle w:val="CPTListBullet"/>
        <w:rPr>
          <w:color w:val="FF0000"/>
          <w:sz w:val="22"/>
          <w:szCs w:val="20"/>
        </w:rPr>
      </w:pPr>
      <w:r w:rsidRPr="00150288">
        <w:rPr>
          <w:color w:val="FF0000"/>
          <w:sz w:val="22"/>
          <w:szCs w:val="20"/>
        </w:rPr>
        <w:t xml:space="preserve">In case of </w:t>
      </w:r>
      <w:r w:rsidR="6EB24385" w:rsidRPr="00150288">
        <w:rPr>
          <w:color w:val="FF0000"/>
          <w:sz w:val="22"/>
          <w:szCs w:val="20"/>
        </w:rPr>
        <w:t>time-to-event</w:t>
      </w:r>
      <w:r w:rsidRPr="00150288">
        <w:rPr>
          <w:color w:val="FF0000"/>
          <w:sz w:val="22"/>
          <w:szCs w:val="20"/>
        </w:rPr>
        <w:t xml:space="preserve"> data</w:t>
      </w:r>
      <w:r w:rsidR="21520951" w:rsidRPr="00150288">
        <w:rPr>
          <w:color w:val="FF0000"/>
          <w:sz w:val="22"/>
          <w:szCs w:val="20"/>
        </w:rPr>
        <w:t>, specify the nature of censoring events (</w:t>
      </w:r>
      <w:r w:rsidR="005C33D8" w:rsidRPr="00150288">
        <w:rPr>
          <w:color w:val="FF0000"/>
          <w:sz w:val="22"/>
          <w:szCs w:val="20"/>
        </w:rPr>
        <w:t>e</w:t>
      </w:r>
      <w:r w:rsidRPr="00150288">
        <w:rPr>
          <w:color w:val="FF0000"/>
          <w:sz w:val="22"/>
          <w:szCs w:val="20"/>
        </w:rPr>
        <w:t xml:space="preserve">.g. informative and </w:t>
      </w:r>
      <w:r w:rsidR="4249EB43" w:rsidRPr="00150288">
        <w:rPr>
          <w:color w:val="FF0000"/>
          <w:sz w:val="22"/>
          <w:szCs w:val="20"/>
        </w:rPr>
        <w:t>non-informative</w:t>
      </w:r>
      <w:r w:rsidRPr="00150288">
        <w:rPr>
          <w:color w:val="FF0000"/>
          <w:sz w:val="22"/>
          <w:szCs w:val="20"/>
        </w:rPr>
        <w:t xml:space="preserve"> censoring)</w:t>
      </w:r>
    </w:p>
    <w:p w14:paraId="62E305FF" w14:textId="726260AB" w:rsidR="1B1C038F" w:rsidRPr="00150288" w:rsidRDefault="1B1C038F" w:rsidP="005534EE">
      <w:pPr>
        <w:pStyle w:val="CPTListBullet"/>
        <w:rPr>
          <w:color w:val="FF0000"/>
          <w:sz w:val="22"/>
          <w:szCs w:val="20"/>
        </w:rPr>
      </w:pPr>
      <w:r w:rsidRPr="00150288">
        <w:rPr>
          <w:color w:val="FF0000"/>
          <w:sz w:val="22"/>
          <w:szCs w:val="20"/>
        </w:rPr>
        <w:t>In case of more than 2 study intervention groups, define which study intervention contrasts will be provided, if not fully described in the General Considerations section (Section 4.1 of this template).</w:t>
      </w:r>
    </w:p>
    <w:p w14:paraId="43C6C1A0" w14:textId="46C28F72" w:rsidR="1B1C038F" w:rsidRPr="00150288" w:rsidRDefault="00376554" w:rsidP="005534EE">
      <w:pPr>
        <w:pStyle w:val="CPTListBullet"/>
        <w:rPr>
          <w:color w:val="FF0000"/>
          <w:sz w:val="22"/>
          <w:szCs w:val="20"/>
        </w:rPr>
      </w:pPr>
      <w:r w:rsidRPr="00150288">
        <w:rPr>
          <w:color w:val="FF0000"/>
          <w:sz w:val="22"/>
          <w:szCs w:val="20"/>
        </w:rPr>
        <w:t>Recommended to describe how the endpoint(s) will be summarized descriptively including how missing data patterns will be presented.</w:t>
      </w:r>
      <w:r w:rsidR="00731117" w:rsidRPr="00150288">
        <w:rPr>
          <w:color w:val="FF0000"/>
          <w:sz w:val="22"/>
          <w:szCs w:val="20"/>
        </w:rPr>
        <w:t xml:space="preserve"> </w:t>
      </w:r>
      <w:r w:rsidR="1B1C038F" w:rsidRPr="00150288">
        <w:rPr>
          <w:color w:val="FF0000"/>
          <w:sz w:val="22"/>
          <w:szCs w:val="20"/>
        </w:rPr>
        <w:t xml:space="preserve">Describe how analysis results will be presented, such as estimated study intervention difference or more general effect size, xx% confidence intervals, p-values, forest plots, etc. To set hypothesis testing </w:t>
      </w:r>
      <w:r w:rsidR="2A2AFA12" w:rsidRPr="00150288">
        <w:rPr>
          <w:color w:val="FF0000"/>
          <w:sz w:val="22"/>
          <w:szCs w:val="20"/>
        </w:rPr>
        <w:t>for</w:t>
      </w:r>
      <w:r w:rsidR="1B1C038F" w:rsidRPr="00150288">
        <w:rPr>
          <w:color w:val="FF0000"/>
          <w:sz w:val="22"/>
          <w:szCs w:val="20"/>
        </w:rPr>
        <w:t xml:space="preserve"> evaluat</w:t>
      </w:r>
      <w:r w:rsidR="4DAC6337" w:rsidRPr="00150288">
        <w:rPr>
          <w:color w:val="FF0000"/>
          <w:sz w:val="22"/>
          <w:szCs w:val="20"/>
        </w:rPr>
        <w:t>ing</w:t>
      </w:r>
      <w:r w:rsidR="1B1C038F" w:rsidRPr="00150288">
        <w:rPr>
          <w:color w:val="FF0000"/>
          <w:sz w:val="22"/>
          <w:szCs w:val="20"/>
        </w:rPr>
        <w:t xml:space="preserve"> clinical efficacy a “clinically relevant change” should be defined to be able to provide a clinical definition of effect size. </w:t>
      </w:r>
    </w:p>
    <w:p w14:paraId="768BF98E" w14:textId="1C33A880" w:rsidR="1B1C038F" w:rsidRPr="00150288" w:rsidRDefault="1B1C038F" w:rsidP="005534EE">
      <w:pPr>
        <w:pStyle w:val="CPTListBullet"/>
        <w:rPr>
          <w:color w:val="FF0000"/>
          <w:sz w:val="22"/>
          <w:szCs w:val="20"/>
        </w:rPr>
      </w:pPr>
      <w:r w:rsidRPr="00150288">
        <w:rPr>
          <w:color w:val="FF0000"/>
          <w:sz w:val="22"/>
          <w:szCs w:val="20"/>
        </w:rPr>
        <w:t>Describe diagnostics, if relevant.</w:t>
      </w:r>
    </w:p>
    <w:p w14:paraId="643F7C05" w14:textId="260CDAE9" w:rsidR="1B1C038F" w:rsidRPr="00150288" w:rsidRDefault="1B1C038F" w:rsidP="005534EE">
      <w:pPr>
        <w:pStyle w:val="CPTListBullet"/>
        <w:rPr>
          <w:color w:val="FF0000"/>
          <w:sz w:val="22"/>
          <w:szCs w:val="20"/>
        </w:rPr>
      </w:pPr>
      <w:r w:rsidRPr="00150288">
        <w:rPr>
          <w:color w:val="FF0000"/>
          <w:sz w:val="22"/>
          <w:szCs w:val="20"/>
        </w:rPr>
        <w:t xml:space="preserve">Describe how data and/or results will be presented graphically, for example, dot plots (if small sample size), bar plots or box plot or error bars in univariate, or multivariate plots. </w:t>
      </w:r>
    </w:p>
    <w:p w14:paraId="62EBE427" w14:textId="7022ECC2" w:rsidR="1B1C038F" w:rsidRPr="00150288" w:rsidRDefault="1B1C038F" w:rsidP="005534EE">
      <w:pPr>
        <w:pStyle w:val="CPTListBullet"/>
        <w:rPr>
          <w:color w:val="FF0000"/>
          <w:sz w:val="22"/>
          <w:szCs w:val="20"/>
        </w:rPr>
      </w:pPr>
      <w:r w:rsidRPr="00150288">
        <w:rPr>
          <w:color w:val="FF0000"/>
          <w:sz w:val="22"/>
          <w:szCs w:val="20"/>
        </w:rPr>
        <w:t>In case of transformation of the endpoint(s), describe whether the back transformation of the results will be also presented.</w:t>
      </w:r>
    </w:p>
    <w:p w14:paraId="3F80CC95" w14:textId="0121E16B" w:rsidR="00337641" w:rsidRDefault="00463FDE" w:rsidP="00D84377">
      <w:pPr>
        <w:pStyle w:val="Heading4"/>
      </w:pPr>
      <w:r>
        <w:t xml:space="preserve">Sensitivity </w:t>
      </w:r>
      <w:r w:rsidRPr="004A6A9C">
        <w:rPr>
          <w:rStyle w:val="CPTVariable"/>
        </w:rPr>
        <w:t>[Analysis</w:t>
      </w:r>
      <w:r>
        <w:rPr>
          <w:rStyle w:val="CPTVariable"/>
        </w:rPr>
        <w:t>/Analyses]</w:t>
      </w:r>
    </w:p>
    <w:p w14:paraId="5C23D53F" w14:textId="053B2E71" w:rsidR="00337641" w:rsidRPr="00150288" w:rsidRDefault="00337641" w:rsidP="00150288">
      <w:pPr>
        <w:pStyle w:val="CPTListBullet"/>
        <w:rPr>
          <w:color w:val="FF0000"/>
          <w:sz w:val="22"/>
          <w:szCs w:val="20"/>
        </w:rPr>
      </w:pPr>
      <w:r w:rsidRPr="00150288">
        <w:rPr>
          <w:color w:val="FF0000"/>
          <w:sz w:val="22"/>
          <w:szCs w:val="20"/>
          <w:lang w:eastAsia="ja-JP"/>
        </w:rPr>
        <w:t>Describe the planned sensitivity analyses and how the sensitivity analyses will target the assumptions behind the main analytical approach(es). Pay special attention to assumptions regarding the missing data mechanism, if applicable, evaluating also possible bias in the analysis of longitudinal or time-to-event outcomes due to drop outs.</w:t>
      </w:r>
      <w:r w:rsidR="01F4BD96" w:rsidRPr="00150288">
        <w:rPr>
          <w:color w:val="FF0000"/>
          <w:sz w:val="22"/>
          <w:szCs w:val="20"/>
          <w:lang w:eastAsia="ja-JP"/>
        </w:rPr>
        <w:t xml:space="preserve"> </w:t>
      </w:r>
      <w:r w:rsidRPr="00150288">
        <w:rPr>
          <w:color w:val="FF0000"/>
          <w:sz w:val="22"/>
          <w:szCs w:val="20"/>
          <w:lang w:eastAsia="ja-JP"/>
        </w:rPr>
        <w:t>Supplementary Analyses</w:t>
      </w:r>
      <w:r w:rsidR="6DB5BAFE" w:rsidRPr="00150288">
        <w:rPr>
          <w:color w:val="FF0000"/>
          <w:sz w:val="22"/>
          <w:szCs w:val="20"/>
          <w:lang w:eastAsia="ja-JP"/>
        </w:rPr>
        <w:t>.</w:t>
      </w:r>
    </w:p>
    <w:p w14:paraId="69B75D06" w14:textId="69C158F8" w:rsidR="00EA3E2B" w:rsidRPr="004D7B4B" w:rsidRDefault="00337641" w:rsidP="00EA3E2B">
      <w:pPr>
        <w:pStyle w:val="Heading4"/>
      </w:pPr>
      <w:r>
        <w:t>S</w:t>
      </w:r>
      <w:r w:rsidR="00EA3E2B">
        <w:t xml:space="preserve">upplementary </w:t>
      </w:r>
      <w:r w:rsidR="000024F8">
        <w:t>A</w:t>
      </w:r>
      <w:r w:rsidR="00EA3E2B">
        <w:t>nalyses</w:t>
      </w:r>
    </w:p>
    <w:p w14:paraId="4E38FE82" w14:textId="2B73E264" w:rsidR="0678A712" w:rsidRPr="00150288" w:rsidRDefault="0678A712" w:rsidP="000F4AB9">
      <w:pPr>
        <w:pStyle w:val="CPTListBullet"/>
        <w:rPr>
          <w:color w:val="FF0000"/>
          <w:sz w:val="22"/>
          <w:szCs w:val="20"/>
        </w:rPr>
      </w:pPr>
      <w:bookmarkStart w:id="122" w:name="_Ref518463050"/>
      <w:bookmarkStart w:id="123" w:name="_Toc518466174"/>
      <w:bookmarkStart w:id="124" w:name="_Toc518655986"/>
      <w:bookmarkStart w:id="125" w:name="_Toc521400478"/>
      <w:r w:rsidRPr="00150288">
        <w:rPr>
          <w:color w:val="FF0000"/>
          <w:sz w:val="22"/>
          <w:szCs w:val="20"/>
        </w:rPr>
        <w:t xml:space="preserve">Describe any supplementary analyses in particular when endpoints or observe data deviate from main statistical approaches above described. </w:t>
      </w:r>
    </w:p>
    <w:p w14:paraId="0353075D" w14:textId="609D231E" w:rsidR="0678A712" w:rsidRPr="00150288" w:rsidRDefault="0678A712" w:rsidP="000F4AB9">
      <w:pPr>
        <w:pStyle w:val="CPTListBullet"/>
        <w:rPr>
          <w:color w:val="FF0000"/>
          <w:sz w:val="22"/>
          <w:szCs w:val="20"/>
        </w:rPr>
      </w:pPr>
      <w:r w:rsidRPr="00150288">
        <w:rPr>
          <w:color w:val="FF0000"/>
          <w:sz w:val="22"/>
          <w:szCs w:val="20"/>
        </w:rPr>
        <w:t>Estimands to be estimated, but not defined in Section 3 of the protocol or in Section 1.1 of the SAP, should be defined in this section.</w:t>
      </w:r>
    </w:p>
    <w:p w14:paraId="1F39CC57" w14:textId="41A36EC7" w:rsidR="0678A712" w:rsidRPr="00150288" w:rsidRDefault="0678A712" w:rsidP="000F4AB9">
      <w:pPr>
        <w:pStyle w:val="CPTListBullet"/>
        <w:rPr>
          <w:color w:val="FF0000"/>
          <w:sz w:val="22"/>
          <w:szCs w:val="20"/>
        </w:rPr>
      </w:pPr>
      <w:r w:rsidRPr="00150288">
        <w:rPr>
          <w:color w:val="FF0000"/>
          <w:sz w:val="22"/>
          <w:szCs w:val="20"/>
        </w:rPr>
        <w:t>If not defined in Section 3 of the SAP, describe which participants and data points are included in the analysis set(s) to be used to estimate each of the estimand(s) related to supplementary analyses.</w:t>
      </w:r>
    </w:p>
    <w:p w14:paraId="35DDA2BB" w14:textId="73A1DB9A" w:rsidR="00337641" w:rsidRPr="00150288" w:rsidRDefault="00337641" w:rsidP="000F4AB9">
      <w:pPr>
        <w:pStyle w:val="CPTListBullet"/>
        <w:rPr>
          <w:color w:val="FF0000"/>
          <w:sz w:val="22"/>
          <w:szCs w:val="20"/>
        </w:rPr>
      </w:pPr>
      <w:r w:rsidRPr="00150288">
        <w:rPr>
          <w:color w:val="FF0000"/>
          <w:sz w:val="22"/>
          <w:szCs w:val="20"/>
        </w:rPr>
        <w:t xml:space="preserve">If the SAP is updated during study conduct and new intercurrent events that are not part of the predefined estimand(s) have emerged during study conduct, it should be addressed here. If the new intercurrent </w:t>
      </w:r>
      <w:r w:rsidR="00441A59" w:rsidRPr="00150288">
        <w:rPr>
          <w:color w:val="FF0000"/>
          <w:sz w:val="22"/>
          <w:szCs w:val="20"/>
        </w:rPr>
        <w:t xml:space="preserve">events result in a change of secondary estimand a protocol amendment should be considered. </w:t>
      </w:r>
    </w:p>
    <w:p w14:paraId="42351C8D" w14:textId="28EF773B" w:rsidR="00EA3E2B" w:rsidRPr="002C0646" w:rsidRDefault="00463FDE" w:rsidP="00EA3E2B">
      <w:pPr>
        <w:pStyle w:val="Heading3"/>
        <w:keepLines/>
        <w:tabs>
          <w:tab w:val="clear" w:pos="1080"/>
          <w:tab w:val="num" w:pos="902"/>
        </w:tabs>
        <w:spacing w:before="216" w:line="374" w:lineRule="exact"/>
        <w:ind w:left="902" w:hanging="902"/>
      </w:pPr>
      <w:bookmarkStart w:id="126" w:name="_Toc44422568"/>
      <w:bookmarkStart w:id="127" w:name="_Ref45604176"/>
      <w:bookmarkStart w:id="128" w:name="_Toc52192301"/>
      <w:bookmarkEnd w:id="122"/>
      <w:bookmarkEnd w:id="123"/>
      <w:bookmarkEnd w:id="124"/>
      <w:bookmarkEnd w:id="125"/>
      <w:r>
        <w:t xml:space="preserve">Supportive Secondary </w:t>
      </w:r>
      <w:r w:rsidRPr="004A6A9C">
        <w:rPr>
          <w:rStyle w:val="CPTVariable"/>
        </w:rPr>
        <w:t>[Endpoint(s)/Estimand(s)]</w:t>
      </w:r>
      <w:bookmarkEnd w:id="126"/>
      <w:bookmarkEnd w:id="127"/>
      <w:bookmarkEnd w:id="128"/>
    </w:p>
    <w:p w14:paraId="7C0C7088" w14:textId="7B62CAF4" w:rsidR="00463FDE" w:rsidRDefault="00463FDE" w:rsidP="00463FDE">
      <w:pPr>
        <w:pStyle w:val="CPTInstructional"/>
      </w:pPr>
      <w:r>
        <w:t xml:space="preserve">It is recommended to describe the analyses of other (supportive) secondary endpoints in sufficient detail </w:t>
      </w:r>
      <w:r w:rsidR="007E43DE">
        <w:t>(</w:t>
      </w:r>
      <w:r>
        <w:t>including details on handling of missing data</w:t>
      </w:r>
      <w:r w:rsidR="007E43DE">
        <w:t>)</w:t>
      </w:r>
      <w:r>
        <w:t>, in order for an independent statistician to be able to redo the analyses. The following topics should be considered:</w:t>
      </w:r>
    </w:p>
    <w:p w14:paraId="04460FF7" w14:textId="77777777" w:rsidR="00463FDE" w:rsidRDefault="00463FDE" w:rsidP="00D65B50">
      <w:pPr>
        <w:pStyle w:val="CPTInstructional"/>
        <w:numPr>
          <w:ilvl w:val="0"/>
          <w:numId w:val="37"/>
        </w:numPr>
      </w:pPr>
      <w:r>
        <w:t>State how the endpoints will be defined/calculated/derived.</w:t>
      </w:r>
    </w:p>
    <w:p w14:paraId="0EDF2244" w14:textId="77777777" w:rsidR="00463FDE" w:rsidRDefault="00463FDE" w:rsidP="00D65B50">
      <w:pPr>
        <w:pStyle w:val="CPTInstructional"/>
        <w:numPr>
          <w:ilvl w:val="0"/>
          <w:numId w:val="37"/>
        </w:numPr>
      </w:pPr>
      <w:r>
        <w:lastRenderedPageBreak/>
        <w:t>Describe if the endpoint will be transformed, such as square-root and logarithm, before analysis including rationale/justification and interpretation.</w:t>
      </w:r>
    </w:p>
    <w:p w14:paraId="213252A3" w14:textId="58A31665" w:rsidR="00463FDE" w:rsidRDefault="00463FDE" w:rsidP="00D65B50">
      <w:pPr>
        <w:pStyle w:val="CPTInstructional"/>
        <w:numPr>
          <w:ilvl w:val="0"/>
          <w:numId w:val="38"/>
        </w:numPr>
      </w:pPr>
      <w:r>
        <w:t>Refer to (or define</w:t>
      </w:r>
      <w:r w:rsidR="007E43DE">
        <w:t>,</w:t>
      </w:r>
      <w:r>
        <w:t xml:space="preserve"> if not in Section</w:t>
      </w:r>
      <w:r w:rsidR="00057CEA">
        <w:t xml:space="preserve"> 1.1</w:t>
      </w:r>
      <w:r>
        <w:t>) relevant estimand(s)</w:t>
      </w:r>
      <w:r w:rsidR="007E43DE">
        <w:t>.</w:t>
      </w:r>
      <w:r>
        <w:t xml:space="preserve"> </w:t>
      </w:r>
    </w:p>
    <w:p w14:paraId="2298F914" w14:textId="5874A293" w:rsidR="00463FDE" w:rsidRDefault="00463FDE" w:rsidP="00D65B50">
      <w:pPr>
        <w:pStyle w:val="CPTInstructional"/>
        <w:numPr>
          <w:ilvl w:val="0"/>
          <w:numId w:val="38"/>
        </w:numPr>
      </w:pPr>
      <w:r>
        <w:t>Specify the analysis set(s) to be used, if not clear from Section</w:t>
      </w:r>
      <w:r w:rsidR="00057CEA">
        <w:t xml:space="preserve"> 3</w:t>
      </w:r>
      <w:r>
        <w:t>.</w:t>
      </w:r>
    </w:p>
    <w:p w14:paraId="61984124" w14:textId="77777777" w:rsidR="00463FDE" w:rsidRDefault="00463FDE" w:rsidP="00D65B50">
      <w:pPr>
        <w:pStyle w:val="CPTInstructional"/>
        <w:numPr>
          <w:ilvl w:val="0"/>
          <w:numId w:val="38"/>
        </w:numPr>
      </w:pPr>
      <w:r>
        <w:t>Specify analysis methods including handling of missing data.</w:t>
      </w:r>
    </w:p>
    <w:p w14:paraId="2907E9DB" w14:textId="77777777" w:rsidR="00463FDE" w:rsidRDefault="00463FDE" w:rsidP="00D65B50">
      <w:pPr>
        <w:pStyle w:val="CPTInstructional"/>
        <w:numPr>
          <w:ilvl w:val="0"/>
          <w:numId w:val="37"/>
        </w:numPr>
      </w:pPr>
      <w:r>
        <w:t>Describe (if applicable) factors, covariates, stratification factors, etc to be included in the analysis model.</w:t>
      </w:r>
    </w:p>
    <w:p w14:paraId="2FA33FFD" w14:textId="77777777" w:rsidR="00463FDE" w:rsidRDefault="00463FDE" w:rsidP="00D65B50">
      <w:pPr>
        <w:pStyle w:val="CPTInstructional"/>
        <w:numPr>
          <w:ilvl w:val="0"/>
          <w:numId w:val="38"/>
        </w:numPr>
      </w:pPr>
      <w:r>
        <w:t xml:space="preserve">Specify how results will be presented. </w:t>
      </w:r>
    </w:p>
    <w:p w14:paraId="50F1091A" w14:textId="34C1366E" w:rsidR="00EA3E2B" w:rsidRPr="003B5A76" w:rsidRDefault="00463FDE" w:rsidP="00D65B50">
      <w:pPr>
        <w:pStyle w:val="CPTInstructional"/>
        <w:numPr>
          <w:ilvl w:val="0"/>
          <w:numId w:val="38"/>
        </w:numPr>
      </w:pPr>
      <w:r>
        <w:t>Sensitivity and supplementary analyses are not in scope for these endpoints but can be added, if deemed necessary</w:t>
      </w:r>
    </w:p>
    <w:p w14:paraId="49F716A4" w14:textId="541181F4" w:rsidR="00EA3E2B" w:rsidRDefault="00023F6D" w:rsidP="00EA3E2B">
      <w:pPr>
        <w:pStyle w:val="Heading2"/>
      </w:pPr>
      <w:bookmarkStart w:id="129" w:name="_Ref517707170"/>
      <w:bookmarkStart w:id="130" w:name="_Toc518466175"/>
      <w:bookmarkStart w:id="131" w:name="_Toc518655987"/>
      <w:bookmarkStart w:id="132" w:name="_Toc521400479"/>
      <w:bookmarkStart w:id="133" w:name="_Ref45604051"/>
      <w:bookmarkStart w:id="134" w:name="_Toc52192302"/>
      <w:r w:rsidRPr="009F4877">
        <w:rPr>
          <w:rStyle w:val="CPTVariable"/>
        </w:rPr>
        <w:t>[</w:t>
      </w:r>
      <w:r w:rsidR="00D87DCB" w:rsidRPr="009F4877">
        <w:rPr>
          <w:rStyle w:val="CPTVariable"/>
        </w:rPr>
        <w:t>Tertiary/Exploratory/Other</w:t>
      </w:r>
      <w:r w:rsidR="009F4877" w:rsidRPr="009F4877">
        <w:rPr>
          <w:rStyle w:val="CPTVariable"/>
        </w:rPr>
        <w:t>]</w:t>
      </w:r>
      <w:r w:rsidR="00D87DCB">
        <w:t xml:space="preserve"> </w:t>
      </w:r>
      <w:r w:rsidR="00D87DCB">
        <w:rPr>
          <w:rStyle w:val="CPTVariable"/>
        </w:rPr>
        <w:t>[Endpoint(s)/Estimand(s)]</w:t>
      </w:r>
      <w:r w:rsidR="00EA3E2B">
        <w:t xml:space="preserve"> Analysis</w:t>
      </w:r>
      <w:bookmarkEnd w:id="129"/>
      <w:bookmarkEnd w:id="130"/>
      <w:bookmarkEnd w:id="131"/>
      <w:bookmarkEnd w:id="132"/>
      <w:bookmarkEnd w:id="133"/>
      <w:bookmarkEnd w:id="134"/>
      <w:r w:rsidR="00FD3F63">
        <w:t xml:space="preserve"> </w:t>
      </w:r>
    </w:p>
    <w:p w14:paraId="289963EB" w14:textId="76F9F33A" w:rsidR="00D87DCB" w:rsidRDefault="00D87DCB" w:rsidP="00D87DCB">
      <w:pPr>
        <w:pStyle w:val="CPTInstructional"/>
      </w:pPr>
      <w:r>
        <w:t xml:space="preserve">If specified in the protocol, this information can be </w:t>
      </w:r>
      <w:r w:rsidR="000F4AB9">
        <w:t>taken</w:t>
      </w:r>
      <w:r>
        <w:t xml:space="preserve"> from the </w:t>
      </w:r>
      <w:r w:rsidR="000F4AB9">
        <w:t xml:space="preserve">master </w:t>
      </w:r>
      <w:r>
        <w:t xml:space="preserve">protocol (Section 9.3.4). Additional details may be added. </w:t>
      </w:r>
    </w:p>
    <w:p w14:paraId="5ED666AD" w14:textId="77777777" w:rsidR="00D87DCB" w:rsidRDefault="00D87DCB" w:rsidP="00D87DCB">
      <w:pPr>
        <w:pStyle w:val="CPTInstructional"/>
      </w:pPr>
      <w:r>
        <w:t xml:space="preserve">If no description is provided in the protocol, then it is recommended to describe the analyses to the same level of detail as the supportive secondary endpoints. For example, no sensitivity or supplementary analyses need to be specified for tertiary/exploratory/other endpoints/estimands. </w:t>
      </w:r>
    </w:p>
    <w:p w14:paraId="43464AC6" w14:textId="3EB34DC6" w:rsidR="00EA3E2B" w:rsidRPr="00C64851" w:rsidRDefault="00D87DCB" w:rsidP="00EA3E2B">
      <w:pPr>
        <w:pStyle w:val="Heading2"/>
      </w:pPr>
      <w:bookmarkStart w:id="135" w:name="_Toc518466176"/>
      <w:bookmarkStart w:id="136" w:name="_Toc518655988"/>
      <w:bookmarkStart w:id="137" w:name="_Toc521400480"/>
      <w:bookmarkStart w:id="138" w:name="_Toc52192303"/>
      <w:r w:rsidRPr="05CCDB72">
        <w:rPr>
          <w:rStyle w:val="CPTVariable"/>
        </w:rPr>
        <w:t>[Other]</w:t>
      </w:r>
      <w:r w:rsidR="00EA3E2B">
        <w:t xml:space="preserve"> Safety Analyses</w:t>
      </w:r>
      <w:r w:rsidR="521C6FE8">
        <w:t xml:space="preserve"> </w:t>
      </w:r>
      <w:bookmarkEnd w:id="135"/>
      <w:bookmarkEnd w:id="136"/>
      <w:bookmarkEnd w:id="137"/>
      <w:bookmarkEnd w:id="138"/>
    </w:p>
    <w:p w14:paraId="0A61116B" w14:textId="6E614EA1" w:rsidR="0074305D" w:rsidRPr="000F4AB9" w:rsidRDefault="0074305D" w:rsidP="0074305D">
      <w:pPr>
        <w:pStyle w:val="CPTInstructional"/>
        <w:rPr>
          <w:strike/>
        </w:rPr>
      </w:pPr>
      <w:r>
        <w:t>Th</w:t>
      </w:r>
      <w:r w:rsidR="009D0077">
        <w:t xml:space="preserve">e </w:t>
      </w:r>
      <w:r w:rsidR="42B8B3ED">
        <w:t>high-level</w:t>
      </w:r>
      <w:r w:rsidR="009D0077">
        <w:t xml:space="preserve"> overview of the overarching principles and methods applying to all (or most) ISAs </w:t>
      </w:r>
      <w:r>
        <w:t xml:space="preserve">should be </w:t>
      </w:r>
      <w:r w:rsidR="000F4AB9">
        <w:t>taken</w:t>
      </w:r>
      <w:r>
        <w:t xml:space="preserve"> from the protocol (Section 9.3.5). Additional details </w:t>
      </w:r>
      <w:r w:rsidR="009D0077">
        <w:t xml:space="preserve">on the statistical </w:t>
      </w:r>
      <w:r w:rsidR="4E7FA50B">
        <w:t>analyses</w:t>
      </w:r>
      <w:r w:rsidR="009D0077">
        <w:t xml:space="preserve"> </w:t>
      </w:r>
      <w:r>
        <w:t>may be added.</w:t>
      </w:r>
    </w:p>
    <w:p w14:paraId="56B87C62" w14:textId="723A0FA2" w:rsidR="00D87DCB" w:rsidRPr="000F4AB9" w:rsidRDefault="00D87DCB" w:rsidP="00D87DCB">
      <w:pPr>
        <w:pStyle w:val="CPTInstructional"/>
      </w:pPr>
      <w:r w:rsidRPr="000F4AB9">
        <w:t xml:space="preserve">Consider describing how standard and any special safety endpoints analyses, that have not already been described in Sections </w:t>
      </w:r>
      <w:r w:rsidR="00057CEA" w:rsidRPr="000F4AB9">
        <w:t>4.2</w:t>
      </w:r>
      <w:r w:rsidRPr="000F4AB9">
        <w:rPr>
          <w:bCs/>
        </w:rPr>
        <w:t xml:space="preserve"> Primary Endpoint(s) Analysis, </w:t>
      </w:r>
      <w:r w:rsidR="00057CEA" w:rsidRPr="000F4AB9">
        <w:rPr>
          <w:bCs/>
        </w:rPr>
        <w:t xml:space="preserve">4.3 </w:t>
      </w:r>
      <w:r w:rsidRPr="000F4AB9">
        <w:rPr>
          <w:bCs/>
        </w:rPr>
        <w:t xml:space="preserve">Secondary Endpoint(s) Analysis, or </w:t>
      </w:r>
      <w:r w:rsidR="00057CEA" w:rsidRPr="000F4AB9">
        <w:rPr>
          <w:bCs/>
        </w:rPr>
        <w:t>4.4</w:t>
      </w:r>
      <w:r w:rsidR="00F5076F" w:rsidRPr="000F4AB9">
        <w:rPr>
          <w:bCs/>
        </w:rPr>
        <w:t xml:space="preserve"> </w:t>
      </w:r>
      <w:r w:rsidRPr="000F4AB9">
        <w:rPr>
          <w:bCs/>
        </w:rPr>
        <w:t xml:space="preserve">Tertiary/Exploratory </w:t>
      </w:r>
      <w:r w:rsidR="00282920" w:rsidRPr="000F4AB9">
        <w:rPr>
          <w:bCs/>
        </w:rPr>
        <w:t>[</w:t>
      </w:r>
      <w:r w:rsidRPr="000F4AB9">
        <w:rPr>
          <w:bCs/>
        </w:rPr>
        <w:t>Endpoint(s)</w:t>
      </w:r>
      <w:r w:rsidR="00282920" w:rsidRPr="000F4AB9">
        <w:rPr>
          <w:bCs/>
        </w:rPr>
        <w:t>/Estimand(s)]</w:t>
      </w:r>
      <w:r w:rsidRPr="000F4AB9">
        <w:rPr>
          <w:bCs/>
        </w:rPr>
        <w:t xml:space="preserve"> Analysis, </w:t>
      </w:r>
      <w:r w:rsidRPr="000F4AB9">
        <w:t>will be performed.</w:t>
      </w:r>
    </w:p>
    <w:p w14:paraId="7E8896A3" w14:textId="3AA5305D" w:rsidR="00D87DCB" w:rsidRPr="000F4AB9" w:rsidRDefault="00D87DCB" w:rsidP="00D87DCB">
      <w:pPr>
        <w:pStyle w:val="CPTInstructional"/>
      </w:pPr>
      <w:r w:rsidRPr="000F4AB9">
        <w:t xml:space="preserve">Suggested topics, specific to safety analyses to </w:t>
      </w:r>
      <w:r w:rsidR="00282920" w:rsidRPr="000F4AB9">
        <w:t xml:space="preserve">be </w:t>
      </w:r>
      <w:r w:rsidRPr="000F4AB9">
        <w:t>include</w:t>
      </w:r>
      <w:r w:rsidR="00282920" w:rsidRPr="000F4AB9">
        <w:t>d</w:t>
      </w:r>
      <w:r w:rsidRPr="000F4AB9">
        <w:t xml:space="preserve"> in this section or subsections</w:t>
      </w:r>
      <w:r w:rsidR="00282920" w:rsidRPr="000F4AB9">
        <w:t>,</w:t>
      </w:r>
      <w:r w:rsidRPr="000F4AB9">
        <w:t xml:space="preserve"> are provided below. If potentially clinically significant criteria are used for adverse events (AEs), laboratory assessments, vital signs, or electrocardiograms (ECGs), then describe how these criteria </w:t>
      </w:r>
      <w:r w:rsidR="00282920" w:rsidRPr="000F4AB9">
        <w:t>a</w:t>
      </w:r>
      <w:r w:rsidRPr="000F4AB9">
        <w:t>re determined and how they relate to clinical relevance or include a reference to standards, appendix, or other documentation.</w:t>
      </w:r>
    </w:p>
    <w:p w14:paraId="5907DFA7" w14:textId="7B70AAE2" w:rsidR="00D87DCB" w:rsidRDefault="00D87DCB" w:rsidP="00D65B50">
      <w:pPr>
        <w:pStyle w:val="CPTInstructional"/>
        <w:numPr>
          <w:ilvl w:val="0"/>
          <w:numId w:val="37"/>
        </w:numPr>
      </w:pPr>
      <w:r>
        <w:t>Specify estimand(s), if applicable and not defined in Section</w:t>
      </w:r>
      <w:r w:rsidR="00057CEA">
        <w:t xml:space="preserve"> 1.1</w:t>
      </w:r>
      <w:r>
        <w:t>.</w:t>
      </w:r>
    </w:p>
    <w:p w14:paraId="1E1BEE00" w14:textId="6196131F" w:rsidR="00D87DCB" w:rsidRDefault="00D87DCB" w:rsidP="00D65B50">
      <w:pPr>
        <w:pStyle w:val="CPTInstructional"/>
        <w:numPr>
          <w:ilvl w:val="0"/>
          <w:numId w:val="37"/>
        </w:numPr>
      </w:pPr>
      <w:r>
        <w:t>Specify analysis set(s) to be used if not clear from Section</w:t>
      </w:r>
      <w:r w:rsidR="00057CEA">
        <w:t xml:space="preserve"> 3</w:t>
      </w:r>
      <w:r>
        <w:t>.</w:t>
      </w:r>
    </w:p>
    <w:p w14:paraId="308631CB" w14:textId="5FF7242C" w:rsidR="00D87DCB" w:rsidRDefault="00282920" w:rsidP="00D65B50">
      <w:pPr>
        <w:pStyle w:val="CPTInstructional"/>
        <w:numPr>
          <w:ilvl w:val="0"/>
          <w:numId w:val="37"/>
        </w:numPr>
      </w:pPr>
      <w:r>
        <w:t>Describe g</w:t>
      </w:r>
      <w:r w:rsidR="00D87DCB">
        <w:t>eneral methods for summarizing and analyzing safety data</w:t>
      </w:r>
      <w:r>
        <w:t>.</w:t>
      </w:r>
    </w:p>
    <w:p w14:paraId="273110A4" w14:textId="2733859A" w:rsidR="00D87DCB" w:rsidRDefault="00282920" w:rsidP="00D65B50">
      <w:pPr>
        <w:pStyle w:val="CPTInstructional"/>
        <w:numPr>
          <w:ilvl w:val="0"/>
          <w:numId w:val="37"/>
        </w:numPr>
      </w:pPr>
      <w:r>
        <w:t>Include s</w:t>
      </w:r>
      <w:r w:rsidR="00D87DCB">
        <w:t>pecial safety topics relevant to the given study and its rationale</w:t>
      </w:r>
      <w:r>
        <w:t>.</w:t>
      </w:r>
    </w:p>
    <w:p w14:paraId="20581987" w14:textId="7E9921B5" w:rsidR="00D87DCB" w:rsidRDefault="00282920" w:rsidP="00D65B50">
      <w:pPr>
        <w:pStyle w:val="CPTInstructional"/>
        <w:numPr>
          <w:ilvl w:val="0"/>
          <w:numId w:val="37"/>
        </w:numPr>
      </w:pPr>
      <w:r>
        <w:t>Specify h</w:t>
      </w:r>
      <w:r w:rsidR="00D87DCB">
        <w:t>ow to handle unscheduled visits and/or duplicate measurements</w:t>
      </w:r>
      <w:r>
        <w:t>.</w:t>
      </w:r>
      <w:r w:rsidR="00D87DCB">
        <w:t xml:space="preserve"> </w:t>
      </w:r>
    </w:p>
    <w:p w14:paraId="6ED8217D" w14:textId="6F497169" w:rsidR="00D87DCB" w:rsidRDefault="00D87DCB" w:rsidP="00D65B50">
      <w:pPr>
        <w:pStyle w:val="CPTInstructional"/>
        <w:numPr>
          <w:ilvl w:val="0"/>
          <w:numId w:val="37"/>
        </w:numPr>
      </w:pPr>
      <w:r>
        <w:t xml:space="preserve">If running categorical analyses for participants with a potentially clinically significant change, describe criteria in the appendix or </w:t>
      </w:r>
      <w:r w:rsidR="00282920">
        <w:t xml:space="preserve">refer to </w:t>
      </w:r>
      <w:r>
        <w:t>referenced documentation or standards.</w:t>
      </w:r>
    </w:p>
    <w:p w14:paraId="7489A341" w14:textId="755DC3DD" w:rsidR="00D87DCB" w:rsidRDefault="00D87DCB" w:rsidP="00D65B50">
      <w:pPr>
        <w:pStyle w:val="CPTInstructional"/>
        <w:numPr>
          <w:ilvl w:val="0"/>
          <w:numId w:val="37"/>
        </w:numPr>
      </w:pPr>
      <w:r>
        <w:t>For categorical analyses, describe in detail the participants in the denominator and numerator. Pay particular attention to baseline requirements for denominators</w:t>
      </w:r>
      <w:r w:rsidR="00282920">
        <w:t>. For instance,</w:t>
      </w:r>
      <w:r>
        <w:t xml:space="preserve"> to assess who goes </w:t>
      </w:r>
      <w:r>
        <w:lastRenderedPageBreak/>
        <w:t>high</w:t>
      </w:r>
      <w:r w:rsidR="00282920">
        <w:t>,</w:t>
      </w:r>
      <w:r>
        <w:t xml:space="preserve"> usually participants need to be low or normal at baseline</w:t>
      </w:r>
      <w:r w:rsidR="00282920">
        <w:t>.</w:t>
      </w:r>
      <w:r>
        <w:t xml:space="preserve"> </w:t>
      </w:r>
      <w:r w:rsidR="00282920">
        <w:t>S</w:t>
      </w:r>
      <w:r>
        <w:t>pecify whether baseline i</w:t>
      </w:r>
      <w:r w:rsidR="00282920">
        <w:t>nclude</w:t>
      </w:r>
      <w:r>
        <w:t>s all baseline visits, just the last baseline visit, or some other criteria.</w:t>
      </w:r>
    </w:p>
    <w:p w14:paraId="5F48F5B7" w14:textId="3EE7467C" w:rsidR="00D87DCB" w:rsidRDefault="00282920" w:rsidP="00D65B50">
      <w:pPr>
        <w:pStyle w:val="CPTInstructional"/>
        <w:numPr>
          <w:ilvl w:val="0"/>
          <w:numId w:val="37"/>
        </w:numPr>
      </w:pPr>
      <w:r>
        <w:t>Describe m</w:t>
      </w:r>
      <w:r w:rsidR="00D87DCB">
        <w:t xml:space="preserve">ethods used to compute any derived data, </w:t>
      </w:r>
      <w:r>
        <w:t>eg,</w:t>
      </w:r>
      <w:r w:rsidR="00D87DCB">
        <w:t xml:space="preserve"> </w:t>
      </w:r>
      <w:r w:rsidR="00686080">
        <w:t xml:space="preserve">reporting absolute </w:t>
      </w:r>
      <w:r w:rsidR="00D87DCB">
        <w:t>change or percent change from baseline, transform</w:t>
      </w:r>
      <w:r>
        <w:t>ation</w:t>
      </w:r>
      <w:r w:rsidR="00686080">
        <w:t xml:space="preserve"> of</w:t>
      </w:r>
      <w:r w:rsidR="00D87DCB">
        <w:t xml:space="preserve"> data, or </w:t>
      </w:r>
      <w:r w:rsidR="00686080">
        <w:t xml:space="preserve">use of </w:t>
      </w:r>
      <w:r w:rsidR="00D87DCB">
        <w:t>categorical cut</w:t>
      </w:r>
      <w:r w:rsidR="00686080">
        <w:t>-</w:t>
      </w:r>
      <w:r w:rsidR="00D87DCB">
        <w:t>points for safety scales</w:t>
      </w:r>
    </w:p>
    <w:p w14:paraId="17906310" w14:textId="37F70083" w:rsidR="00254ABC" w:rsidRPr="00523EE9" w:rsidRDefault="00254ABC" w:rsidP="004652FB">
      <w:pPr>
        <w:pStyle w:val="CPTExample"/>
      </w:pPr>
      <w:r w:rsidRPr="00523EE9">
        <w:t>&lt;Start of suggested text&gt;</w:t>
      </w:r>
    </w:p>
    <w:p w14:paraId="193516F6" w14:textId="77777777" w:rsidR="00254ABC" w:rsidRPr="00BA440F" w:rsidRDefault="00254ABC" w:rsidP="004652FB">
      <w:pPr>
        <w:rPr>
          <w:i/>
          <w:iCs/>
          <w:color w:val="00B050"/>
        </w:rPr>
      </w:pPr>
      <w:r w:rsidRPr="00BA440F">
        <w:rPr>
          <w:i/>
          <w:iCs/>
          <w:color w:val="00B050"/>
        </w:rPr>
        <w:t xml:space="preserve">All safety analyses across all interventions in the platform study will be based on the Safety analysis dataset including all randomized participants who are exposed to study intervention(s). Participants will be analyzed according to the intervention(s) they actually receive. </w:t>
      </w:r>
    </w:p>
    <w:p w14:paraId="4987E1FB" w14:textId="7C9256B3" w:rsidR="00254ABC" w:rsidRPr="00523EE9" w:rsidRDefault="00254ABC" w:rsidP="004652FB">
      <w:pPr>
        <w:pStyle w:val="CPTInstructional"/>
      </w:pPr>
      <w:r w:rsidRPr="00523EE9">
        <w:t>[</w:t>
      </w:r>
      <w:r w:rsidRPr="0006328B">
        <w:rPr>
          <w:rStyle w:val="CPTVariable"/>
          <w:i/>
          <w:iCs/>
        </w:rPr>
        <w:t>In addition, similar analyses will be performed on the Expanded Safety analysis dataset including all randomized participants who are exposed to the investigational intervention and participants who are randomized and exposed to the control(s) across available intervention cohorts.</w:t>
      </w:r>
      <w:r w:rsidRPr="00523EE9">
        <w:t xml:space="preserve">]  </w:t>
      </w:r>
    </w:p>
    <w:p w14:paraId="27421BEF" w14:textId="03EBE1D0" w:rsidR="00946984" w:rsidRPr="00523EE9" w:rsidRDefault="00946984" w:rsidP="004652FB">
      <w:pPr>
        <w:pStyle w:val="CPTExample"/>
      </w:pPr>
      <w:r w:rsidRPr="00523EE9">
        <w:t>&lt;End of suggested text&gt;</w:t>
      </w:r>
    </w:p>
    <w:p w14:paraId="20E16D28" w14:textId="5E274808" w:rsidR="00EA3E2B" w:rsidRDefault="0074305D" w:rsidP="00EA3E2B">
      <w:pPr>
        <w:pStyle w:val="Heading3"/>
        <w:spacing w:before="216" w:line="374" w:lineRule="exact"/>
        <w:ind w:left="902" w:hanging="902"/>
      </w:pPr>
      <w:bookmarkStart w:id="139" w:name="_Toc518466177"/>
      <w:bookmarkStart w:id="140" w:name="_Toc518655989"/>
      <w:bookmarkStart w:id="141" w:name="_Toc521400481"/>
      <w:bookmarkStart w:id="142" w:name="_Toc52192304"/>
      <w:r>
        <w:t>Extent of Exposure</w:t>
      </w:r>
      <w:bookmarkEnd w:id="139"/>
      <w:bookmarkEnd w:id="140"/>
      <w:bookmarkEnd w:id="141"/>
      <w:bookmarkEnd w:id="142"/>
    </w:p>
    <w:p w14:paraId="7E6A4A4F" w14:textId="77777777" w:rsidR="00D87DCB" w:rsidRDefault="00D87DCB" w:rsidP="00D65B50">
      <w:pPr>
        <w:pStyle w:val="CPTInstructional"/>
        <w:keepNext/>
        <w:numPr>
          <w:ilvl w:val="0"/>
          <w:numId w:val="39"/>
        </w:numPr>
      </w:pPr>
      <w:bookmarkStart w:id="143" w:name="_Toc307412268"/>
      <w:bookmarkStart w:id="144" w:name="_Toc518466178"/>
      <w:bookmarkStart w:id="145" w:name="_Toc518655990"/>
      <w:bookmarkStart w:id="146" w:name="_Toc521400482"/>
      <w:r>
        <w:t>Describe the summaries that will be provided for extent of exposure to study intervention, which may include the number of participants exposed, the duration of exposure, the dose(s) to which they were exposed, and dose modifications.</w:t>
      </w:r>
    </w:p>
    <w:p w14:paraId="4EB1B441" w14:textId="77777777" w:rsidR="00D87DCB" w:rsidRDefault="00D87DCB" w:rsidP="00D65B50">
      <w:pPr>
        <w:pStyle w:val="CPTInstructional"/>
        <w:numPr>
          <w:ilvl w:val="0"/>
          <w:numId w:val="39"/>
        </w:numPr>
      </w:pPr>
      <w:r>
        <w:t>If applicable, also describe how to calculate the total daily dose, total years of exposure, etc.</w:t>
      </w:r>
    </w:p>
    <w:p w14:paraId="125D0FB0" w14:textId="77777777" w:rsidR="00D87DCB" w:rsidRDefault="00D87DCB" w:rsidP="00D65B50">
      <w:pPr>
        <w:pStyle w:val="CPTInstructional"/>
        <w:numPr>
          <w:ilvl w:val="0"/>
          <w:numId w:val="39"/>
        </w:numPr>
      </w:pPr>
      <w:r>
        <w:t>The wording should be adjusted to account for oral agents, infusions, injections, or other nonoral administrations.</w:t>
      </w:r>
    </w:p>
    <w:p w14:paraId="4774DDE6" w14:textId="77777777" w:rsidR="00686080" w:rsidRDefault="00D87DCB" w:rsidP="00D65B50">
      <w:pPr>
        <w:pStyle w:val="CPTInstructional"/>
        <w:numPr>
          <w:ilvl w:val="0"/>
          <w:numId w:val="39"/>
        </w:numPr>
      </w:pPr>
      <w:r>
        <w:t>If applicable, duration of exposure to any treatment can be summarized with descriptive statistics</w:t>
      </w:r>
      <w:r w:rsidR="00686080">
        <w:t>.</w:t>
      </w:r>
    </w:p>
    <w:p w14:paraId="172F7FE6" w14:textId="0B58D249" w:rsidR="00D87DCB" w:rsidRDefault="00686080" w:rsidP="00D65B50">
      <w:pPr>
        <w:pStyle w:val="CPTInstructional"/>
        <w:numPr>
          <w:ilvl w:val="0"/>
          <w:numId w:val="39"/>
        </w:numPr>
      </w:pPr>
      <w:r>
        <w:t>I</w:t>
      </w:r>
      <w:r w:rsidR="00D87DCB">
        <w:t xml:space="preserve">t </w:t>
      </w:r>
      <w:r>
        <w:t xml:space="preserve">might also be </w:t>
      </w:r>
      <w:r w:rsidR="00D87DCB">
        <w:t>helpful to describe the number of participants exposed for specified periods of time, such as for 1 day or less, 2 days to 1 week, more than 1 week to 1 month, more than 1 month to 6 months.</w:t>
      </w:r>
    </w:p>
    <w:p w14:paraId="6987E65A" w14:textId="516A85F5" w:rsidR="00254ABC" w:rsidRDefault="00254ABC" w:rsidP="00D65B50">
      <w:pPr>
        <w:pStyle w:val="CPTInstructional"/>
        <w:numPr>
          <w:ilvl w:val="0"/>
          <w:numId w:val="39"/>
        </w:numPr>
      </w:pPr>
      <w:r>
        <w:t>This information will be intervention-specific</w:t>
      </w:r>
    </w:p>
    <w:p w14:paraId="57EE8171" w14:textId="6E576A33" w:rsidR="00DD30CB" w:rsidRPr="00300706" w:rsidRDefault="00946984" w:rsidP="00222341">
      <w:pPr>
        <w:rPr>
          <w:i/>
          <w:color w:val="00B050"/>
        </w:rPr>
      </w:pPr>
      <w:r w:rsidRPr="00300706">
        <w:rPr>
          <w:i/>
          <w:color w:val="00B050"/>
        </w:rPr>
        <w:t xml:space="preserve">&lt;Start of </w:t>
      </w:r>
      <w:r w:rsidR="00DD30CB" w:rsidRPr="00300706">
        <w:rPr>
          <w:i/>
          <w:color w:val="00B050"/>
        </w:rPr>
        <w:t>example</w:t>
      </w:r>
      <w:r w:rsidRPr="00300706">
        <w:rPr>
          <w:i/>
          <w:color w:val="00B050"/>
        </w:rPr>
        <w:t xml:space="preserve"> text&gt;</w:t>
      </w:r>
    </w:p>
    <w:p w14:paraId="03D1B6C2" w14:textId="26126F20" w:rsidR="00946984" w:rsidRPr="0006328B" w:rsidRDefault="00946984" w:rsidP="00222341">
      <w:pPr>
        <w:rPr>
          <w:i/>
          <w:iCs/>
        </w:rPr>
      </w:pPr>
      <w:r w:rsidRPr="0006328B">
        <w:rPr>
          <w:i/>
          <w:iCs/>
          <w:color w:val="00B050"/>
        </w:rPr>
        <w:t xml:space="preserve">For each intervention that is evaluated as part of the </w:t>
      </w:r>
      <w:r w:rsidR="00DD30CB" w:rsidRPr="0006328B">
        <w:rPr>
          <w:i/>
          <w:iCs/>
          <w:color w:val="00B050"/>
        </w:rPr>
        <w:t>platform study, exposure will be calculated based on total daily dose over treatment duration in months/years. Details of the summary of any exposure assessments required for a specific trial drug will be reported in the ISA.</w:t>
      </w:r>
    </w:p>
    <w:p w14:paraId="7A316820" w14:textId="28504BDF" w:rsidR="00DD30CB" w:rsidRPr="00300706" w:rsidRDefault="00DD30CB" w:rsidP="00222341">
      <w:pPr>
        <w:rPr>
          <w:i/>
          <w:color w:val="00B050"/>
        </w:rPr>
      </w:pPr>
      <w:r w:rsidRPr="00300706">
        <w:rPr>
          <w:i/>
          <w:color w:val="00B050"/>
        </w:rPr>
        <w:t>&lt;End of example text&gt;</w:t>
      </w:r>
    </w:p>
    <w:p w14:paraId="6A1D68AD" w14:textId="77777777" w:rsidR="00EA3E2B" w:rsidRDefault="00EA3E2B" w:rsidP="00EA3E2B">
      <w:pPr>
        <w:pStyle w:val="Heading3"/>
        <w:keepLines/>
        <w:tabs>
          <w:tab w:val="clear" w:pos="1080"/>
          <w:tab w:val="num" w:pos="902"/>
        </w:tabs>
        <w:spacing w:before="216" w:line="374" w:lineRule="exact"/>
        <w:ind w:left="902" w:hanging="902"/>
      </w:pPr>
      <w:bookmarkStart w:id="147" w:name="_Toc52192305"/>
      <w:r>
        <w:t>Adverse Events</w:t>
      </w:r>
      <w:bookmarkEnd w:id="143"/>
      <w:bookmarkEnd w:id="144"/>
      <w:bookmarkEnd w:id="145"/>
      <w:bookmarkEnd w:id="146"/>
      <w:bookmarkEnd w:id="147"/>
    </w:p>
    <w:p w14:paraId="133D83BC" w14:textId="77777777" w:rsidR="00D87DCB" w:rsidRDefault="00D87DCB" w:rsidP="00D87DCB">
      <w:pPr>
        <w:pStyle w:val="CPTInstructional"/>
      </w:pPr>
      <w:bookmarkStart w:id="148" w:name="_Toc307412273"/>
      <w:bookmarkStart w:id="149" w:name="_Toc518466179"/>
      <w:bookmarkStart w:id="150" w:name="_Toc518655991"/>
      <w:bookmarkStart w:id="151" w:name="_Toc521400483"/>
      <w:r>
        <w:t xml:space="preserve">Suggested topics to be included in this section or as subsections are provided below: </w:t>
      </w:r>
    </w:p>
    <w:p w14:paraId="39F390EC" w14:textId="07D327F1" w:rsidR="00D87DCB" w:rsidRDefault="00D87DCB" w:rsidP="00D65B50">
      <w:pPr>
        <w:pStyle w:val="CPTInstructional"/>
        <w:numPr>
          <w:ilvl w:val="0"/>
          <w:numId w:val="40"/>
        </w:numPr>
      </w:pPr>
      <w:r>
        <w:t xml:space="preserve">The summaries that will be presented, such as overall, by drug relationship, </w:t>
      </w:r>
      <w:r w:rsidR="00686080">
        <w:t xml:space="preserve">by </w:t>
      </w:r>
      <w:r>
        <w:t xml:space="preserve">intensity/grade, by special interest, </w:t>
      </w:r>
      <w:r w:rsidR="00686080">
        <w:t xml:space="preserve">or </w:t>
      </w:r>
      <w:r>
        <w:t xml:space="preserve">by study period, and </w:t>
      </w:r>
      <w:r w:rsidR="00686080">
        <w:t xml:space="preserve">with </w:t>
      </w:r>
      <w:r>
        <w:t xml:space="preserve">reported terms </w:t>
      </w:r>
      <w:r w:rsidR="00686080">
        <w:t xml:space="preserve">being mapped </w:t>
      </w:r>
      <w:r>
        <w:t>to preferred terms</w:t>
      </w:r>
      <w:r w:rsidR="00686080">
        <w:t xml:space="preserve"> according to dictionary.</w:t>
      </w:r>
    </w:p>
    <w:p w14:paraId="500B8E77" w14:textId="04C91A58" w:rsidR="00D87DCB" w:rsidRDefault="00D87DCB" w:rsidP="00D65B50">
      <w:pPr>
        <w:pStyle w:val="CPTInstructional"/>
        <w:numPr>
          <w:ilvl w:val="0"/>
          <w:numId w:val="40"/>
        </w:numPr>
      </w:pPr>
      <w:r>
        <w:t>Methods to be used for analysis of AEs such as relative risk, exposure-adjusted incidence rate</w:t>
      </w:r>
      <w:r w:rsidR="00686080">
        <w:t>.</w:t>
      </w:r>
    </w:p>
    <w:p w14:paraId="6665582D" w14:textId="46749E20" w:rsidR="00D87DCB" w:rsidRDefault="00D87DCB" w:rsidP="00D65B50">
      <w:pPr>
        <w:pStyle w:val="CPTInstructional"/>
        <w:numPr>
          <w:ilvl w:val="0"/>
          <w:numId w:val="40"/>
        </w:numPr>
      </w:pPr>
      <w:r>
        <w:t>Details on how treatment-emergent AEs are defined</w:t>
      </w:r>
      <w:r w:rsidR="00686080">
        <w:t>.</w:t>
      </w:r>
    </w:p>
    <w:p w14:paraId="58F4943B" w14:textId="02E307A6" w:rsidR="00D87DCB" w:rsidRDefault="00D87DCB" w:rsidP="00D65B50">
      <w:pPr>
        <w:pStyle w:val="CPTInstructional"/>
        <w:numPr>
          <w:ilvl w:val="0"/>
          <w:numId w:val="40"/>
        </w:numPr>
      </w:pPr>
      <w:r>
        <w:lastRenderedPageBreak/>
        <w:t>Descri</w:t>
      </w:r>
      <w:r w:rsidR="00686080">
        <w:t>ption of</w:t>
      </w:r>
      <w:r>
        <w:t xml:space="preserve"> whether counts (proportions) of participants and/or counts (rates) of events will be summarized</w:t>
      </w:r>
      <w:r w:rsidR="00686080">
        <w:t>.</w:t>
      </w:r>
    </w:p>
    <w:p w14:paraId="39E78C20" w14:textId="2E238298" w:rsidR="00D87DCB" w:rsidRDefault="00D87DCB" w:rsidP="00D65B50">
      <w:pPr>
        <w:pStyle w:val="CPTInstructional"/>
        <w:numPr>
          <w:ilvl w:val="0"/>
          <w:numId w:val="40"/>
        </w:numPr>
      </w:pPr>
      <w:r>
        <w:t>Presentation of AEs from coding, such as summariz</w:t>
      </w:r>
      <w:r w:rsidR="00CB2B8C">
        <w:t>ing</w:t>
      </w:r>
      <w:r>
        <w:t xml:space="preserve"> by primary system organ class and preferred term</w:t>
      </w:r>
      <w:r w:rsidR="00686080">
        <w:t>.</w:t>
      </w:r>
    </w:p>
    <w:p w14:paraId="78C3DA7E" w14:textId="77777777" w:rsidR="000E7A2D" w:rsidRDefault="000E7A2D" w:rsidP="00D65B50">
      <w:pPr>
        <w:pStyle w:val="CPTInstructional"/>
        <w:numPr>
          <w:ilvl w:val="0"/>
          <w:numId w:val="40"/>
        </w:numPr>
      </w:pPr>
      <w:r>
        <w:t xml:space="preserve">Presentation of fatal serious AEs (SAEs) and nonfatal SAEs. </w:t>
      </w:r>
    </w:p>
    <w:p w14:paraId="0CA204EB" w14:textId="77777777" w:rsidR="000E7A2D" w:rsidRDefault="000E7A2D" w:rsidP="00D65B50">
      <w:pPr>
        <w:pStyle w:val="CPTInstructional"/>
        <w:numPr>
          <w:ilvl w:val="0"/>
          <w:numId w:val="40"/>
        </w:numPr>
      </w:pPr>
      <w:r>
        <w:t xml:space="preserve">Presentation of AEs leading to discontinuation of treatment and/or withdrawal from the study. </w:t>
      </w:r>
    </w:p>
    <w:p w14:paraId="3EA369A3" w14:textId="0F07F9C7" w:rsidR="000E7A2D" w:rsidRDefault="000E7A2D" w:rsidP="00D65B50">
      <w:pPr>
        <w:pStyle w:val="CPTInstructional"/>
        <w:numPr>
          <w:ilvl w:val="0"/>
          <w:numId w:val="40"/>
        </w:numPr>
      </w:pPr>
      <w:r>
        <w:t xml:space="preserve">Presentation of other significant AEs, if applicable. </w:t>
      </w:r>
    </w:p>
    <w:p w14:paraId="40060A47" w14:textId="18499311" w:rsidR="00DD30CB" w:rsidRPr="00222341" w:rsidRDefault="00F4000B" w:rsidP="00222341">
      <w:pPr>
        <w:rPr>
          <w:i/>
          <w:color w:val="00B050"/>
        </w:rPr>
      </w:pPr>
      <w:r w:rsidRPr="00222341">
        <w:rPr>
          <w:i/>
          <w:color w:val="00B050"/>
        </w:rPr>
        <w:t>&lt;Start of example text&gt;</w:t>
      </w:r>
    </w:p>
    <w:p w14:paraId="2E2E50AB" w14:textId="77777777" w:rsidR="00F4000B" w:rsidRPr="00523EE9" w:rsidRDefault="00F4000B" w:rsidP="00F4000B">
      <w:r w:rsidRPr="0006328B">
        <w:rPr>
          <w:i/>
          <w:iCs/>
          <w:color w:val="00B050"/>
        </w:rPr>
        <w:t>The verbatim terms used in the CRF by investigators in the platform study to identify adverse events will be coded using the Medical Dictionary for Regulatory Activities</w:t>
      </w:r>
      <w:r w:rsidRPr="00523EE9">
        <w:t xml:space="preserve"> </w:t>
      </w:r>
      <w:r w:rsidRPr="0006328B">
        <w:rPr>
          <w:i/>
          <w:iCs/>
          <w:color w:val="00B050"/>
        </w:rPr>
        <w:t>(MedDRA)</w:t>
      </w:r>
      <w:r w:rsidRPr="00523EE9">
        <w:t xml:space="preserve">. </w:t>
      </w:r>
      <w:r w:rsidRPr="0006328B">
        <w:rPr>
          <w:i/>
          <w:iCs/>
          <w:color w:val="00B050"/>
        </w:rPr>
        <w:t>Intervention-emergent adverse events are adverse events with onset during the</w:t>
      </w:r>
      <w:r w:rsidRPr="00523EE9">
        <w:t xml:space="preserve"> [</w:t>
      </w:r>
      <w:r w:rsidRPr="0006328B">
        <w:rPr>
          <w:rStyle w:val="CPTVariable"/>
          <w:i/>
          <w:iCs/>
        </w:rPr>
        <w:t>lead-in, intervention, follow-up</w:t>
      </w:r>
      <w:r w:rsidRPr="00523EE9">
        <w:t xml:space="preserve">] </w:t>
      </w:r>
      <w:r w:rsidRPr="0006328B">
        <w:rPr>
          <w:i/>
          <w:iCs/>
          <w:color w:val="00B050"/>
        </w:rPr>
        <w:t>phase or that are a consequence of a pre-existing condition that has worsened since baseline. All reported adverse events will be included in the analysis. For each adverse event, the number</w:t>
      </w:r>
      <w:r w:rsidRPr="00523EE9">
        <w:t xml:space="preserve"> </w:t>
      </w:r>
      <w:r w:rsidRPr="0006328B">
        <w:rPr>
          <w:i/>
          <w:iCs/>
          <w:color w:val="00B050"/>
        </w:rPr>
        <w:t>(percentage) of participants who experience at least 1 occurrence of the given event will be summarized by intervention arm. AEs of special interest to any specific study intervention will be evaluated.</w:t>
      </w:r>
      <w:r w:rsidRPr="0006328B">
        <w:rPr>
          <w:color w:val="00B050"/>
        </w:rPr>
        <w:t xml:space="preserve"> </w:t>
      </w:r>
    </w:p>
    <w:p w14:paraId="41D96B64" w14:textId="77777777" w:rsidR="00F4000B" w:rsidRPr="0006328B" w:rsidRDefault="00F4000B" w:rsidP="00F4000B">
      <w:pPr>
        <w:rPr>
          <w:i/>
          <w:iCs/>
        </w:rPr>
      </w:pPr>
      <w:r w:rsidRPr="0006328B">
        <w:rPr>
          <w:i/>
          <w:iCs/>
          <w:color w:val="00B050"/>
        </w:rPr>
        <w:t xml:space="preserve">Summaries, listings, datasets, or participant narratives may be provided, as appropriate, for those participants who die, who discontinue intervention due to an adverse event, or who experience a severe or a serious adverse event. </w:t>
      </w:r>
    </w:p>
    <w:p w14:paraId="599BA860" w14:textId="7506DFF5" w:rsidR="00F4000B" w:rsidRDefault="00F4000B" w:rsidP="00F4000B">
      <w:pPr>
        <w:pStyle w:val="CPTInstructional"/>
        <w:rPr>
          <w:sz w:val="24"/>
        </w:rPr>
      </w:pPr>
      <w:r w:rsidRPr="00114417">
        <w:rPr>
          <w:color w:val="0070C0"/>
          <w:sz w:val="24"/>
        </w:rPr>
        <w:t>[</w:t>
      </w:r>
      <w:r w:rsidRPr="00114417">
        <w:rPr>
          <w:rStyle w:val="CPTVariable"/>
          <w:i/>
          <w:iCs/>
          <w:sz w:val="24"/>
        </w:rPr>
        <w:t>Parameters with predefined National Cancer Institute Common Terminology Criteria for Adverse Events (NCI-CTCAE) toxicity grades will be summarized. Change from baseline to the worst adverse event grade experienced by the participant during the study will be provided as shift tables.</w:t>
      </w:r>
      <w:r w:rsidRPr="00114417">
        <w:rPr>
          <w:i/>
          <w:iCs/>
          <w:color w:val="0070C0"/>
          <w:sz w:val="24"/>
        </w:rPr>
        <w:t>]</w:t>
      </w:r>
    </w:p>
    <w:p w14:paraId="74FF1563" w14:textId="7B2F332E" w:rsidR="00F4000B" w:rsidRPr="00222341" w:rsidRDefault="00F4000B" w:rsidP="00222341">
      <w:pPr>
        <w:rPr>
          <w:i/>
          <w:color w:val="00B050"/>
        </w:rPr>
      </w:pPr>
      <w:r w:rsidRPr="00222341">
        <w:rPr>
          <w:i/>
          <w:color w:val="00B050"/>
        </w:rPr>
        <w:t>&lt;End of example text&gt;</w:t>
      </w:r>
    </w:p>
    <w:p w14:paraId="00D12B60" w14:textId="77777777" w:rsidR="00EA3E2B" w:rsidRPr="00D96B46" w:rsidRDefault="00EA3E2B" w:rsidP="00EA3E2B">
      <w:pPr>
        <w:pStyle w:val="Heading3"/>
        <w:keepLines/>
        <w:tabs>
          <w:tab w:val="clear" w:pos="1080"/>
          <w:tab w:val="num" w:pos="902"/>
        </w:tabs>
        <w:spacing w:before="216" w:line="374" w:lineRule="exact"/>
        <w:ind w:left="902" w:hanging="902"/>
      </w:pPr>
      <w:bookmarkStart w:id="152" w:name="_Toc52192306"/>
      <w:r>
        <w:t>Additional Safety Assessments (if applicable)</w:t>
      </w:r>
      <w:bookmarkEnd w:id="148"/>
      <w:bookmarkEnd w:id="149"/>
      <w:bookmarkEnd w:id="150"/>
      <w:bookmarkEnd w:id="151"/>
      <w:bookmarkEnd w:id="152"/>
    </w:p>
    <w:p w14:paraId="7379C4A2" w14:textId="75FA551A" w:rsidR="00EA3E2B" w:rsidRDefault="00D87DCB" w:rsidP="00300706">
      <w:pPr>
        <w:pStyle w:val="CPTInstructional"/>
        <w:numPr>
          <w:ilvl w:val="0"/>
          <w:numId w:val="56"/>
        </w:numPr>
      </w:pPr>
      <w:r>
        <w:t>Add other sections such as Laboratory Data, Vital Signs, and ECGs, if applicable to the study. Delete this section</w:t>
      </w:r>
      <w:r w:rsidR="000E7A2D">
        <w:t>,</w:t>
      </w:r>
      <w:r>
        <w:t xml:space="preserve"> if it is not applicable.</w:t>
      </w:r>
    </w:p>
    <w:p w14:paraId="1F9FC1B4" w14:textId="5C9738C3" w:rsidR="00F4000B" w:rsidRDefault="00F4000B" w:rsidP="00F4000B">
      <w:pPr>
        <w:pStyle w:val="Heading4"/>
      </w:pPr>
      <w:r>
        <w:t>Clinical Laboratory Tests</w:t>
      </w:r>
    </w:p>
    <w:p w14:paraId="31BC822C" w14:textId="77777777" w:rsidR="00F10F23" w:rsidRPr="00C20FB7" w:rsidRDefault="00F10F23" w:rsidP="00C20FB7">
      <w:pPr>
        <w:rPr>
          <w:i/>
          <w:color w:val="00B050"/>
        </w:rPr>
      </w:pPr>
      <w:r w:rsidRPr="00C20FB7">
        <w:rPr>
          <w:i/>
          <w:color w:val="00B050"/>
        </w:rPr>
        <w:t>&lt;Start of example text&gt;</w:t>
      </w:r>
    </w:p>
    <w:p w14:paraId="3158E0B5" w14:textId="448715EE" w:rsidR="00F10F23" w:rsidRPr="00114417" w:rsidRDefault="00F10F23" w:rsidP="004652FB">
      <w:pPr>
        <w:jc w:val="both"/>
        <w:rPr>
          <w:i/>
          <w:iCs/>
        </w:rPr>
      </w:pPr>
      <w:r w:rsidRPr="00114417">
        <w:rPr>
          <w:i/>
          <w:iCs/>
          <w:color w:val="00B050"/>
        </w:rPr>
        <w:t xml:space="preserve">Laboratory data will be summarized by type of laboratory test. Reference ranges will be used in the summary of laboratory data. Descriptive statistics will be calculated for each laboratory test at baseline and for observed values and changes from baseline at each scheduled time point. Results will be presented in pre- versus post-intervention cross-tabulations (with classes for below, within, and above normal ranges). Frequency tabulations of the abnormalities will be made. A listing of participants with any laboratory results outside the reference ranges will be provided.  </w:t>
      </w:r>
    </w:p>
    <w:p w14:paraId="508F7CE1" w14:textId="6A2DA65E" w:rsidR="00F4000B" w:rsidRPr="00523EE9" w:rsidRDefault="00F10F23" w:rsidP="004652FB">
      <w:pPr>
        <w:jc w:val="both"/>
      </w:pPr>
      <w:r w:rsidRPr="00523EE9">
        <w:t>[</w:t>
      </w:r>
      <w:r w:rsidRPr="00114417">
        <w:rPr>
          <w:rStyle w:val="CPTVariable"/>
          <w:i/>
          <w:iCs/>
        </w:rPr>
        <w:t>The laboratory abnormalities will be determined according to the criteria specified in the DAIDS Toxicity Grading Scale3 and in accordance with the normal ranges of the clinical laboratory if no gradings are available</w:t>
      </w:r>
      <w:r w:rsidRPr="00114417">
        <w:rPr>
          <w:i/>
          <w:iCs/>
        </w:rPr>
        <w:t>.]</w:t>
      </w:r>
    </w:p>
    <w:p w14:paraId="745448B3" w14:textId="2D1D2D66" w:rsidR="00095608" w:rsidRPr="00114417" w:rsidRDefault="00095608" w:rsidP="00F10F23">
      <w:pPr>
        <w:rPr>
          <w:i/>
          <w:iCs/>
        </w:rPr>
      </w:pPr>
      <w:r w:rsidRPr="00114417">
        <w:rPr>
          <w:i/>
          <w:iCs/>
          <w:color w:val="0070C0"/>
        </w:rPr>
        <w:lastRenderedPageBreak/>
        <w:t>[Markedly abnormal laboratory results will be summarized and a listing of participants with any markedly abnormal laboratory results will be provided]</w:t>
      </w:r>
    </w:p>
    <w:p w14:paraId="536371D1" w14:textId="54E25F60" w:rsidR="001A129C" w:rsidRPr="00523EE9" w:rsidRDefault="001A129C" w:rsidP="004B35D8">
      <w:pPr>
        <w:pStyle w:val="CPTInstructional"/>
        <w:rPr>
          <w:color w:val="auto"/>
        </w:rPr>
      </w:pPr>
      <w:r w:rsidRPr="00114417">
        <w:t xml:space="preserve">Any analyses specific to an intervention in the platform study should be described in an appendix to this statistical analysis plan. </w:t>
      </w:r>
    </w:p>
    <w:p w14:paraId="61952000" w14:textId="6711E232" w:rsidR="00F10F23" w:rsidRPr="00C20FB7" w:rsidRDefault="00F10F23" w:rsidP="00C20FB7">
      <w:pPr>
        <w:rPr>
          <w:i/>
          <w:color w:val="00B050"/>
        </w:rPr>
      </w:pPr>
      <w:r w:rsidRPr="00C20FB7">
        <w:rPr>
          <w:i/>
          <w:color w:val="00B050"/>
        </w:rPr>
        <w:t>&lt;End</w:t>
      </w:r>
      <w:r w:rsidR="001A129C" w:rsidRPr="00C20FB7">
        <w:rPr>
          <w:i/>
          <w:color w:val="00B050"/>
        </w:rPr>
        <w:t xml:space="preserve"> </w:t>
      </w:r>
      <w:r w:rsidRPr="00C20FB7">
        <w:rPr>
          <w:i/>
          <w:color w:val="00B050"/>
        </w:rPr>
        <w:t>of example text&gt;</w:t>
      </w:r>
    </w:p>
    <w:p w14:paraId="78D39432" w14:textId="33211322" w:rsidR="00F10F23" w:rsidRPr="00523EE9" w:rsidRDefault="00095608" w:rsidP="00F10F23">
      <w:pPr>
        <w:pStyle w:val="Heading4"/>
      </w:pPr>
      <w:r w:rsidRPr="00523EE9">
        <w:t>Electrocardiogram</w:t>
      </w:r>
    </w:p>
    <w:p w14:paraId="0B6C3B5A" w14:textId="5AF49372" w:rsidR="001A129C" w:rsidRPr="00C20FB7" w:rsidRDefault="001A129C" w:rsidP="00C20FB7">
      <w:pPr>
        <w:rPr>
          <w:i/>
          <w:color w:val="00B050"/>
        </w:rPr>
      </w:pPr>
      <w:r w:rsidRPr="00C20FB7">
        <w:rPr>
          <w:i/>
          <w:color w:val="00B050"/>
        </w:rPr>
        <w:t>&lt;Start of example text&gt;</w:t>
      </w:r>
    </w:p>
    <w:p w14:paraId="79C1A3AF" w14:textId="01C55C22" w:rsidR="001A129C" w:rsidRPr="00114417" w:rsidRDefault="001A129C" w:rsidP="00016337">
      <w:pPr>
        <w:jc w:val="both"/>
        <w:rPr>
          <w:i/>
          <w:iCs/>
          <w:color w:val="00B050"/>
        </w:rPr>
      </w:pPr>
      <w:r w:rsidRPr="00114417">
        <w:rPr>
          <w:i/>
          <w:iCs/>
          <w:color w:val="00B050"/>
        </w:rPr>
        <w:t xml:space="preserve">Electrocardiogram data will be summarized by ECG parameter. Descriptive statistics will be calculated at baseline and for observed values and changes from baseline at each scheduled time point. Frequency tabulations of the abnormalities will be made. </w:t>
      </w:r>
    </w:p>
    <w:p w14:paraId="14B167CA" w14:textId="77777777" w:rsidR="001A129C" w:rsidRPr="00523EE9" w:rsidRDefault="001A129C" w:rsidP="00016337">
      <w:pPr>
        <w:jc w:val="both"/>
      </w:pPr>
      <w:r w:rsidRPr="00114417">
        <w:rPr>
          <w:i/>
          <w:iCs/>
          <w:color w:val="00B050"/>
        </w:rPr>
        <w:t xml:space="preserve">The ECG variables that will be analyzed are heart rate, PR interval, QRS interval, QT interval, and corrected QT (QTc) interval using the following correction method: </w:t>
      </w:r>
      <w:r w:rsidRPr="00523EE9">
        <w:t>[</w:t>
      </w:r>
      <w:r w:rsidRPr="00114417">
        <w:rPr>
          <w:rStyle w:val="CPTVariable"/>
          <w:i/>
          <w:iCs/>
        </w:rPr>
        <w:t>QT corrected according to Bazett's formula (QTcB), QT corrected according to Fridericia's formula (QTcF)</w:t>
      </w:r>
      <w:r w:rsidRPr="00523EE9">
        <w:rPr>
          <w:rStyle w:val="CPTVariable"/>
        </w:rPr>
        <w:t>.</w:t>
      </w:r>
      <w:r w:rsidRPr="00523EE9">
        <w:t xml:space="preserve">]  </w:t>
      </w:r>
    </w:p>
    <w:p w14:paraId="74E7638E" w14:textId="77777777" w:rsidR="001A129C" w:rsidRPr="00523EE9" w:rsidRDefault="001A129C" w:rsidP="00016337">
      <w:pPr>
        <w:jc w:val="both"/>
      </w:pPr>
      <w:r w:rsidRPr="00523EE9">
        <w:t>[</w:t>
      </w:r>
      <w:r w:rsidRPr="00114417">
        <w:rPr>
          <w:rStyle w:val="CPTVariable"/>
          <w:i/>
          <w:iCs/>
        </w:rPr>
        <w:t>Descriptive statistics of QTc intervals and changes from baseline will be summarized at each scheduled time point. The number (percentage) of participants with QTc interval &gt;450 milliseconds, &gt;480 milliseconds, or &gt;500 milliseconds will be summarized, as will the number (percentage) of participants with QTc interval increases from baseline &gt;30 milliseconds or &gt;60 milliseconds.</w:t>
      </w:r>
      <w:r w:rsidRPr="00114417">
        <w:rPr>
          <w:i/>
          <w:iCs/>
          <w:color w:val="0070C0"/>
        </w:rPr>
        <w:t>]</w:t>
      </w:r>
      <w:r w:rsidRPr="00114417">
        <w:rPr>
          <w:color w:val="0070C0"/>
        </w:rPr>
        <w:t xml:space="preserve"> </w:t>
      </w:r>
    </w:p>
    <w:p w14:paraId="6BE3411C" w14:textId="01BD6A74" w:rsidR="001A129C" w:rsidRPr="00114417" w:rsidRDefault="001A129C" w:rsidP="00016337">
      <w:pPr>
        <w:pStyle w:val="CPTInstructional"/>
      </w:pPr>
      <w:r w:rsidRPr="00114417">
        <w:t xml:space="preserve">Any analyses specific to an intervention in the platform study should be described in an appendix to this statistical analysis plan. </w:t>
      </w:r>
    </w:p>
    <w:p w14:paraId="5E75FB6D" w14:textId="560B10BB" w:rsidR="001A129C" w:rsidRPr="00C20FB7" w:rsidRDefault="001A129C" w:rsidP="00C20FB7">
      <w:pPr>
        <w:rPr>
          <w:i/>
          <w:color w:val="00B050"/>
        </w:rPr>
      </w:pPr>
      <w:r w:rsidRPr="00C20FB7">
        <w:rPr>
          <w:i/>
          <w:color w:val="00B050"/>
        </w:rPr>
        <w:t>&lt;End of example text&gt;</w:t>
      </w:r>
    </w:p>
    <w:p w14:paraId="16E7DA8B" w14:textId="6AEF9692" w:rsidR="001A129C" w:rsidRPr="00523EE9" w:rsidRDefault="004B35D8" w:rsidP="004B35D8">
      <w:pPr>
        <w:pStyle w:val="Heading4"/>
      </w:pPr>
      <w:r w:rsidRPr="00523EE9">
        <w:t>Vital Signs</w:t>
      </w:r>
    </w:p>
    <w:p w14:paraId="47B9D52E" w14:textId="77777777" w:rsidR="004B35D8" w:rsidRPr="00C20FB7" w:rsidRDefault="004B35D8" w:rsidP="00C20FB7">
      <w:pPr>
        <w:rPr>
          <w:i/>
          <w:color w:val="00B050"/>
        </w:rPr>
      </w:pPr>
      <w:r w:rsidRPr="00C20FB7">
        <w:rPr>
          <w:i/>
          <w:color w:val="00B050"/>
        </w:rPr>
        <w:t>&lt;Start of example text&gt;</w:t>
      </w:r>
    </w:p>
    <w:p w14:paraId="0FDAAE0A" w14:textId="77777777" w:rsidR="004B35D8" w:rsidRPr="00523EE9" w:rsidRDefault="004B35D8" w:rsidP="004B35D8">
      <w:pPr>
        <w:jc w:val="both"/>
      </w:pPr>
      <w:r w:rsidRPr="00114417">
        <w:rPr>
          <w:i/>
          <w:iCs/>
          <w:color w:val="00B050"/>
        </w:rPr>
        <w:t>Descriptive statistics of</w:t>
      </w:r>
      <w:r w:rsidRPr="00114417">
        <w:rPr>
          <w:color w:val="00B050"/>
        </w:rPr>
        <w:t xml:space="preserve"> </w:t>
      </w:r>
      <w:r w:rsidRPr="00523EE9">
        <w:t>[</w:t>
      </w:r>
      <w:r w:rsidRPr="00114417">
        <w:rPr>
          <w:rStyle w:val="CPTVariable"/>
          <w:i/>
          <w:iCs/>
        </w:rPr>
        <w:t>temperature, pulse/heart rate, respiratory rate, and blood pressure (systolic and diastolic)</w:t>
      </w:r>
      <w:r w:rsidRPr="00523EE9">
        <w:t xml:space="preserve">] </w:t>
      </w:r>
      <w:r w:rsidRPr="00114417">
        <w:rPr>
          <w:i/>
          <w:iCs/>
          <w:color w:val="00B050"/>
        </w:rPr>
        <w:t xml:space="preserve">values and changes from baseline will be summarized at each scheduled time point. The number (percentage) of participants with values beyond clinically important limits will be summarized. </w:t>
      </w:r>
    </w:p>
    <w:p w14:paraId="047053DB" w14:textId="29C79909" w:rsidR="004B35D8" w:rsidRPr="00523EE9" w:rsidRDefault="004B35D8" w:rsidP="004B35D8">
      <w:pPr>
        <w:jc w:val="both"/>
      </w:pPr>
      <w:r w:rsidRPr="00523EE9">
        <w:t>Any analyses specific to an intervention in the platform study should be described in an appendix to this statistical analysis plan.</w:t>
      </w:r>
    </w:p>
    <w:p w14:paraId="55CA7A7F" w14:textId="5329569F" w:rsidR="004B35D8" w:rsidRPr="00C20FB7" w:rsidRDefault="004B35D8" w:rsidP="00C20FB7">
      <w:pPr>
        <w:rPr>
          <w:i/>
          <w:color w:val="00B050"/>
        </w:rPr>
      </w:pPr>
      <w:r w:rsidRPr="00C20FB7">
        <w:rPr>
          <w:i/>
          <w:color w:val="00B050"/>
        </w:rPr>
        <w:t>&lt;End of example text&gt;</w:t>
      </w:r>
    </w:p>
    <w:p w14:paraId="4FA9E0C6" w14:textId="56E2ACF9" w:rsidR="00695908" w:rsidRPr="00523EE9" w:rsidRDefault="00695908" w:rsidP="00695908">
      <w:pPr>
        <w:pStyle w:val="Heading4"/>
      </w:pPr>
      <w:r w:rsidRPr="00523EE9">
        <w:t>Physical Examination</w:t>
      </w:r>
    </w:p>
    <w:p w14:paraId="0B03FADE" w14:textId="17C3C5FA" w:rsidR="00695908" w:rsidRPr="00523EE9" w:rsidRDefault="00695908" w:rsidP="00695908">
      <w:pPr>
        <w:rPr>
          <w:i/>
        </w:rPr>
      </w:pPr>
      <w:r w:rsidRPr="00114417">
        <w:rPr>
          <w:i/>
          <w:color w:val="00B050"/>
        </w:rPr>
        <w:t>&lt;Start of example text&gt;</w:t>
      </w:r>
    </w:p>
    <w:p w14:paraId="49050B5D" w14:textId="774AC8BD" w:rsidR="00695908" w:rsidRPr="00114417" w:rsidRDefault="00695908" w:rsidP="00695908">
      <w:pPr>
        <w:rPr>
          <w:i/>
          <w:iCs/>
          <w:color w:val="00B050"/>
        </w:rPr>
      </w:pPr>
      <w:r w:rsidRPr="00114417">
        <w:rPr>
          <w:i/>
          <w:iCs/>
          <w:color w:val="00B050"/>
        </w:rPr>
        <w:t xml:space="preserve">Physical examination results and findings will be summarized. </w:t>
      </w:r>
    </w:p>
    <w:p w14:paraId="6191D450" w14:textId="0E9E5AAB" w:rsidR="00695908" w:rsidRPr="00523EE9" w:rsidRDefault="00695908" w:rsidP="00695908">
      <w:pPr>
        <w:pStyle w:val="CPTInstructional"/>
        <w:rPr>
          <w:color w:val="000000" w:themeColor="text1"/>
        </w:rPr>
      </w:pPr>
      <w:r w:rsidRPr="00114417">
        <w:t xml:space="preserve">Any analyses specific to an intervention in the platform study should be described in an appendix to this statistical analysis plan. </w:t>
      </w:r>
    </w:p>
    <w:p w14:paraId="51129E34" w14:textId="64CD9183" w:rsidR="00695908" w:rsidRPr="00523EE9" w:rsidRDefault="00695908" w:rsidP="00695908">
      <w:pPr>
        <w:rPr>
          <w:i/>
        </w:rPr>
      </w:pPr>
      <w:r w:rsidRPr="00114417">
        <w:rPr>
          <w:i/>
          <w:color w:val="00B050"/>
        </w:rPr>
        <w:t>&lt;End of example text&gt;</w:t>
      </w:r>
    </w:p>
    <w:p w14:paraId="3D544414" w14:textId="70DECDFD" w:rsidR="00695908" w:rsidRDefault="00695908" w:rsidP="00695908">
      <w:pPr>
        <w:pStyle w:val="Heading4"/>
      </w:pPr>
      <w:r w:rsidRPr="00523EE9">
        <w:lastRenderedPageBreak/>
        <w:t xml:space="preserve">Suicidal </w:t>
      </w:r>
      <w:r w:rsidR="008A15ED">
        <w:t xml:space="preserve">Ideation </w:t>
      </w:r>
      <w:r w:rsidRPr="00523EE9">
        <w:t>and Behavior Risk Monitoring</w:t>
      </w:r>
    </w:p>
    <w:p w14:paraId="2E915EC5" w14:textId="71307C1D" w:rsidR="00C20FB7" w:rsidRPr="00C20FB7" w:rsidRDefault="00C20FB7" w:rsidP="00C20FB7">
      <w:pPr>
        <w:pStyle w:val="CPTInstructional"/>
        <w:rPr>
          <w:lang w:eastAsia="ja-JP"/>
        </w:rPr>
      </w:pPr>
      <w:r w:rsidRPr="6E66B177">
        <w:rPr>
          <w:lang w:eastAsia="ja-JP"/>
        </w:rPr>
        <w:t>This subsection should only be retained in those master protocols where this assessment is actually being performed.  If it is not being performed, the header can be removed</w:t>
      </w:r>
      <w:r w:rsidR="28BF2888" w:rsidRPr="6E66B177">
        <w:rPr>
          <w:lang w:eastAsia="ja-JP"/>
        </w:rPr>
        <w:t>.</w:t>
      </w:r>
    </w:p>
    <w:p w14:paraId="47F44468" w14:textId="5AF6EB1A" w:rsidR="00016337" w:rsidRPr="00C20FB7" w:rsidRDefault="00016337" w:rsidP="00016337">
      <w:pPr>
        <w:rPr>
          <w:i/>
          <w:color w:val="00B050"/>
        </w:rPr>
      </w:pPr>
      <w:r w:rsidRPr="00C20FB7">
        <w:rPr>
          <w:i/>
          <w:color w:val="00B050"/>
        </w:rPr>
        <w:t>&lt;Start of example text&gt;</w:t>
      </w:r>
    </w:p>
    <w:p w14:paraId="392A9BEE" w14:textId="77777777" w:rsidR="00016337" w:rsidRPr="00523EE9" w:rsidRDefault="00016337" w:rsidP="00016337">
      <w:r w:rsidRPr="00523EE9">
        <w:t>[</w:t>
      </w:r>
      <w:r w:rsidRPr="00523EE9">
        <w:rPr>
          <w:rStyle w:val="CPTVariable"/>
        </w:rPr>
        <w:t>Columbia Suicide Severity Rating scale (C-SSRS) data from subjects with suicidal ideation or behavior at any time during the study will be summarized</w:t>
      </w:r>
      <w:r w:rsidRPr="00523EE9">
        <w:t xml:space="preserve">.]   </w:t>
      </w:r>
    </w:p>
    <w:p w14:paraId="32ACCF41" w14:textId="77777777" w:rsidR="00016337" w:rsidRPr="00523EE9" w:rsidRDefault="00016337" w:rsidP="00016337">
      <w:pPr>
        <w:pStyle w:val="CPTInstructional"/>
      </w:pPr>
      <w:r w:rsidRPr="00523EE9">
        <w:t xml:space="preserve">Any analyses specific to an intervention in the platform study should be described in the ISA. </w:t>
      </w:r>
    </w:p>
    <w:p w14:paraId="4DA63CA1" w14:textId="2A97C9A1" w:rsidR="00016337" w:rsidRPr="00C20FB7" w:rsidDel="00573EC0" w:rsidRDefault="00016337" w:rsidP="00016337">
      <w:pPr>
        <w:rPr>
          <w:color w:val="00B050"/>
          <w:lang w:eastAsia="ja-JP"/>
        </w:rPr>
      </w:pPr>
      <w:r w:rsidRPr="00C20FB7">
        <w:rPr>
          <w:color w:val="00B050"/>
        </w:rPr>
        <w:t>&lt;</w:t>
      </w:r>
      <w:r w:rsidRPr="00C20FB7">
        <w:rPr>
          <w:i/>
          <w:color w:val="00B050"/>
        </w:rPr>
        <w:t>End of suggested text</w:t>
      </w:r>
      <w:r w:rsidRPr="00C20FB7">
        <w:rPr>
          <w:color w:val="00B050"/>
        </w:rPr>
        <w:t>&gt;</w:t>
      </w:r>
    </w:p>
    <w:p w14:paraId="217974FD" w14:textId="0ADB0CAE" w:rsidR="00EA3E2B" w:rsidRPr="00523EE9" w:rsidRDefault="00EA3E2B" w:rsidP="00EA3E2B">
      <w:pPr>
        <w:pStyle w:val="Heading2"/>
      </w:pPr>
      <w:bookmarkStart w:id="153" w:name="_Toc518466180"/>
      <w:bookmarkStart w:id="154" w:name="_Toc518655992"/>
      <w:bookmarkStart w:id="155" w:name="_Toc521400484"/>
      <w:bookmarkStart w:id="156" w:name="_Toc52192307"/>
      <w:r w:rsidRPr="00523EE9">
        <w:t>Other Analyses</w:t>
      </w:r>
      <w:bookmarkEnd w:id="153"/>
      <w:bookmarkEnd w:id="154"/>
      <w:bookmarkEnd w:id="155"/>
      <w:bookmarkEnd w:id="156"/>
    </w:p>
    <w:p w14:paraId="3188FC55" w14:textId="57AC6455" w:rsidR="00F60005" w:rsidRDefault="00D87DCB" w:rsidP="00F60005">
      <w:pPr>
        <w:pStyle w:val="CPTInstructional"/>
      </w:pPr>
      <w:r>
        <w:t xml:space="preserve">This information will be </w:t>
      </w:r>
      <w:r w:rsidR="00C20FB7">
        <w:t>taken</w:t>
      </w:r>
      <w:r>
        <w:t xml:space="preserve"> from the Other Analyses section of the protocol (Section 9.3.6). Additional details may be added.</w:t>
      </w:r>
    </w:p>
    <w:p w14:paraId="456FE59D" w14:textId="07F973CB" w:rsidR="00EA3E2B" w:rsidRPr="002C0646" w:rsidRDefault="00EA3E2B" w:rsidP="00EA3E2B">
      <w:pPr>
        <w:pStyle w:val="Heading3"/>
        <w:keepLines/>
        <w:tabs>
          <w:tab w:val="clear" w:pos="1080"/>
          <w:tab w:val="num" w:pos="902"/>
        </w:tabs>
        <w:spacing w:before="216" w:line="374" w:lineRule="exact"/>
        <w:ind w:left="902" w:hanging="902"/>
      </w:pPr>
      <w:bookmarkStart w:id="157" w:name="_Toc518466181"/>
      <w:bookmarkStart w:id="158" w:name="_Toc518655993"/>
      <w:bookmarkStart w:id="159" w:name="_Toc521400485"/>
      <w:bookmarkStart w:id="160" w:name="_Toc52192308"/>
      <w:r>
        <w:t xml:space="preserve">Other </w:t>
      </w:r>
      <w:r w:rsidR="0056311C">
        <w:t>V</w:t>
      </w:r>
      <w:r>
        <w:t xml:space="preserve">ariables and/or </w:t>
      </w:r>
      <w:r w:rsidR="0056311C">
        <w:t>P</w:t>
      </w:r>
      <w:r>
        <w:t>arameters</w:t>
      </w:r>
      <w:bookmarkEnd w:id="157"/>
      <w:bookmarkEnd w:id="158"/>
      <w:bookmarkEnd w:id="159"/>
      <w:bookmarkEnd w:id="160"/>
    </w:p>
    <w:p w14:paraId="5AA5138D" w14:textId="22858276" w:rsidR="00D87DCB" w:rsidRDefault="00D87DCB" w:rsidP="00D87DCB">
      <w:pPr>
        <w:pStyle w:val="CPTInstructional"/>
      </w:pPr>
      <w:bookmarkStart w:id="161" w:name="_Toc518466182"/>
      <w:bookmarkStart w:id="162" w:name="_Toc518655994"/>
      <w:bookmarkStart w:id="163" w:name="_Toc521400486"/>
      <w:r>
        <w:t>Other analyses may include analyses of assessments or derived parameters, which are not defined as endpoints but need to be prespecified in either the</w:t>
      </w:r>
      <w:r w:rsidR="000E7A2D">
        <w:t xml:space="preserve"> protocol</w:t>
      </w:r>
      <w:r>
        <w:t xml:space="preserve"> or </w:t>
      </w:r>
      <w:r w:rsidR="000E7A2D">
        <w:t xml:space="preserve">the </w:t>
      </w:r>
      <w:r>
        <w:t>SAP. Examples include but are not limited to: immunogenicity, biomarkers, PK/PD/population PK parameters, health care utilization variables, and health technology assessment-related variables.</w:t>
      </w:r>
    </w:p>
    <w:p w14:paraId="09EBFA91" w14:textId="77777777" w:rsidR="00D87DCB" w:rsidRDefault="00D87DCB" w:rsidP="00D87DCB">
      <w:pPr>
        <w:pStyle w:val="CPTInstructional"/>
      </w:pPr>
      <w:r>
        <w:t>Subsections may be used for different topics.</w:t>
      </w:r>
    </w:p>
    <w:p w14:paraId="7798B290" w14:textId="3969388E" w:rsidR="000E7A2D" w:rsidRDefault="000E7A2D" w:rsidP="000E7A2D">
      <w:pPr>
        <w:pStyle w:val="CPTInstructional"/>
      </w:pPr>
      <w:r>
        <w:t xml:space="preserve">It is recommended that the variables used in the analyses should be clearly defined and the analyses should be described at the same level of detail as supportive secondary endpoints being described in, Section </w:t>
      </w:r>
      <w:r w:rsidR="0094429F">
        <w:t>4.3.2</w:t>
      </w:r>
      <w:r>
        <w:t xml:space="preserve"> of the SAP. </w:t>
      </w:r>
    </w:p>
    <w:p w14:paraId="38072710" w14:textId="77777777" w:rsidR="000E7A2D" w:rsidRDefault="000E7A2D" w:rsidP="000E7A2D">
      <w:pPr>
        <w:pStyle w:val="CPTInstructional"/>
      </w:pPr>
      <w:r>
        <w:t>The definition and derivation may be specified in a table format.</w:t>
      </w:r>
    </w:p>
    <w:p w14:paraId="05726842" w14:textId="612301F4" w:rsidR="000E7A2D" w:rsidRDefault="000E7A2D" w:rsidP="000E7A2D">
      <w:pPr>
        <w:pStyle w:val="CPTInstructional"/>
      </w:pPr>
      <w:r>
        <w:t xml:space="preserve">Specify estimands not defined in Section </w:t>
      </w:r>
      <w:r w:rsidR="0094429F">
        <w:t>1.1</w:t>
      </w:r>
      <w:r>
        <w:t xml:space="preserve"> of the SAP, if applicable.</w:t>
      </w:r>
    </w:p>
    <w:p w14:paraId="5FC837C9" w14:textId="2634F7C6" w:rsidR="00EA3E2B" w:rsidRDefault="00EA3E2B" w:rsidP="00EA3E2B">
      <w:pPr>
        <w:pStyle w:val="Heading3"/>
        <w:keepLines/>
        <w:tabs>
          <w:tab w:val="clear" w:pos="1080"/>
          <w:tab w:val="num" w:pos="902"/>
        </w:tabs>
        <w:spacing w:before="216" w:line="374" w:lineRule="exact"/>
        <w:ind w:left="902" w:hanging="902"/>
      </w:pPr>
      <w:bookmarkStart w:id="164" w:name="_Toc52192309"/>
      <w:r>
        <w:t xml:space="preserve">Subgroup </w:t>
      </w:r>
      <w:r w:rsidR="0056311C">
        <w:t>A</w:t>
      </w:r>
      <w:r>
        <w:t>nalyses</w:t>
      </w:r>
      <w:r w:rsidR="0C54ECA5">
        <w:t xml:space="preserve"> </w:t>
      </w:r>
      <w:bookmarkEnd w:id="161"/>
      <w:bookmarkEnd w:id="162"/>
      <w:bookmarkEnd w:id="163"/>
      <w:bookmarkEnd w:id="164"/>
    </w:p>
    <w:p w14:paraId="083383C3" w14:textId="23AA5D25" w:rsidR="00107010" w:rsidRDefault="00107010" w:rsidP="00107010">
      <w:pPr>
        <w:pStyle w:val="CPTInstructional"/>
        <w:rPr>
          <w:lang w:eastAsia="ja-JP"/>
        </w:rPr>
      </w:pPr>
      <w:r>
        <w:rPr>
          <w:lang w:eastAsia="ja-JP"/>
        </w:rPr>
        <w:t xml:space="preserve">Note: Often individual standard clinical studies (excluding large outcomes or safety studies) are not designed to allow for statistically meaningful subgroup analyses </w:t>
      </w:r>
      <w:r w:rsidR="000E7A2D">
        <w:rPr>
          <w:lang w:eastAsia="ja-JP"/>
        </w:rPr>
        <w:t xml:space="preserve">because of </w:t>
      </w:r>
      <w:r>
        <w:rPr>
          <w:lang w:eastAsia="ja-JP"/>
        </w:rPr>
        <w:t xml:space="preserve">too small sample sizes. Also, subgroup analyses are not commonly included in the set of </w:t>
      </w:r>
      <w:r>
        <w:t xml:space="preserve">multiplicity-controlled </w:t>
      </w:r>
      <w:r>
        <w:rPr>
          <w:lang w:eastAsia="ja-JP"/>
        </w:rPr>
        <w:t>analyses and are therefore subject to multiplicity issues.</w:t>
      </w:r>
    </w:p>
    <w:p w14:paraId="3B527814" w14:textId="77777777" w:rsidR="00107010" w:rsidRDefault="00107010" w:rsidP="00107010">
      <w:pPr>
        <w:pStyle w:val="CPTInstructional"/>
        <w:keepNext/>
        <w:rPr>
          <w:lang w:eastAsia="ja-JP"/>
        </w:rPr>
      </w:pPr>
      <w:r>
        <w:rPr>
          <w:lang w:eastAsia="ja-JP"/>
        </w:rPr>
        <w:t>It is recommended to consider addressing the following topics, if applicable:</w:t>
      </w:r>
    </w:p>
    <w:p w14:paraId="585440D5" w14:textId="77777777" w:rsidR="000E7A2D" w:rsidRDefault="000E7A2D" w:rsidP="00D65B50">
      <w:pPr>
        <w:pStyle w:val="CPTInstructional"/>
        <w:keepNext/>
        <w:numPr>
          <w:ilvl w:val="0"/>
          <w:numId w:val="41"/>
        </w:numPr>
      </w:pPr>
      <w:r>
        <w:t>Define the endpoints subject to subgroup analysis – can be for either efficacy and safety, or both.</w:t>
      </w:r>
    </w:p>
    <w:p w14:paraId="33480EE3" w14:textId="77777777" w:rsidR="000E7A2D" w:rsidRDefault="000E7A2D" w:rsidP="00D65B50">
      <w:pPr>
        <w:pStyle w:val="CPTInstructional"/>
        <w:numPr>
          <w:ilvl w:val="0"/>
          <w:numId w:val="41"/>
        </w:numPr>
      </w:pPr>
      <w:r>
        <w:t>Define subgroups (may include stratification factor, if relevant).</w:t>
      </w:r>
    </w:p>
    <w:p w14:paraId="6E6FD654" w14:textId="77777777" w:rsidR="000E7A2D" w:rsidRDefault="000E7A2D" w:rsidP="00D65B50">
      <w:pPr>
        <w:pStyle w:val="CPTInstructional"/>
        <w:numPr>
          <w:ilvl w:val="0"/>
          <w:numId w:val="41"/>
        </w:numPr>
      </w:pPr>
      <w:r>
        <w:t>Provide the purpose (consistency, hypothesis) of each subgroup analysis. The subgroup analyses should preferably be further substantiated, eg, biological plausibility of anticipated differential effect, regulatory/payer requirement.</w:t>
      </w:r>
    </w:p>
    <w:p w14:paraId="537E59BD" w14:textId="77777777" w:rsidR="000E7A2D" w:rsidRDefault="000E7A2D" w:rsidP="00D65B50">
      <w:pPr>
        <w:pStyle w:val="CPTInstructional"/>
        <w:numPr>
          <w:ilvl w:val="0"/>
          <w:numId w:val="41"/>
        </w:numPr>
      </w:pPr>
      <w:r>
        <w:t>Specify any rules to define the minimum size of a subgroup in order to carry out the analysis.</w:t>
      </w:r>
    </w:p>
    <w:p w14:paraId="31458000" w14:textId="77777777" w:rsidR="000E7A2D" w:rsidRDefault="000E7A2D" w:rsidP="00D65B50">
      <w:pPr>
        <w:pStyle w:val="CPTInstructional"/>
        <w:numPr>
          <w:ilvl w:val="0"/>
          <w:numId w:val="41"/>
        </w:numPr>
      </w:pPr>
      <w:r>
        <w:t>Specify analysis sets/estimand, as applicable.</w:t>
      </w:r>
    </w:p>
    <w:p w14:paraId="524C5FC2" w14:textId="77777777" w:rsidR="000E7A2D" w:rsidRDefault="000E7A2D" w:rsidP="00D65B50">
      <w:pPr>
        <w:pStyle w:val="CPTInstructional"/>
        <w:numPr>
          <w:ilvl w:val="0"/>
          <w:numId w:val="41"/>
        </w:numPr>
      </w:pPr>
      <w:r>
        <w:lastRenderedPageBreak/>
        <w:t>Specify the subgroup analysis methods, including how missing data are handled.</w:t>
      </w:r>
    </w:p>
    <w:p w14:paraId="5702748F" w14:textId="77777777" w:rsidR="000E7A2D" w:rsidRDefault="000E7A2D" w:rsidP="00D65B50">
      <w:pPr>
        <w:pStyle w:val="CPTInstructional"/>
        <w:numPr>
          <w:ilvl w:val="0"/>
          <w:numId w:val="41"/>
        </w:numPr>
      </w:pPr>
      <w:r>
        <w:t>Specify the level of significance for the test of the treatment-by-subgroup interaction.</w:t>
      </w:r>
    </w:p>
    <w:p w14:paraId="143E7F0C" w14:textId="77777777" w:rsidR="000E7A2D" w:rsidRDefault="000E7A2D" w:rsidP="00D65B50">
      <w:pPr>
        <w:pStyle w:val="CPTInstructional"/>
        <w:numPr>
          <w:ilvl w:val="0"/>
          <w:numId w:val="41"/>
        </w:numPr>
        <w:rPr>
          <w:rFonts w:eastAsia="Times New Roman" w:cs="Times New Roman"/>
          <w:lang w:eastAsia="ja-JP"/>
        </w:rPr>
      </w:pPr>
      <w:r>
        <w:t>Assess consistency across regions and subpopulation(s) for multi-regional clinical studies, c.f. ICH E17.</w:t>
      </w:r>
    </w:p>
    <w:p w14:paraId="3C9CB4D2" w14:textId="77777777" w:rsidR="000E7A2D" w:rsidRDefault="000E7A2D" w:rsidP="00D65B50">
      <w:pPr>
        <w:pStyle w:val="CPTInstructional"/>
        <w:numPr>
          <w:ilvl w:val="0"/>
          <w:numId w:val="41"/>
        </w:numPr>
        <w:rPr>
          <w:rFonts w:eastAsia="Times New Roman" w:cs="Times New Roman"/>
          <w:lang w:eastAsia="ja-JP"/>
        </w:rPr>
      </w:pPr>
      <w:r>
        <w:t>Describe how results will be presented. It is recommended to focus on estimates and confidence intervals rather than p-values. It is often useful to display the results in a forest plot.</w:t>
      </w:r>
    </w:p>
    <w:p w14:paraId="6B22E323" w14:textId="77777777" w:rsidR="00107010" w:rsidRDefault="00107010" w:rsidP="00107010">
      <w:pPr>
        <w:pStyle w:val="CPTExample"/>
      </w:pPr>
      <w:r>
        <w:t>&lt;Start of example text&gt;</w:t>
      </w:r>
    </w:p>
    <w:p w14:paraId="34709B78" w14:textId="77777777" w:rsidR="00107010" w:rsidRDefault="00107010" w:rsidP="00107010">
      <w:pPr>
        <w:pStyle w:val="CPTExample"/>
      </w:pPr>
      <w:r>
        <w:t xml:space="preserve">Subgroup analyses of the primary endpoint and confirmatory secondary endpoints will be made to assess consistency of the intervention effect across the following subgroups: </w:t>
      </w:r>
    </w:p>
    <w:p w14:paraId="5F0917D8" w14:textId="77777777" w:rsidR="00107010" w:rsidRDefault="00107010" w:rsidP="00D65B50">
      <w:pPr>
        <w:pStyle w:val="CPTExample"/>
        <w:numPr>
          <w:ilvl w:val="0"/>
          <w:numId w:val="42"/>
        </w:numPr>
        <w:ind w:left="360"/>
      </w:pPr>
      <w:r>
        <w:t>Age group: &lt; 65 vs ≥ 65 years</w:t>
      </w:r>
    </w:p>
    <w:p w14:paraId="7AE49DB8" w14:textId="77777777" w:rsidR="00107010" w:rsidRDefault="00107010" w:rsidP="00D65B50">
      <w:pPr>
        <w:pStyle w:val="CPTExample"/>
        <w:numPr>
          <w:ilvl w:val="0"/>
          <w:numId w:val="42"/>
        </w:numPr>
        <w:ind w:left="360"/>
      </w:pPr>
      <w:r>
        <w:t>Sex: female vs male</w:t>
      </w:r>
    </w:p>
    <w:p w14:paraId="2F839D65" w14:textId="77777777" w:rsidR="00107010" w:rsidRDefault="00107010" w:rsidP="00D65B50">
      <w:pPr>
        <w:pStyle w:val="CPTExample"/>
        <w:numPr>
          <w:ilvl w:val="0"/>
          <w:numId w:val="42"/>
        </w:numPr>
        <w:ind w:left="360"/>
      </w:pPr>
      <w:r>
        <w:t>Race: white vs black vs other</w:t>
      </w:r>
    </w:p>
    <w:p w14:paraId="3F7AFC6A" w14:textId="77777777" w:rsidR="00CA6744" w:rsidRDefault="00107010" w:rsidP="00107010">
      <w:pPr>
        <w:pStyle w:val="CPTExample"/>
      </w:pPr>
      <w:r>
        <w:t xml:space="preserve">If the number of participants is too small (less than </w:t>
      </w:r>
      <w:r>
        <w:rPr>
          <w:rStyle w:val="CPTVariable"/>
          <w:rFonts w:eastAsia="MS Gothic"/>
        </w:rPr>
        <w:t>[10%]</w:t>
      </w:r>
      <w:r>
        <w:t>) within a subgroup, then the subgroup categories may be redefined prior to unblinding the study.</w:t>
      </w:r>
      <w:r w:rsidR="00C23E51">
        <w:t xml:space="preserve"> </w:t>
      </w:r>
    </w:p>
    <w:p w14:paraId="673A07C7" w14:textId="536AB3A7" w:rsidR="00107010" w:rsidRDefault="00424A74" w:rsidP="00107010">
      <w:pPr>
        <w:pStyle w:val="CPTExample"/>
      </w:pPr>
      <w:r>
        <w:t xml:space="preserve">The treatment effect and its associated </w:t>
      </w:r>
      <w:r w:rsidR="00B04D59" w:rsidRPr="00B04D59">
        <w:rPr>
          <w:rStyle w:val="CPTVariable"/>
          <w:rFonts w:eastAsia="MS Gothic"/>
        </w:rPr>
        <w:t>X</w:t>
      </w:r>
      <w:r w:rsidR="00B04D59">
        <w:t xml:space="preserve">% confidence interval </w:t>
      </w:r>
      <w:r w:rsidR="00246B46">
        <w:t xml:space="preserve">will be estimated for each subgroup. A </w:t>
      </w:r>
      <w:r w:rsidR="00CA6744">
        <w:t>forest plot summarizing the results will be provided.</w:t>
      </w:r>
    </w:p>
    <w:p w14:paraId="0E5B6DD8" w14:textId="45AB0E40" w:rsidR="00EA3E2B" w:rsidRPr="00D2175B" w:rsidRDefault="00107010" w:rsidP="00107010">
      <w:pPr>
        <w:pStyle w:val="CPTExample"/>
      </w:pPr>
      <w:r>
        <w:t>&lt;End of example text&gt;</w:t>
      </w:r>
    </w:p>
    <w:p w14:paraId="2DB004FE" w14:textId="1173FB65" w:rsidR="00EA3E2B" w:rsidRPr="00585449" w:rsidRDefault="00EA3E2B" w:rsidP="00585449">
      <w:pPr>
        <w:pStyle w:val="Heading2"/>
      </w:pPr>
      <w:bookmarkStart w:id="165" w:name="_Toc521400487"/>
      <w:bookmarkStart w:id="166" w:name="_Toc52192310"/>
      <w:bookmarkStart w:id="167" w:name="_Toc518655995"/>
      <w:bookmarkStart w:id="168" w:name="_Toc477961659"/>
      <w:bookmarkStart w:id="169" w:name="_Toc497118844"/>
      <w:bookmarkStart w:id="170" w:name="_Toc421709296"/>
      <w:bookmarkStart w:id="171" w:name="_Toc518466184"/>
      <w:r>
        <w:t>Interim Analys</w:t>
      </w:r>
      <w:r w:rsidR="009640D0">
        <w:t>i</w:t>
      </w:r>
      <w:r>
        <w:t>s</w:t>
      </w:r>
      <w:bookmarkEnd w:id="165"/>
      <w:bookmarkEnd w:id="166"/>
      <w:bookmarkEnd w:id="167"/>
      <w:bookmarkEnd w:id="168"/>
      <w:bookmarkEnd w:id="169"/>
      <w:bookmarkEnd w:id="170"/>
      <w:bookmarkEnd w:id="171"/>
    </w:p>
    <w:p w14:paraId="26E5D84C" w14:textId="462B4A09" w:rsidR="001320DE" w:rsidRPr="004652FB" w:rsidRDefault="001320DE" w:rsidP="001320DE">
      <w:pPr>
        <w:pStyle w:val="paragraph0"/>
        <w:textAlignment w:val="baseline"/>
        <w:rPr>
          <w:color w:val="FF0000"/>
          <w:lang w:eastAsia="de-AT"/>
        </w:rPr>
      </w:pPr>
    </w:p>
    <w:p w14:paraId="6FB5C3BD" w14:textId="2C3DE330" w:rsidR="001320DE" w:rsidRPr="00150288" w:rsidRDefault="001320DE" w:rsidP="00C20FB7">
      <w:pPr>
        <w:pStyle w:val="CPTInstructional"/>
        <w:rPr>
          <w:szCs w:val="22"/>
          <w:lang w:eastAsia="de-AT"/>
        </w:rPr>
      </w:pPr>
      <w:r w:rsidRPr="00150288">
        <w:rPr>
          <w:szCs w:val="22"/>
        </w:rPr>
        <w:t xml:space="preserve">Please </w:t>
      </w:r>
      <w:r w:rsidR="00C20FB7" w:rsidRPr="00150288">
        <w:rPr>
          <w:szCs w:val="22"/>
        </w:rPr>
        <w:t>take</w:t>
      </w:r>
      <w:r w:rsidR="00936C52" w:rsidRPr="00150288">
        <w:rPr>
          <w:szCs w:val="22"/>
        </w:rPr>
        <w:t xml:space="preserve"> (and if applicable) </w:t>
      </w:r>
      <w:r w:rsidRPr="00150288">
        <w:rPr>
          <w:szCs w:val="22"/>
        </w:rPr>
        <w:t xml:space="preserve">expand text </w:t>
      </w:r>
      <w:r w:rsidR="00C20FB7" w:rsidRPr="00150288">
        <w:rPr>
          <w:szCs w:val="22"/>
          <w:lang w:eastAsia="de-AT"/>
        </w:rPr>
        <w:t>f</w:t>
      </w:r>
      <w:r w:rsidRPr="00150288">
        <w:rPr>
          <w:szCs w:val="22"/>
          <w:lang w:eastAsia="de-AT"/>
        </w:rPr>
        <w:t xml:space="preserve">rom </w:t>
      </w:r>
      <w:r w:rsidR="00C20FB7" w:rsidRPr="00150288">
        <w:rPr>
          <w:szCs w:val="22"/>
          <w:lang w:eastAsia="de-AT"/>
        </w:rPr>
        <w:t>S</w:t>
      </w:r>
      <w:r w:rsidRPr="00150288">
        <w:rPr>
          <w:szCs w:val="22"/>
          <w:lang w:eastAsia="de-AT"/>
        </w:rPr>
        <w:t xml:space="preserve">ection 9.12 from the master protocol if interim analyses were planned for each intervention cohort of the platform study. </w:t>
      </w:r>
    </w:p>
    <w:p w14:paraId="25AFCC1E" w14:textId="5D4163A1" w:rsidR="001320DE" w:rsidRPr="00150288" w:rsidRDefault="001320DE" w:rsidP="00C20FB7">
      <w:pPr>
        <w:pStyle w:val="CPTListBullet"/>
        <w:rPr>
          <w:color w:val="FF0000"/>
          <w:sz w:val="22"/>
          <w:szCs w:val="20"/>
          <w:lang w:eastAsia="de-AT"/>
        </w:rPr>
      </w:pPr>
      <w:r w:rsidRPr="00150288">
        <w:rPr>
          <w:color w:val="FF0000"/>
          <w:sz w:val="22"/>
          <w:szCs w:val="20"/>
          <w:lang w:eastAsia="de-AT"/>
        </w:rPr>
        <w:t>From section x.xx of the corresponding ISAs if interim analys</w:t>
      </w:r>
      <w:r w:rsidR="685CDB28" w:rsidRPr="00150288">
        <w:rPr>
          <w:color w:val="FF0000"/>
          <w:sz w:val="22"/>
          <w:szCs w:val="20"/>
          <w:lang w:eastAsia="de-AT"/>
        </w:rPr>
        <w:t>e</w:t>
      </w:r>
      <w:r w:rsidRPr="00150288">
        <w:rPr>
          <w:color w:val="FF0000"/>
          <w:sz w:val="22"/>
          <w:szCs w:val="20"/>
          <w:lang w:eastAsia="de-AT"/>
        </w:rPr>
        <w:t>s are intervention-specific</w:t>
      </w:r>
    </w:p>
    <w:p w14:paraId="3C9B29B2" w14:textId="1CEE8E79" w:rsidR="001320DE" w:rsidRPr="00150288" w:rsidRDefault="001320DE" w:rsidP="00C20FB7">
      <w:pPr>
        <w:pStyle w:val="CPTListBullet"/>
        <w:rPr>
          <w:color w:val="FF0000"/>
          <w:sz w:val="22"/>
          <w:szCs w:val="20"/>
          <w:lang w:eastAsia="de-AT"/>
        </w:rPr>
      </w:pPr>
      <w:r w:rsidRPr="00150288">
        <w:rPr>
          <w:color w:val="FF0000"/>
          <w:sz w:val="22"/>
          <w:szCs w:val="20"/>
          <w:lang w:eastAsia="de-AT"/>
        </w:rPr>
        <w:t xml:space="preserve">Text </w:t>
      </w:r>
      <w:r w:rsidR="00C20FB7" w:rsidRPr="00150288">
        <w:rPr>
          <w:color w:val="FF0000"/>
          <w:sz w:val="22"/>
          <w:szCs w:val="20"/>
          <w:lang w:eastAsia="de-AT"/>
        </w:rPr>
        <w:t>should</w:t>
      </w:r>
      <w:r w:rsidRPr="00150288">
        <w:rPr>
          <w:color w:val="FF0000"/>
          <w:sz w:val="22"/>
          <w:szCs w:val="20"/>
          <w:lang w:eastAsia="de-AT"/>
        </w:rPr>
        <w:t xml:space="preserve"> be aligned with </w:t>
      </w:r>
      <w:r w:rsidR="00936C52" w:rsidRPr="00150288">
        <w:rPr>
          <w:color w:val="FF0000"/>
          <w:sz w:val="22"/>
          <w:szCs w:val="20"/>
          <w:lang w:eastAsia="de-AT"/>
        </w:rPr>
        <w:t xml:space="preserve">technical </w:t>
      </w:r>
      <w:r w:rsidRPr="00150288">
        <w:rPr>
          <w:color w:val="FF0000"/>
          <w:sz w:val="22"/>
          <w:szCs w:val="20"/>
          <w:lang w:eastAsia="de-AT"/>
        </w:rPr>
        <w:t>details provided in the applicable DMC chart</w:t>
      </w:r>
      <w:r w:rsidR="00E577E3" w:rsidRPr="00150288">
        <w:rPr>
          <w:color w:val="FF0000"/>
          <w:sz w:val="22"/>
          <w:szCs w:val="20"/>
          <w:lang w:eastAsia="de-AT"/>
        </w:rPr>
        <w:t xml:space="preserve">er </w:t>
      </w:r>
      <w:r w:rsidRPr="00150288">
        <w:rPr>
          <w:color w:val="FF0000"/>
          <w:sz w:val="22"/>
          <w:szCs w:val="20"/>
          <w:lang w:eastAsia="de-AT"/>
        </w:rPr>
        <w:t>given in Appendix 10.1.5 Committees Structure. </w:t>
      </w:r>
    </w:p>
    <w:p w14:paraId="279B6B35" w14:textId="1DE9C81F" w:rsidR="001320DE" w:rsidRPr="00150288" w:rsidRDefault="001320DE" w:rsidP="001320DE">
      <w:pPr>
        <w:spacing w:before="0" w:after="0" w:line="240" w:lineRule="auto"/>
        <w:textAlignment w:val="baseline"/>
        <w:rPr>
          <w:rFonts w:ascii="Segoe UI" w:eastAsia="Times New Roman" w:hAnsi="Segoe UI" w:cs="Segoe UI"/>
          <w:color w:val="FF0000"/>
          <w:sz w:val="18"/>
          <w:szCs w:val="16"/>
          <w:lang w:eastAsia="de-AT"/>
        </w:rPr>
      </w:pPr>
      <w:r w:rsidRPr="00150288">
        <w:rPr>
          <w:rFonts w:eastAsia="Times New Roman" w:cs="Times New Roman"/>
          <w:color w:val="FF0000"/>
          <w:sz w:val="22"/>
          <w:szCs w:val="20"/>
          <w:lang w:eastAsia="de-AT"/>
        </w:rPr>
        <w:t>The following information belongs in this section: </w:t>
      </w:r>
    </w:p>
    <w:p w14:paraId="106C860E" w14:textId="4A836736" w:rsidR="001320DE" w:rsidRPr="00150288" w:rsidRDefault="001320DE" w:rsidP="00D65B50">
      <w:pPr>
        <w:numPr>
          <w:ilvl w:val="0"/>
          <w:numId w:val="49"/>
        </w:numPr>
        <w:spacing w:before="0" w:after="0" w:line="240" w:lineRule="auto"/>
        <w:ind w:left="360" w:firstLine="0"/>
        <w:textAlignment w:val="baseline"/>
        <w:rPr>
          <w:rFonts w:eastAsia="Times New Roman" w:cs="Times New Roman"/>
          <w:color w:val="FF0000"/>
          <w:sz w:val="22"/>
          <w:szCs w:val="20"/>
          <w:lang w:eastAsia="de-AT"/>
        </w:rPr>
      </w:pPr>
      <w:r w:rsidRPr="00150288">
        <w:rPr>
          <w:rFonts w:eastAsia="Times New Roman" w:cs="Times New Roman"/>
          <w:color w:val="FF0000"/>
          <w:sz w:val="22"/>
          <w:szCs w:val="20"/>
          <w:lang w:eastAsia="de-AT"/>
        </w:rPr>
        <w:t>Reason for conducting interim analyses and their impact on the conduct of the study </w:t>
      </w:r>
    </w:p>
    <w:p w14:paraId="2E1B4F92" w14:textId="3098045C" w:rsidR="00523EE9" w:rsidRPr="00150288" w:rsidRDefault="00523EE9" w:rsidP="00D65B50">
      <w:pPr>
        <w:pStyle w:val="ListParagraph"/>
        <w:numPr>
          <w:ilvl w:val="0"/>
          <w:numId w:val="49"/>
        </w:numPr>
        <w:spacing w:before="0" w:after="0" w:line="240" w:lineRule="auto"/>
        <w:textAlignment w:val="baseline"/>
        <w:rPr>
          <w:color w:val="FF0000"/>
          <w:sz w:val="22"/>
          <w:szCs w:val="22"/>
          <w:lang w:eastAsia="de-AT"/>
        </w:rPr>
      </w:pPr>
      <w:r w:rsidRPr="00150288">
        <w:rPr>
          <w:color w:val="FF0000"/>
          <w:sz w:val="22"/>
          <w:szCs w:val="22"/>
          <w:lang w:eastAsia="de-AT"/>
        </w:rPr>
        <w:t>Timing of interim analysis relative to platform studies (e.g. will it be milestone-based or time frequency based as such that certain criteria are met (events, number of patients, follow-up time) this would trigger specific interventions to be included as part of the interim analysis</w:t>
      </w:r>
    </w:p>
    <w:p w14:paraId="2254DC50" w14:textId="366F6D9B" w:rsidR="001320DE" w:rsidRPr="00150288" w:rsidRDefault="001320DE" w:rsidP="00D65B50">
      <w:pPr>
        <w:numPr>
          <w:ilvl w:val="0"/>
          <w:numId w:val="52"/>
        </w:numPr>
        <w:spacing w:before="0" w:after="0" w:line="240" w:lineRule="auto"/>
        <w:textAlignment w:val="baseline"/>
        <w:rPr>
          <w:rFonts w:eastAsia="Times New Roman" w:cs="Times New Roman"/>
          <w:color w:val="FF0000"/>
          <w:sz w:val="22"/>
          <w:szCs w:val="20"/>
          <w:lang w:eastAsia="de-AT"/>
        </w:rPr>
      </w:pPr>
      <w:r w:rsidRPr="00150288">
        <w:rPr>
          <w:rFonts w:eastAsia="Times New Roman" w:cs="Times New Roman"/>
          <w:color w:val="FF0000"/>
          <w:sz w:val="22"/>
          <w:szCs w:val="20"/>
          <w:lang w:eastAsia="de-AT"/>
        </w:rPr>
        <w:t>Variables to be included in the interim analyses </w:t>
      </w:r>
    </w:p>
    <w:p w14:paraId="41CC4DE7" w14:textId="77777777" w:rsidR="00523EE9" w:rsidRPr="00150288" w:rsidRDefault="00523EE9" w:rsidP="00D65B50">
      <w:pPr>
        <w:pStyle w:val="ListParagraph"/>
        <w:numPr>
          <w:ilvl w:val="0"/>
          <w:numId w:val="52"/>
        </w:numPr>
        <w:rPr>
          <w:color w:val="FF0000"/>
          <w:sz w:val="22"/>
          <w:szCs w:val="20"/>
          <w:lang w:eastAsia="de-AT"/>
        </w:rPr>
      </w:pPr>
      <w:r w:rsidRPr="00150288">
        <w:rPr>
          <w:color w:val="FF0000"/>
          <w:sz w:val="22"/>
          <w:szCs w:val="20"/>
          <w:lang w:eastAsia="de-AT"/>
        </w:rPr>
        <w:t xml:space="preserve">Unblinded or blinded information </w:t>
      </w:r>
    </w:p>
    <w:p w14:paraId="5C462BCE" w14:textId="0D67F9C4" w:rsidR="001320DE" w:rsidRPr="00150288" w:rsidRDefault="001320DE" w:rsidP="6E66B177">
      <w:pPr>
        <w:pStyle w:val="ListParagraph"/>
        <w:numPr>
          <w:ilvl w:val="0"/>
          <w:numId w:val="52"/>
        </w:numPr>
        <w:spacing w:line="240" w:lineRule="auto"/>
        <w:rPr>
          <w:color w:val="FF0000"/>
          <w:sz w:val="22"/>
          <w:szCs w:val="22"/>
          <w:lang w:eastAsia="de-AT"/>
        </w:rPr>
      </w:pPr>
      <w:r w:rsidRPr="00150288">
        <w:rPr>
          <w:color w:val="FF0000"/>
          <w:sz w:val="22"/>
          <w:szCs w:val="22"/>
          <w:lang w:eastAsia="de-AT"/>
        </w:rPr>
        <w:t>The timing of analyses (e.g.,</w:t>
      </w:r>
      <w:r w:rsidR="00523EE9" w:rsidRPr="00150288">
        <w:rPr>
          <w:color w:val="FF0000"/>
          <w:sz w:val="22"/>
          <w:szCs w:val="22"/>
          <w:lang w:eastAsia="de-AT"/>
        </w:rPr>
        <w:t xml:space="preserve"> approximate</w:t>
      </w:r>
      <w:r w:rsidRPr="00150288">
        <w:rPr>
          <w:color w:val="FF0000"/>
          <w:sz w:val="22"/>
          <w:szCs w:val="22"/>
          <w:lang w:eastAsia="de-AT"/>
        </w:rPr>
        <w:t> number of participants entered,</w:t>
      </w:r>
      <w:r w:rsidR="00523EE9" w:rsidRPr="00150288">
        <w:rPr>
          <w:color w:val="FF0000"/>
          <w:sz w:val="22"/>
          <w:szCs w:val="22"/>
          <w:lang w:eastAsia="de-AT"/>
        </w:rPr>
        <w:t xml:space="preserve"> approximate </w:t>
      </w:r>
      <w:r w:rsidRPr="00150288">
        <w:rPr>
          <w:color w:val="FF0000"/>
          <w:sz w:val="22"/>
          <w:szCs w:val="22"/>
          <w:lang w:eastAsia="de-AT"/>
        </w:rPr>
        <w:t>number of participants completing certain number of visits, number of events, calendar time) </w:t>
      </w:r>
    </w:p>
    <w:p w14:paraId="6E6C7650" w14:textId="766BE17B" w:rsidR="00523EE9" w:rsidRPr="00150288" w:rsidRDefault="00523EE9" w:rsidP="00D65B50">
      <w:pPr>
        <w:pStyle w:val="ListParagraph"/>
        <w:numPr>
          <w:ilvl w:val="0"/>
          <w:numId w:val="52"/>
        </w:numPr>
        <w:spacing w:line="240" w:lineRule="auto"/>
        <w:rPr>
          <w:color w:val="FF0000"/>
          <w:sz w:val="22"/>
          <w:szCs w:val="20"/>
          <w:lang w:eastAsia="de-AT"/>
        </w:rPr>
      </w:pPr>
      <w:r w:rsidRPr="00150288">
        <w:rPr>
          <w:color w:val="FF0000"/>
          <w:sz w:val="22"/>
          <w:szCs w:val="20"/>
          <w:lang w:eastAsia="de-AT"/>
        </w:rPr>
        <w:t>(Adaptive) making criteria and stopping rules (e.g., for efficacy, binding/unbinding futility rules) and impact on operating characteristics. Discuss if stopping rules have been addressed in the sample size calculation), if applicable to all interventions</w:t>
      </w:r>
    </w:p>
    <w:p w14:paraId="4D1E1A4C" w14:textId="45D51C0E" w:rsidR="001320DE" w:rsidRPr="00150288" w:rsidRDefault="001320DE" w:rsidP="00D65B50">
      <w:pPr>
        <w:pStyle w:val="ListParagraph"/>
        <w:numPr>
          <w:ilvl w:val="0"/>
          <w:numId w:val="52"/>
        </w:numPr>
        <w:spacing w:before="0" w:after="0" w:line="240" w:lineRule="auto"/>
        <w:textAlignment w:val="baseline"/>
        <w:rPr>
          <w:color w:val="FF0000"/>
          <w:sz w:val="22"/>
          <w:szCs w:val="22"/>
          <w:lang w:eastAsia="de-AT"/>
        </w:rPr>
      </w:pPr>
      <w:r w:rsidRPr="00150288">
        <w:rPr>
          <w:color w:val="FF0000"/>
          <w:sz w:val="22"/>
          <w:szCs w:val="22"/>
          <w:lang w:eastAsia="de-AT"/>
        </w:rPr>
        <w:t>Any actions resulting from an interim analysis such as sample size re-estimation, stopping rules or any adjustments to nominal significance level for final analyses</w:t>
      </w:r>
    </w:p>
    <w:p w14:paraId="206C094A" w14:textId="77777777" w:rsidR="00523EE9" w:rsidRPr="00150288" w:rsidRDefault="00523EE9" w:rsidP="00D65B50">
      <w:pPr>
        <w:pStyle w:val="ListParagraph"/>
        <w:numPr>
          <w:ilvl w:val="0"/>
          <w:numId w:val="52"/>
        </w:numPr>
        <w:rPr>
          <w:color w:val="FF0000"/>
          <w:sz w:val="22"/>
          <w:szCs w:val="22"/>
          <w:lang w:eastAsia="de-AT"/>
        </w:rPr>
      </w:pPr>
      <w:r w:rsidRPr="00150288">
        <w:rPr>
          <w:color w:val="FF0000"/>
          <w:sz w:val="22"/>
          <w:szCs w:val="22"/>
          <w:lang w:eastAsia="de-AT"/>
        </w:rPr>
        <w:lastRenderedPageBreak/>
        <w:t xml:space="preserve">If adaptations are envisaged: type of adaptive design with details of the pre-planned study adaptations and the statistical information informing the adaptations (e.g., will adaptations be based on primary endpoint and/or secondary endpoints)   </w:t>
      </w:r>
    </w:p>
    <w:p w14:paraId="1202C1F2" w14:textId="1BA225BF" w:rsidR="00523EE9" w:rsidRPr="00150288" w:rsidRDefault="00523EE9" w:rsidP="00D65B50">
      <w:pPr>
        <w:pStyle w:val="ListParagraph"/>
        <w:numPr>
          <w:ilvl w:val="0"/>
          <w:numId w:val="52"/>
        </w:numPr>
        <w:rPr>
          <w:color w:val="FF0000"/>
          <w:sz w:val="22"/>
          <w:szCs w:val="22"/>
          <w:lang w:eastAsia="de-AT"/>
        </w:rPr>
      </w:pPr>
      <w:r w:rsidRPr="00150288">
        <w:rPr>
          <w:color w:val="FF0000"/>
          <w:sz w:val="22"/>
          <w:szCs w:val="22"/>
          <w:lang w:eastAsia="de-AT"/>
        </w:rPr>
        <w:t>If response adaptive designs are used: give details on burn-in period and if and how long control group allocation is fixed, algorithm to modify allocation ratio and information to be used for updates, if this can be done generically at the platform study level. Otherwise, such text should be described in the ISA (and related SAPs)</w:t>
      </w:r>
    </w:p>
    <w:p w14:paraId="7BC2C27D" w14:textId="27886AE3" w:rsidR="00523EE9" w:rsidRPr="00150288" w:rsidRDefault="00523EE9" w:rsidP="00D65B50">
      <w:pPr>
        <w:pStyle w:val="ListParagraph"/>
        <w:numPr>
          <w:ilvl w:val="0"/>
          <w:numId w:val="52"/>
        </w:numPr>
        <w:spacing w:before="0" w:after="0" w:line="240" w:lineRule="auto"/>
        <w:textAlignment w:val="baseline"/>
        <w:rPr>
          <w:color w:val="FF0000"/>
          <w:sz w:val="22"/>
          <w:szCs w:val="22"/>
          <w:lang w:eastAsia="de-AT"/>
        </w:rPr>
      </w:pPr>
      <w:r w:rsidRPr="00150288">
        <w:rPr>
          <w:color w:val="FF0000"/>
          <w:sz w:val="22"/>
          <w:szCs w:val="22"/>
          <w:lang w:eastAsia="de-AT"/>
        </w:rPr>
        <w:t xml:space="preserve">Discuss how interim analysis </w:t>
      </w:r>
      <w:r w:rsidR="007E2A10">
        <w:rPr>
          <w:color w:val="FF0000"/>
          <w:sz w:val="22"/>
          <w:szCs w:val="22"/>
          <w:lang w:eastAsia="de-AT"/>
        </w:rPr>
        <w:t>a</w:t>
      </w:r>
      <w:r w:rsidRPr="00150288">
        <w:rPr>
          <w:color w:val="FF0000"/>
          <w:sz w:val="22"/>
          <w:szCs w:val="22"/>
          <w:lang w:eastAsia="de-AT"/>
        </w:rPr>
        <w:t>ffects statistical testing and estimation across all interventions being evaluated in the platform study</w:t>
      </w:r>
    </w:p>
    <w:p w14:paraId="5D48051F" w14:textId="67ADB0E4" w:rsidR="000E7A2D" w:rsidRPr="00150288" w:rsidRDefault="000E7A2D" w:rsidP="000E7A2D">
      <w:pPr>
        <w:pStyle w:val="CPTInstructional"/>
        <w:rPr>
          <w:szCs w:val="18"/>
        </w:rPr>
      </w:pPr>
      <w:r w:rsidRPr="00150288">
        <w:rPr>
          <w:szCs w:val="18"/>
        </w:rPr>
        <w:t>This information will be copied directly from the protocol (Section 9.</w:t>
      </w:r>
      <w:r w:rsidR="00114417">
        <w:rPr>
          <w:szCs w:val="18"/>
        </w:rPr>
        <w:t>4</w:t>
      </w:r>
      <w:r w:rsidRPr="00150288">
        <w:rPr>
          <w:szCs w:val="18"/>
        </w:rPr>
        <w:t>). Additional details may be added.</w:t>
      </w:r>
    </w:p>
    <w:p w14:paraId="2EF958CB" w14:textId="368ED000" w:rsidR="000E7A2D" w:rsidRPr="00150288" w:rsidRDefault="000E7A2D" w:rsidP="6E66B177">
      <w:pPr>
        <w:pStyle w:val="CPTInstructional"/>
        <w:rPr>
          <w:rFonts w:eastAsia="Times New Roman" w:cs="Times New Roman"/>
          <w:szCs w:val="22"/>
          <w:lang w:eastAsia="ja-JP"/>
        </w:rPr>
      </w:pPr>
      <w:r w:rsidRPr="00150288">
        <w:rPr>
          <w:szCs w:val="22"/>
        </w:rPr>
        <w:t>If an interim analysis is planned, describe if any type of data monitoring committee will be established to evaluate the interim analyses (the safety data, and/or the critical efficacy endpoints) in accordance with ICH E9. Also describe the role of the committee (</w:t>
      </w:r>
      <w:r w:rsidR="457619E8" w:rsidRPr="00150288">
        <w:rPr>
          <w:szCs w:val="22"/>
        </w:rPr>
        <w:t>e.g.</w:t>
      </w:r>
      <w:r w:rsidRPr="00150288">
        <w:rPr>
          <w:szCs w:val="22"/>
        </w:rPr>
        <w:t xml:space="preserve">, making recommendation to the sponsor whether to continue, modify, or stop a study). </w:t>
      </w:r>
    </w:p>
    <w:p w14:paraId="2ED0381E" w14:textId="77777777" w:rsidR="000E7A2D" w:rsidRPr="00150288" w:rsidRDefault="000E7A2D" w:rsidP="000E7A2D">
      <w:pPr>
        <w:pStyle w:val="CPTInstructional"/>
        <w:rPr>
          <w:rFonts w:eastAsia="Times New Roman" w:cs="Times New Roman"/>
          <w:szCs w:val="18"/>
        </w:rPr>
      </w:pPr>
      <w:r w:rsidRPr="00150288">
        <w:rPr>
          <w:szCs w:val="18"/>
        </w:rPr>
        <w:t>Include the following information in this section:</w:t>
      </w:r>
    </w:p>
    <w:p w14:paraId="05059E9C" w14:textId="77777777" w:rsidR="000E7A2D" w:rsidRPr="00150288" w:rsidRDefault="000E7A2D" w:rsidP="00D65B50">
      <w:pPr>
        <w:pStyle w:val="CPTInstructional"/>
        <w:numPr>
          <w:ilvl w:val="0"/>
          <w:numId w:val="43"/>
        </w:numPr>
        <w:rPr>
          <w:szCs w:val="18"/>
        </w:rPr>
      </w:pPr>
      <w:r w:rsidRPr="00150288">
        <w:rPr>
          <w:szCs w:val="18"/>
        </w:rPr>
        <w:t>Reason for conducting interim analyses and the impact on the conduct of the study</w:t>
      </w:r>
    </w:p>
    <w:p w14:paraId="43A273A1" w14:textId="77777777" w:rsidR="000E7A2D" w:rsidRPr="00150288" w:rsidRDefault="000E7A2D" w:rsidP="00D65B50">
      <w:pPr>
        <w:pStyle w:val="CPTInstructional"/>
        <w:numPr>
          <w:ilvl w:val="0"/>
          <w:numId w:val="43"/>
        </w:numPr>
        <w:rPr>
          <w:szCs w:val="18"/>
        </w:rPr>
      </w:pPr>
      <w:r w:rsidRPr="00150288">
        <w:rPr>
          <w:szCs w:val="18"/>
        </w:rPr>
        <w:t>Endpoints to be included in the interim analyses</w:t>
      </w:r>
    </w:p>
    <w:p w14:paraId="4A3AC0BA" w14:textId="77777777" w:rsidR="000E7A2D" w:rsidRPr="00150288" w:rsidRDefault="000E7A2D" w:rsidP="00D65B50">
      <w:pPr>
        <w:pStyle w:val="CPTInstructional"/>
        <w:numPr>
          <w:ilvl w:val="0"/>
          <w:numId w:val="43"/>
        </w:numPr>
        <w:rPr>
          <w:szCs w:val="18"/>
        </w:rPr>
      </w:pPr>
      <w:r w:rsidRPr="00150288">
        <w:rPr>
          <w:szCs w:val="18"/>
        </w:rPr>
        <w:t>Timing of the interim analyses (eg, number of participants enrolled, number of participants completing a certain number of visits, number of events, calendar time)</w:t>
      </w:r>
    </w:p>
    <w:p w14:paraId="00B21D11" w14:textId="3EC731CE" w:rsidR="00107010" w:rsidRPr="00150288" w:rsidRDefault="00107010" w:rsidP="00D65B50">
      <w:pPr>
        <w:pStyle w:val="CPTInstructional"/>
        <w:numPr>
          <w:ilvl w:val="0"/>
          <w:numId w:val="43"/>
        </w:numPr>
        <w:rPr>
          <w:szCs w:val="18"/>
        </w:rPr>
      </w:pPr>
      <w:r w:rsidRPr="00150288">
        <w:rPr>
          <w:szCs w:val="18"/>
        </w:rPr>
        <w:t>Any actions resulting from an interim analysis</w:t>
      </w:r>
      <w:r w:rsidR="000E7A2D" w:rsidRPr="00150288">
        <w:rPr>
          <w:szCs w:val="18"/>
        </w:rPr>
        <w:t>,</w:t>
      </w:r>
      <w:r w:rsidRPr="00150288">
        <w:rPr>
          <w:szCs w:val="18"/>
        </w:rPr>
        <w:t xml:space="preserve"> such as sample size re-estimation</w:t>
      </w:r>
      <w:r w:rsidR="000E7A2D" w:rsidRPr="00150288">
        <w:rPr>
          <w:szCs w:val="18"/>
        </w:rPr>
        <w:t>,</w:t>
      </w:r>
      <w:r w:rsidRPr="00150288">
        <w:rPr>
          <w:szCs w:val="18"/>
        </w:rPr>
        <w:t xml:space="preserve"> or stopping rules</w:t>
      </w:r>
    </w:p>
    <w:p w14:paraId="4C11C428" w14:textId="77777777" w:rsidR="00107010" w:rsidRPr="00150288" w:rsidRDefault="00107010" w:rsidP="00D65B50">
      <w:pPr>
        <w:pStyle w:val="CPTInstructional"/>
        <w:numPr>
          <w:ilvl w:val="0"/>
          <w:numId w:val="43"/>
        </w:numPr>
        <w:rPr>
          <w:szCs w:val="18"/>
        </w:rPr>
      </w:pPr>
      <w:r w:rsidRPr="00150288">
        <w:rPr>
          <w:szCs w:val="18"/>
        </w:rPr>
        <w:t>Multiplicity considerations relating to the interim and final analyses</w:t>
      </w:r>
    </w:p>
    <w:p w14:paraId="609F0819" w14:textId="77777777" w:rsidR="00107010" w:rsidRPr="00150288" w:rsidRDefault="00107010" w:rsidP="00D65B50">
      <w:pPr>
        <w:pStyle w:val="CPTInstructional"/>
        <w:numPr>
          <w:ilvl w:val="0"/>
          <w:numId w:val="43"/>
        </w:numPr>
        <w:rPr>
          <w:szCs w:val="18"/>
        </w:rPr>
      </w:pPr>
      <w:r w:rsidRPr="00150288">
        <w:rPr>
          <w:szCs w:val="18"/>
        </w:rPr>
        <w:t>Blinding/unblinding strategy</w:t>
      </w:r>
    </w:p>
    <w:p w14:paraId="783B2723" w14:textId="77777777" w:rsidR="00107010" w:rsidRDefault="00107010" w:rsidP="00107010">
      <w:pPr>
        <w:pStyle w:val="CPTExample"/>
      </w:pPr>
      <w:r>
        <w:t>&lt;Start of example text&gt;</w:t>
      </w:r>
    </w:p>
    <w:p w14:paraId="1059649A" w14:textId="7F89D57F" w:rsidR="00107010" w:rsidRPr="00114417" w:rsidRDefault="00107010" w:rsidP="00107010">
      <w:pPr>
        <w:pStyle w:val="CPTExample"/>
        <w:rPr>
          <w:rFonts w:ascii="Times New Roman" w:hAnsi="Times New Roman"/>
          <w:sz w:val="24"/>
          <w:szCs w:val="24"/>
        </w:rPr>
      </w:pPr>
      <w:r w:rsidRPr="00114417">
        <w:rPr>
          <w:rFonts w:ascii="Times New Roman" w:hAnsi="Times New Roman"/>
          <w:sz w:val="24"/>
          <w:szCs w:val="24"/>
        </w:rPr>
        <w:t xml:space="preserve">An interim analysis of the primary endpoint will be performed by the independent data monitoring committee (IDMC), consisting of </w:t>
      </w:r>
      <w:r w:rsidRPr="00114417">
        <w:rPr>
          <w:rStyle w:val="CPTVariable"/>
          <w:rFonts w:ascii="Times New Roman" w:hAnsi="Times New Roman"/>
          <w:sz w:val="24"/>
          <w:szCs w:val="24"/>
        </w:rPr>
        <w:t>[X]</w:t>
      </w:r>
      <w:r w:rsidRPr="00114417">
        <w:rPr>
          <w:rFonts w:ascii="Times New Roman" w:hAnsi="Times New Roman"/>
          <w:sz w:val="24"/>
          <w:szCs w:val="24"/>
        </w:rPr>
        <w:t xml:space="preserve"> clinicians and 1 statistician who are independent experts not otherwise </w:t>
      </w:r>
      <w:r w:rsidR="000E7A2D" w:rsidRPr="00114417">
        <w:rPr>
          <w:rFonts w:ascii="Times New Roman" w:hAnsi="Times New Roman"/>
          <w:sz w:val="24"/>
          <w:szCs w:val="24"/>
        </w:rPr>
        <w:t>involved</w:t>
      </w:r>
      <w:r w:rsidRPr="00114417">
        <w:rPr>
          <w:rFonts w:ascii="Times New Roman" w:hAnsi="Times New Roman"/>
          <w:sz w:val="24"/>
          <w:szCs w:val="24"/>
        </w:rPr>
        <w:t xml:space="preserve"> in the study</w:t>
      </w:r>
      <w:r w:rsidR="000E7A2D" w:rsidRPr="00114417">
        <w:rPr>
          <w:rFonts w:ascii="Times New Roman" w:hAnsi="Times New Roman"/>
          <w:sz w:val="24"/>
          <w:szCs w:val="24"/>
        </w:rPr>
        <w:t>,</w:t>
      </w:r>
      <w:r w:rsidRPr="00114417">
        <w:rPr>
          <w:rFonts w:ascii="Times New Roman" w:hAnsi="Times New Roman"/>
          <w:sz w:val="24"/>
          <w:szCs w:val="24"/>
        </w:rPr>
        <w:t xml:space="preserve"> when approximately </w:t>
      </w:r>
      <w:r w:rsidRPr="00114417">
        <w:rPr>
          <w:rStyle w:val="CPTVariable"/>
          <w:rFonts w:ascii="Times New Roman" w:hAnsi="Times New Roman"/>
          <w:sz w:val="24"/>
          <w:szCs w:val="24"/>
        </w:rPr>
        <w:t>[X]</w:t>
      </w:r>
      <w:r w:rsidRPr="00114417">
        <w:rPr>
          <w:rFonts w:ascii="Times New Roman" w:hAnsi="Times New Roman"/>
          <w:sz w:val="24"/>
          <w:szCs w:val="24"/>
        </w:rPr>
        <w:t xml:space="preserve"> primary events have occurred. The analysis method for the primary efficacy endpoint described in Section </w:t>
      </w:r>
      <w:r w:rsidR="007557E2" w:rsidRPr="00114417">
        <w:rPr>
          <w:rFonts w:ascii="Times New Roman" w:hAnsi="Times New Roman"/>
          <w:sz w:val="24"/>
          <w:szCs w:val="24"/>
        </w:rPr>
        <w:t>4.2</w:t>
      </w:r>
      <w:r w:rsidRPr="00114417">
        <w:rPr>
          <w:rFonts w:ascii="Times New Roman" w:hAnsi="Times New Roman"/>
          <w:sz w:val="24"/>
          <w:szCs w:val="24"/>
        </w:rPr>
        <w:t xml:space="preserve"> Primary Endpoints/Estimands Analysis will be used for the interim analysis. Based on the group sequential design with the </w:t>
      </w:r>
      <w:r w:rsidRPr="00114417">
        <w:rPr>
          <w:rStyle w:val="CPTVariable"/>
          <w:rFonts w:ascii="Times New Roman" w:hAnsi="Times New Roman"/>
          <w:sz w:val="24"/>
          <w:szCs w:val="24"/>
        </w:rPr>
        <w:t>[O’Brian Fleming]</w:t>
      </w:r>
      <w:r w:rsidRPr="00114417">
        <w:rPr>
          <w:rFonts w:ascii="Times New Roman" w:hAnsi="Times New Roman"/>
          <w:sz w:val="24"/>
          <w:szCs w:val="24"/>
        </w:rPr>
        <w:t xml:space="preserve"> alpha spending approach, a 2-sided alpha of </w:t>
      </w:r>
      <w:r w:rsidRPr="00114417">
        <w:rPr>
          <w:rStyle w:val="CPTVariable"/>
          <w:rFonts w:ascii="Times New Roman" w:hAnsi="Times New Roman"/>
          <w:sz w:val="24"/>
          <w:szCs w:val="24"/>
        </w:rPr>
        <w:t>[X]</w:t>
      </w:r>
      <w:r w:rsidRPr="00114417">
        <w:rPr>
          <w:rFonts w:ascii="Times New Roman" w:hAnsi="Times New Roman"/>
          <w:sz w:val="24"/>
          <w:szCs w:val="24"/>
        </w:rPr>
        <w:t xml:space="preserve"> will be allocated to the interim analysis. In addition, if the conditional power for the final analysis (based on the original assumption for the remaining study) is </w:t>
      </w:r>
      <w:r w:rsidRPr="00114417">
        <w:rPr>
          <w:rStyle w:val="CPTVariable"/>
          <w:rFonts w:ascii="Times New Roman" w:hAnsi="Times New Roman"/>
          <w:sz w:val="24"/>
          <w:szCs w:val="24"/>
        </w:rPr>
        <w:t>[X]</w:t>
      </w:r>
      <w:r w:rsidRPr="00114417">
        <w:rPr>
          <w:rFonts w:ascii="Times New Roman" w:hAnsi="Times New Roman"/>
          <w:sz w:val="24"/>
          <w:szCs w:val="24"/>
        </w:rPr>
        <w:t xml:space="preserve"> or lower, the study may be stopped for futility.</w:t>
      </w:r>
    </w:p>
    <w:p w14:paraId="50751739" w14:textId="53D8737F" w:rsidR="00107010" w:rsidRPr="00114417" w:rsidRDefault="00107010" w:rsidP="00107010">
      <w:pPr>
        <w:pStyle w:val="CPTExample"/>
        <w:rPr>
          <w:rFonts w:ascii="Times New Roman" w:hAnsi="Times New Roman"/>
          <w:sz w:val="24"/>
          <w:szCs w:val="24"/>
        </w:rPr>
      </w:pPr>
      <w:r w:rsidRPr="00114417">
        <w:rPr>
          <w:rFonts w:ascii="Times New Roman" w:hAnsi="Times New Roman"/>
          <w:sz w:val="24"/>
          <w:szCs w:val="24"/>
        </w:rPr>
        <w:t>The interim analysis will be conducted such that the ongoing study integrity is maintained. Only the independent statistical support group</w:t>
      </w:r>
      <w:r w:rsidR="000E7A2D" w:rsidRPr="00114417">
        <w:rPr>
          <w:rFonts w:ascii="Times New Roman" w:hAnsi="Times New Roman"/>
          <w:sz w:val="24"/>
          <w:szCs w:val="24"/>
        </w:rPr>
        <w:t>, who is</w:t>
      </w:r>
      <w:r w:rsidRPr="00114417">
        <w:rPr>
          <w:rFonts w:ascii="Times New Roman" w:hAnsi="Times New Roman"/>
          <w:sz w:val="24"/>
          <w:szCs w:val="24"/>
        </w:rPr>
        <w:t xml:space="preserve"> responsible for providing the interim analysis results to the IDMC will be unblinded to the individual treatment group assignments. Interim analysis results will not be shared with investigators, participants, or the study team who are in</w:t>
      </w:r>
      <w:r w:rsidRPr="00114417">
        <w:rPr>
          <w:rFonts w:ascii="Times New Roman" w:hAnsi="Times New Roman"/>
          <w:iCs/>
          <w:sz w:val="24"/>
          <w:szCs w:val="24"/>
        </w:rPr>
        <w:t>volved in the conduct of the study before the final database lock.</w:t>
      </w:r>
      <w:r w:rsidRPr="00114417">
        <w:rPr>
          <w:rFonts w:ascii="Times New Roman" w:hAnsi="Times New Roman"/>
          <w:sz w:val="24"/>
          <w:szCs w:val="24"/>
        </w:rPr>
        <w:t xml:space="preserve"> </w:t>
      </w:r>
    </w:p>
    <w:p w14:paraId="50FE8D3C" w14:textId="4BE499E3" w:rsidR="00170BDA" w:rsidRDefault="00107010" w:rsidP="00071BE6">
      <w:pPr>
        <w:pStyle w:val="CPTExample"/>
      </w:pPr>
      <w:r>
        <w:t>&lt;End of example text&gt;</w:t>
      </w:r>
    </w:p>
    <w:p w14:paraId="13FCB9A6" w14:textId="13A35CE4" w:rsidR="00F27628" w:rsidRDefault="00F27628" w:rsidP="004652FB"/>
    <w:p w14:paraId="60E36231" w14:textId="3CDD64B0" w:rsidR="00F27628" w:rsidRDefault="00F27628" w:rsidP="00F27628">
      <w:pPr>
        <w:pStyle w:val="CPTExample"/>
      </w:pPr>
      <w:r>
        <w:t>&lt;Start of example text 2:</w:t>
      </w:r>
      <w:r w:rsidR="00016337">
        <w:t>&gt;</w:t>
      </w:r>
    </w:p>
    <w:p w14:paraId="51252FCD" w14:textId="4BEF26E6" w:rsidR="00F27628" w:rsidRPr="00114417" w:rsidRDefault="00F27628" w:rsidP="00F27628">
      <w:pPr>
        <w:pStyle w:val="Default"/>
        <w:rPr>
          <w:rFonts w:ascii="Times New Roman" w:eastAsia="Times New Roman" w:hAnsi="Times New Roman" w:cs="Times New Roman"/>
          <w:i/>
          <w:color w:val="00B050"/>
          <w:lang w:val="en-US"/>
        </w:rPr>
      </w:pPr>
      <w:r w:rsidRPr="00114417">
        <w:rPr>
          <w:rFonts w:ascii="Times New Roman" w:eastAsia="Times New Roman" w:hAnsi="Times New Roman" w:cs="Times New Roman"/>
          <w:i/>
          <w:color w:val="00B050"/>
          <w:lang w:val="en-US"/>
        </w:rPr>
        <w:t xml:space="preserve">This POC </w:t>
      </w:r>
      <w:r w:rsidR="002C06AB" w:rsidRPr="00114417">
        <w:rPr>
          <w:rFonts w:ascii="Times New Roman" w:eastAsia="Times New Roman" w:hAnsi="Times New Roman" w:cs="Times New Roman"/>
          <w:i/>
          <w:color w:val="00B050"/>
          <w:lang w:val="en-US"/>
        </w:rPr>
        <w:t>platform study</w:t>
      </w:r>
      <w:r w:rsidRPr="00114417">
        <w:rPr>
          <w:rFonts w:ascii="Times New Roman" w:eastAsia="Times New Roman" w:hAnsi="Times New Roman" w:cs="Times New Roman"/>
          <w:i/>
          <w:color w:val="00B050"/>
          <w:lang w:val="en-US"/>
        </w:rPr>
        <w:t xml:space="preserve"> as such will not control for the Type I error. For each ISA, the sample size and the stopping criteria are set in consideration of the Type I error, which is evaluated by simulation. </w:t>
      </w:r>
    </w:p>
    <w:p w14:paraId="1AA7A923" w14:textId="22262C5A" w:rsidR="00F27628" w:rsidRPr="00114417" w:rsidRDefault="00F27628" w:rsidP="00F27628">
      <w:pPr>
        <w:pStyle w:val="Default"/>
        <w:rPr>
          <w:rFonts w:ascii="Times New Roman" w:eastAsia="Times New Roman" w:hAnsi="Times New Roman" w:cs="Times New Roman"/>
          <w:i/>
          <w:color w:val="00B050"/>
          <w:lang w:val="en-US"/>
        </w:rPr>
      </w:pPr>
      <w:r w:rsidRPr="00114417">
        <w:rPr>
          <w:rFonts w:ascii="Times New Roman" w:eastAsia="Times New Roman" w:hAnsi="Times New Roman" w:cs="Times New Roman"/>
          <w:i/>
          <w:color w:val="00B050"/>
          <w:lang w:val="en-US"/>
        </w:rPr>
        <w:t xml:space="preserve">The interim analyses will be conducted every three months. It will be the same time for all ISAs, but the analyses will be made separately. The actual analysis will follow the principles for the primary efficacy analysis described in Section XX. </w:t>
      </w:r>
    </w:p>
    <w:p w14:paraId="2D105924" w14:textId="276BFA19" w:rsidR="00F27628" w:rsidRPr="00114417" w:rsidRDefault="00F27628" w:rsidP="00F27628">
      <w:pPr>
        <w:pStyle w:val="Default"/>
        <w:rPr>
          <w:rFonts w:ascii="Times New Roman" w:eastAsia="Times New Roman" w:hAnsi="Times New Roman" w:cs="Times New Roman"/>
          <w:i/>
          <w:color w:val="00B050"/>
          <w:lang w:val="en-US"/>
        </w:rPr>
      </w:pPr>
      <w:r w:rsidRPr="00114417">
        <w:rPr>
          <w:rFonts w:ascii="Times New Roman" w:eastAsia="Times New Roman" w:hAnsi="Times New Roman" w:cs="Times New Roman"/>
          <w:i/>
          <w:color w:val="00B050"/>
          <w:lang w:val="en-US"/>
        </w:rPr>
        <w:t xml:space="preserve">For each evolution analysis conducted in which an intervention has reached a minimum exposure to research participants, an analysis of graduation (success) will be conducted. With the same constraints, an analysis of futility will be conducted. The default criterion is at least XXX subjects with xx months of follow up in an intervention cohort, but this can be specified within an ISA. The details of these analyses are: </w:t>
      </w:r>
    </w:p>
    <w:p w14:paraId="6738811C" w14:textId="469C6323" w:rsidR="00F27628" w:rsidRPr="00114417" w:rsidRDefault="00F27628" w:rsidP="00D65B50">
      <w:pPr>
        <w:pStyle w:val="Default"/>
        <w:numPr>
          <w:ilvl w:val="0"/>
          <w:numId w:val="51"/>
        </w:numPr>
        <w:rPr>
          <w:rFonts w:ascii="Times New Roman" w:eastAsia="Times New Roman" w:hAnsi="Times New Roman" w:cs="Times New Roman"/>
          <w:i/>
          <w:color w:val="00B050"/>
          <w:lang w:val="en-US"/>
        </w:rPr>
      </w:pPr>
      <w:r w:rsidRPr="00114417">
        <w:rPr>
          <w:rFonts w:ascii="Times New Roman" w:eastAsia="Times New Roman" w:hAnsi="Times New Roman" w:cs="Times New Roman"/>
          <w:i/>
          <w:color w:val="00B050"/>
          <w:lang w:val="en-US"/>
        </w:rPr>
        <w:t xml:space="preserve">If the posterior probability of event Y is greater than YY then the intervention meets graduation criteria and will be labelled a success. This analysis concludes a super superiority, meaning there is high probability of at least a 10% slowing in the rate of decline is met for the intervention </w:t>
      </w:r>
    </w:p>
    <w:p w14:paraId="7DBDF080" w14:textId="7536B460" w:rsidR="00F27628" w:rsidRPr="004652FB" w:rsidRDefault="00F27628" w:rsidP="00D65B50">
      <w:pPr>
        <w:pStyle w:val="Default"/>
        <w:numPr>
          <w:ilvl w:val="0"/>
          <w:numId w:val="51"/>
        </w:numPr>
        <w:rPr>
          <w:rFonts w:ascii="Arial" w:eastAsia="Times New Roman" w:hAnsi="Arial" w:cs="Times New Roman"/>
          <w:i/>
          <w:color w:val="00B050"/>
          <w:sz w:val="20"/>
          <w:szCs w:val="20"/>
          <w:lang w:val="en-US"/>
        </w:rPr>
      </w:pPr>
      <w:r w:rsidRPr="00114417">
        <w:rPr>
          <w:rFonts w:ascii="Times New Roman" w:eastAsia="Times New Roman" w:hAnsi="Times New Roman" w:cs="Times New Roman"/>
          <w:i/>
          <w:color w:val="00B050"/>
          <w:lang w:val="en-US"/>
        </w:rPr>
        <w:t xml:space="preserve">If the posterior probability of a event Y is less than ZZ then the futility criteria is met for that intervention. Thus, if there is high probability of event Y, the intervention will be declared futile. </w:t>
      </w:r>
    </w:p>
    <w:p w14:paraId="63F3C300" w14:textId="77777777" w:rsidR="00F27628" w:rsidRPr="00114417" w:rsidRDefault="00F27628" w:rsidP="00F27628">
      <w:pPr>
        <w:pStyle w:val="CPTExample"/>
        <w:rPr>
          <w:rFonts w:ascii="Times New Roman" w:hAnsi="Times New Roman"/>
          <w:sz w:val="24"/>
          <w:szCs w:val="24"/>
        </w:rPr>
      </w:pPr>
      <w:r w:rsidRPr="00114417">
        <w:rPr>
          <w:rFonts w:ascii="Times New Roman" w:hAnsi="Times New Roman"/>
          <w:sz w:val="24"/>
          <w:szCs w:val="24"/>
        </w:rPr>
        <w:t xml:space="preserve">The sponsor will only be informed of the decision to continue or stop the trial and will not be unblinded to the results until the study has ended. </w:t>
      </w:r>
    </w:p>
    <w:p w14:paraId="6B6B8DD7" w14:textId="2E2887F0" w:rsidR="00F27628" w:rsidRPr="00F27628" w:rsidRDefault="00F27628" w:rsidP="00F27628">
      <w:pPr>
        <w:pStyle w:val="CPTExample"/>
      </w:pPr>
      <w:r w:rsidRPr="00F27628">
        <w:t>&lt;End of example text&gt;</w:t>
      </w:r>
    </w:p>
    <w:p w14:paraId="2E9AECF0" w14:textId="31BFF85C" w:rsidR="00071BE6" w:rsidRDefault="00071BE6" w:rsidP="00071BE6">
      <w:pPr>
        <w:pStyle w:val="Heading2"/>
      </w:pPr>
      <w:bookmarkStart w:id="172" w:name="_Ref34738539"/>
      <w:bookmarkStart w:id="173" w:name="_Toc44422594"/>
      <w:bookmarkStart w:id="174" w:name="_Ref45607096"/>
      <w:bookmarkStart w:id="175" w:name="_Ref45607215"/>
      <w:bookmarkStart w:id="176" w:name="_Toc52192311"/>
      <w:r>
        <w:t>Changes to Protocol-planned Analyses</w:t>
      </w:r>
      <w:bookmarkEnd w:id="172"/>
      <w:bookmarkEnd w:id="173"/>
      <w:bookmarkEnd w:id="174"/>
      <w:bookmarkEnd w:id="175"/>
      <w:bookmarkEnd w:id="176"/>
    </w:p>
    <w:p w14:paraId="08808E74" w14:textId="77777777" w:rsidR="00071BE6" w:rsidRDefault="00071BE6" w:rsidP="00071BE6">
      <w:pPr>
        <w:pStyle w:val="CPTInstructional"/>
      </w:pPr>
      <w:r>
        <w:t>The purpose of this section is to document changes from the planned analyses specified in the protocol. The changes themselves should be incorporated into the relevant sections of this document.</w:t>
      </w:r>
    </w:p>
    <w:p w14:paraId="46E5B4C2" w14:textId="1FCE7202" w:rsidR="00071BE6" w:rsidRDefault="00071BE6" w:rsidP="00071BE6">
      <w:pPr>
        <w:pStyle w:val="CPTInstructional"/>
      </w:pPr>
      <w:r>
        <w:t>This section may be included in the first version of the SAP, ie, not an amendment, if such changes were decided after the initial protocol was finalized. If this section is part of an SAP amendment, then there will be some overlap with the information presented in this section and the version history. Additional justifications may be provided in this section (</w:t>
      </w:r>
      <w:r w:rsidR="3699FC2E">
        <w:t>e.g.</w:t>
      </w:r>
      <w:r>
        <w:t>, for regulatory reasons). Changes made after database lock are out of scope for the SAP.</w:t>
      </w:r>
    </w:p>
    <w:p w14:paraId="75544E4A" w14:textId="77777777" w:rsidR="00071BE6" w:rsidRDefault="00071BE6" w:rsidP="00071BE6">
      <w:pPr>
        <w:pStyle w:val="CPTInstructional"/>
      </w:pPr>
      <w:r>
        <w:t>If there are changes to protocol-planned analyses that were not documented in the final protocol or latest protocol amendment at the time of SAP development, summarize these important changes with rationale, according to ICH E3, Section 9.8. Additional analyses that do not replace planned analyses, or clarifications are not considered changes. If there were no important changes to the protocol-planned analyses, write “Not applicable”.</w:t>
      </w:r>
    </w:p>
    <w:p w14:paraId="2228C5C9" w14:textId="10C2C654" w:rsidR="00071BE6" w:rsidRDefault="00071BE6" w:rsidP="00071BE6">
      <w:pPr>
        <w:pStyle w:val="Heading1"/>
      </w:pPr>
      <w:bookmarkStart w:id="177" w:name="_Toc52192312"/>
      <w:r>
        <w:lastRenderedPageBreak/>
        <w:t>Sample Size Determination</w:t>
      </w:r>
      <w:bookmarkEnd w:id="177"/>
    </w:p>
    <w:p w14:paraId="11386B84" w14:textId="77777777" w:rsidR="00071BE6" w:rsidRDefault="00071BE6" w:rsidP="00071BE6">
      <w:pPr>
        <w:pStyle w:val="CPTInstructional"/>
      </w:pPr>
      <w:r>
        <w:t>This information should be copied directly from the Sample Size Determination section of the CPT (Section 9.5). Additional details may be added to further describe the sample size methods.</w:t>
      </w:r>
    </w:p>
    <w:p w14:paraId="25D40474" w14:textId="77777777" w:rsidR="006110D0" w:rsidRDefault="006110D0" w:rsidP="006110D0">
      <w:pPr>
        <w:pStyle w:val="CPTExample"/>
      </w:pPr>
      <w:r>
        <w:t>&lt;</w:t>
      </w:r>
      <w:r w:rsidRPr="00311D36">
        <w:t xml:space="preserve">Start of suggested </w:t>
      </w:r>
      <w:r>
        <w:t>text</w:t>
      </w:r>
      <w:r w:rsidRPr="00311D36">
        <w:t>&gt;</w:t>
      </w:r>
    </w:p>
    <w:p w14:paraId="51BBA809" w14:textId="3AFAB1A2" w:rsidR="006110D0" w:rsidRPr="00D0603C" w:rsidRDefault="006110D0" w:rsidP="006110D0">
      <w:pPr>
        <w:rPr>
          <w:rStyle w:val="eop"/>
          <w:i/>
          <w:iCs/>
          <w:color w:val="00B050"/>
        </w:rPr>
      </w:pPr>
      <w:r w:rsidRPr="00D0603C">
        <w:rPr>
          <w:rStyle w:val="normaltextrun"/>
          <w:i/>
          <w:iCs/>
          <w:color w:val="00B050"/>
        </w:rPr>
        <w:t>The sample size of this platform study is driven by the total number of ISAs included into the study, the individual effect assumptions and the design specifics of the underlying ISAs. </w:t>
      </w:r>
      <w:r w:rsidRPr="00D0603C">
        <w:rPr>
          <w:rStyle w:val="eop"/>
          <w:i/>
          <w:iCs/>
          <w:color w:val="00B050"/>
        </w:rPr>
        <w:t> </w:t>
      </w:r>
    </w:p>
    <w:p w14:paraId="3E7D5890" w14:textId="115ABDED" w:rsidR="00016337" w:rsidRPr="00D0603C" w:rsidRDefault="00016337" w:rsidP="006110D0">
      <w:pPr>
        <w:rPr>
          <w:rFonts w:eastAsia="Times New Roman" w:cs="Times New Roman"/>
          <w:i/>
          <w:iCs/>
          <w:color w:val="00B050"/>
          <w:szCs w:val="24"/>
        </w:rPr>
      </w:pPr>
      <w:r w:rsidRPr="00D0603C">
        <w:rPr>
          <w:rFonts w:eastAsia="Times New Roman" w:cs="Times New Roman"/>
          <w:i/>
          <w:iCs/>
          <w:color w:val="00B050"/>
          <w:szCs w:val="24"/>
        </w:rPr>
        <w:t>A maximum of [x] participants will be [randomly</w:t>
      </w:r>
      <w:r w:rsidR="000D6206" w:rsidRPr="00D0603C">
        <w:rPr>
          <w:rFonts w:eastAsia="Times New Roman" w:cs="Times New Roman"/>
          <w:i/>
          <w:iCs/>
          <w:color w:val="00B050"/>
          <w:szCs w:val="24"/>
        </w:rPr>
        <w:t xml:space="preserve"> assigned/enrolled] to each study intervention in the platform study.</w:t>
      </w:r>
      <w:r w:rsidRPr="00D0603C">
        <w:rPr>
          <w:rFonts w:eastAsia="Times New Roman" w:cs="Times New Roman"/>
          <w:i/>
          <w:iCs/>
          <w:color w:val="00B050"/>
          <w:szCs w:val="24"/>
        </w:rPr>
        <w:t xml:space="preserve"> </w:t>
      </w:r>
    </w:p>
    <w:p w14:paraId="272A4F91" w14:textId="4DF880AE" w:rsidR="006110D0" w:rsidRPr="00C20FB7" w:rsidRDefault="006110D0" w:rsidP="00C20FB7">
      <w:pPr>
        <w:pStyle w:val="CPTInstructional"/>
      </w:pPr>
      <w:r w:rsidRPr="6E66B177">
        <w:rPr>
          <w:rStyle w:val="normaltextrun"/>
        </w:rPr>
        <w:t xml:space="preserve">If data between ISAs to be shared, </w:t>
      </w:r>
      <w:r w:rsidR="053243D3" w:rsidRPr="6E66B177">
        <w:rPr>
          <w:rStyle w:val="normaltextrun"/>
        </w:rPr>
        <w:t>e.g.,</w:t>
      </w:r>
      <w:r w:rsidRPr="6E66B177">
        <w:rPr>
          <w:rStyle w:val="normaltextrun"/>
        </w:rPr>
        <w:t xml:space="preserve"> concurrent control</w:t>
      </w:r>
    </w:p>
    <w:p w14:paraId="1D3B2F8A" w14:textId="77777777" w:rsidR="006110D0" w:rsidRPr="00D0603C" w:rsidRDefault="006110D0" w:rsidP="006110D0">
      <w:pPr>
        <w:rPr>
          <w:rFonts w:eastAsia="Times New Roman" w:cs="Times New Roman"/>
          <w:i/>
          <w:iCs/>
          <w:color w:val="00B050"/>
          <w:szCs w:val="24"/>
        </w:rPr>
      </w:pPr>
      <w:r w:rsidRPr="00D0603C">
        <w:rPr>
          <w:rStyle w:val="normaltextrun"/>
          <w:i/>
          <w:iCs/>
          <w:color w:val="00B050"/>
        </w:rPr>
        <w:t>Due to the sharing of concurrent data, operating characteristics of the platform study will depend on the time of inclusion of ISAs and the enrollment rate into the different ISAs</w:t>
      </w:r>
      <w:r w:rsidRPr="00D0603C">
        <w:rPr>
          <w:rStyle w:val="eop"/>
          <w:i/>
          <w:iCs/>
          <w:color w:val="00B050"/>
        </w:rPr>
        <w:t>.</w:t>
      </w:r>
    </w:p>
    <w:p w14:paraId="029B8E03" w14:textId="77777777" w:rsidR="006110D0" w:rsidRPr="00C20FB7" w:rsidRDefault="006110D0" w:rsidP="00C20FB7">
      <w:pPr>
        <w:pStyle w:val="CPTInstructional"/>
      </w:pPr>
      <w:r w:rsidRPr="00C20FB7">
        <w:rPr>
          <w:rStyle w:val="normaltextrun"/>
        </w:rPr>
        <w:t>Clause adding flexibility on effect assumptions due to new information</w:t>
      </w:r>
      <w:r w:rsidRPr="00C20FB7">
        <w:rPr>
          <w:rStyle w:val="eop"/>
        </w:rPr>
        <w:t> </w:t>
      </w:r>
    </w:p>
    <w:p w14:paraId="24A3CA81" w14:textId="77777777" w:rsidR="006110D0" w:rsidRPr="00523EE9" w:rsidRDefault="006110D0" w:rsidP="006110D0">
      <w:pPr>
        <w:rPr>
          <w:rStyle w:val="normaltextrun"/>
        </w:rPr>
      </w:pPr>
      <w:r w:rsidRPr="00D0603C">
        <w:rPr>
          <w:rStyle w:val="normaltextrun"/>
          <w:color w:val="00B050"/>
        </w:rPr>
        <w:t>The available information on the endpoints used for decision making is expected to change over the duration of the platform study and will be considered in the confirmation of the required sample size of newly added ISAs. </w:t>
      </w:r>
      <w:r w:rsidRPr="00523EE9">
        <w:rPr>
          <w:rStyle w:val="normaltextrun"/>
        </w:rPr>
        <w:t> </w:t>
      </w:r>
    </w:p>
    <w:p w14:paraId="3A9C804C" w14:textId="77777777" w:rsidR="006110D0" w:rsidRPr="00C20FB7" w:rsidRDefault="006110D0" w:rsidP="00C20FB7">
      <w:pPr>
        <w:pStyle w:val="CPTInstructional"/>
        <w:rPr>
          <w:rStyle w:val="normaltextrun"/>
        </w:rPr>
      </w:pPr>
      <w:r w:rsidRPr="00C20FB7">
        <w:rPr>
          <w:rStyle w:val="normaltextrun"/>
        </w:rPr>
        <w:t>Endpoint to be used/Decision rule: </w:t>
      </w:r>
    </w:p>
    <w:p w14:paraId="20F2AE64" w14:textId="77777777" w:rsidR="006110D0" w:rsidRPr="00D0603C" w:rsidRDefault="006110D0" w:rsidP="006110D0">
      <w:pPr>
        <w:rPr>
          <w:rStyle w:val="normaltextrun"/>
          <w:i/>
          <w:iCs/>
          <w:color w:val="FF0000"/>
        </w:rPr>
      </w:pPr>
      <w:r w:rsidRPr="00D0603C">
        <w:rPr>
          <w:rStyle w:val="normaltextrun"/>
          <w:i/>
          <w:iCs/>
          <w:color w:val="FF0000"/>
        </w:rPr>
        <w:t>Unless specified differently in the specific ISAs, decision making for an ISA in this platform study will be based on (pick one of the below) </w:t>
      </w:r>
    </w:p>
    <w:p w14:paraId="1918F072" w14:textId="516D77C4" w:rsidR="006110D0" w:rsidRPr="00D0603C" w:rsidRDefault="006110D0" w:rsidP="006110D0">
      <w:pPr>
        <w:rPr>
          <w:rStyle w:val="normaltextrun"/>
          <w:i/>
          <w:iCs/>
          <w:color w:val="FF0000"/>
        </w:rPr>
      </w:pPr>
      <w:r w:rsidRPr="00D0603C">
        <w:rPr>
          <w:rStyle w:val="normaltextrun"/>
          <w:i/>
          <w:iCs/>
          <w:color w:val="FF0000"/>
        </w:rPr>
        <w:t xml:space="preserve">- frequentist </w:t>
      </w:r>
      <w:r w:rsidR="00337641" w:rsidRPr="00D0603C">
        <w:rPr>
          <w:rStyle w:val="normaltextrun"/>
          <w:i/>
          <w:iCs/>
          <w:color w:val="FF0000"/>
        </w:rPr>
        <w:t xml:space="preserve">(superiority / non-inferiority) </w:t>
      </w:r>
      <w:r w:rsidRPr="00D0603C">
        <w:rPr>
          <w:rStyle w:val="normaltextrun"/>
          <w:i/>
          <w:iCs/>
          <w:color w:val="FF0000"/>
        </w:rPr>
        <w:t>testing at one-sided significance level alpha of [</w:t>
      </w:r>
      <w:r w:rsidRPr="00D0603C">
        <w:rPr>
          <w:rStyle w:val="CPTVariable"/>
          <w:i/>
          <w:iCs/>
          <w:color w:val="FF0000"/>
        </w:rPr>
        <w:t>X</w:t>
      </w:r>
      <w:r w:rsidRPr="00D0603C">
        <w:rPr>
          <w:rStyle w:val="normaltextrun"/>
          <w:i/>
          <w:iCs/>
          <w:color w:val="FF0000"/>
        </w:rPr>
        <w:t>] </w:t>
      </w:r>
    </w:p>
    <w:p w14:paraId="6CCD0F24" w14:textId="1B3F30CD" w:rsidR="006110D0" w:rsidRPr="00D0603C" w:rsidRDefault="006110D0" w:rsidP="006110D0">
      <w:pPr>
        <w:rPr>
          <w:rStyle w:val="normaltextrun"/>
          <w:i/>
          <w:iCs/>
          <w:color w:val="FF0000"/>
        </w:rPr>
      </w:pPr>
      <w:r w:rsidRPr="00D0603C">
        <w:rPr>
          <w:rStyle w:val="normaltextrun"/>
          <w:i/>
          <w:iCs/>
          <w:color w:val="FF0000"/>
        </w:rPr>
        <w:t>- "</w:t>
      </w:r>
      <w:r w:rsidR="00337641" w:rsidRPr="00D0603C">
        <w:rPr>
          <w:rStyle w:val="normaltextrun"/>
          <w:i/>
          <w:iCs/>
          <w:color w:val="FF0000"/>
        </w:rPr>
        <w:t>B</w:t>
      </w:r>
      <w:r w:rsidRPr="00D0603C">
        <w:rPr>
          <w:rStyle w:val="normaltextrun"/>
          <w:i/>
          <w:iCs/>
          <w:color w:val="FF0000"/>
        </w:rPr>
        <w:t>ayesian inference", targeting the posterior probability of no effects below alpha </w:t>
      </w:r>
    </w:p>
    <w:p w14:paraId="11CACE18" w14:textId="77777777" w:rsidR="006110D0" w:rsidRPr="00D0603C" w:rsidRDefault="006110D0" w:rsidP="006110D0">
      <w:pPr>
        <w:rPr>
          <w:rStyle w:val="normaltextrun"/>
          <w:i/>
          <w:iCs/>
          <w:color w:val="FF0000"/>
        </w:rPr>
      </w:pPr>
      <w:r w:rsidRPr="00D0603C">
        <w:rPr>
          <w:rStyle w:val="normaltextrun"/>
          <w:i/>
          <w:iCs/>
          <w:color w:val="FF0000"/>
        </w:rPr>
        <w:t>- the location of 1-sided 1-alpha-confidence/credibility intervals relative to targeted effects </w:t>
      </w:r>
    </w:p>
    <w:p w14:paraId="2C51257E" w14:textId="77777777" w:rsidR="006110D0" w:rsidRPr="00D0603C" w:rsidRDefault="006110D0" w:rsidP="006110D0">
      <w:pPr>
        <w:rPr>
          <w:rStyle w:val="normaltextrun"/>
          <w:i/>
          <w:iCs/>
          <w:color w:val="FF0000"/>
        </w:rPr>
      </w:pPr>
      <w:r w:rsidRPr="00D0603C">
        <w:rPr>
          <w:rStyle w:val="normaltextrun"/>
          <w:i/>
          <w:iCs/>
          <w:color w:val="FF0000"/>
        </w:rPr>
        <w:t>- other </w:t>
      </w:r>
    </w:p>
    <w:p w14:paraId="40182425" w14:textId="37794BB3" w:rsidR="006110D0" w:rsidRPr="004652FB" w:rsidRDefault="006110D0" w:rsidP="006110D0">
      <w:pPr>
        <w:rPr>
          <w:rStyle w:val="normaltextrun"/>
        </w:rPr>
      </w:pPr>
      <w:r w:rsidRPr="00D0603C">
        <w:rPr>
          <w:rStyle w:val="normaltextrun"/>
          <w:i/>
          <w:iCs/>
          <w:color w:val="FF0000"/>
        </w:rPr>
        <w:t>on the endpoint "x", as described in the section [</w:t>
      </w:r>
      <w:r w:rsidRPr="00D0603C">
        <w:rPr>
          <w:rStyle w:val="CPTVariable"/>
          <w:i/>
          <w:iCs/>
          <w:color w:val="FF0000"/>
        </w:rPr>
        <w:t>X</w:t>
      </w:r>
      <w:r w:rsidRPr="00D0603C">
        <w:rPr>
          <w:rStyle w:val="normaltextrun"/>
          <w:i/>
          <w:iCs/>
          <w:color w:val="FF0000"/>
        </w:rPr>
        <w:t xml:space="preserve">] of the </w:t>
      </w:r>
      <w:r w:rsidR="005E0D6A">
        <w:rPr>
          <w:rStyle w:val="normaltextrun"/>
          <w:i/>
          <w:iCs/>
          <w:color w:val="FF0000"/>
        </w:rPr>
        <w:t>Master Protocol</w:t>
      </w:r>
      <w:r w:rsidRPr="00D0603C">
        <w:rPr>
          <w:rStyle w:val="normaltextrun"/>
          <w:i/>
          <w:iCs/>
          <w:color w:val="FF0000"/>
        </w:rPr>
        <w:t>.</w:t>
      </w:r>
      <w:r w:rsidRPr="00D0603C">
        <w:rPr>
          <w:rStyle w:val="normaltextrun"/>
          <w:i/>
          <w:iCs/>
        </w:rPr>
        <w:t> </w:t>
      </w:r>
    </w:p>
    <w:p w14:paraId="792F8351" w14:textId="77777777" w:rsidR="006110D0" w:rsidRPr="004652FB" w:rsidRDefault="006110D0" w:rsidP="006110D0">
      <w:pPr>
        <w:pStyle w:val="CPTInstructional"/>
        <w:rPr>
          <w:rStyle w:val="normaltextrun"/>
        </w:rPr>
      </w:pPr>
      <w:r w:rsidRPr="004652FB">
        <w:rPr>
          <w:rStyle w:val="normaltextrun"/>
        </w:rPr>
        <w:t>Approximate sample size text (Based on worst case scenario): </w:t>
      </w:r>
    </w:p>
    <w:p w14:paraId="2ECDBF80" w14:textId="77777777" w:rsidR="006110D0" w:rsidRPr="004652FB" w:rsidRDefault="006110D0" w:rsidP="006110D0">
      <w:r w:rsidRPr="00D0603C">
        <w:rPr>
          <w:rStyle w:val="normaltextrun"/>
          <w:i/>
          <w:iCs/>
          <w:color w:val="00B050"/>
        </w:rPr>
        <w:t>Assuming a minimum clinically relevant effect of</w:t>
      </w:r>
      <w:r w:rsidRPr="00D0603C">
        <w:rPr>
          <w:rStyle w:val="normaltextrun"/>
          <w:color w:val="00B050"/>
        </w:rPr>
        <w:t xml:space="preserve"> </w:t>
      </w:r>
      <w:r w:rsidRPr="004652FB">
        <w:rPr>
          <w:rStyle w:val="normaltextrun"/>
        </w:rPr>
        <w:t>[</w:t>
      </w:r>
      <w:r w:rsidRPr="004652FB">
        <w:rPr>
          <w:rStyle w:val="CPTVariable"/>
        </w:rPr>
        <w:t>X</w:t>
      </w:r>
      <w:r w:rsidRPr="004652FB">
        <w:rPr>
          <w:rStyle w:val="normaltextrun"/>
        </w:rPr>
        <w:t xml:space="preserve">] </w:t>
      </w:r>
      <w:r w:rsidRPr="00D0603C">
        <w:rPr>
          <w:rStyle w:val="normaltextrun"/>
          <w:i/>
          <w:iCs/>
          <w:color w:val="00B050"/>
        </w:rPr>
        <w:t>and a randomization ratio of</w:t>
      </w:r>
      <w:r w:rsidRPr="00D0603C">
        <w:rPr>
          <w:rStyle w:val="normaltextrun"/>
          <w:color w:val="00B050"/>
        </w:rPr>
        <w:t xml:space="preserve"> </w:t>
      </w:r>
      <w:r w:rsidRPr="004652FB">
        <w:rPr>
          <w:rStyle w:val="normaltextrun"/>
        </w:rPr>
        <w:t>[</w:t>
      </w:r>
      <w:r w:rsidRPr="004652FB">
        <w:rPr>
          <w:rStyle w:val="CPTVariable"/>
        </w:rPr>
        <w:t>X</w:t>
      </w:r>
      <w:r w:rsidRPr="004652FB">
        <w:rPr>
          <w:rStyle w:val="normaltextrun"/>
        </w:rPr>
        <w:t>] [</w:t>
      </w:r>
      <w:r w:rsidRPr="00D0603C">
        <w:rPr>
          <w:rStyle w:val="CPTVariable"/>
          <w:i/>
          <w:iCs/>
        </w:rPr>
        <w:t>and an inflation of the control group size per ISA by [X] due to the use of concurrent control data</w:t>
      </w:r>
      <w:r w:rsidRPr="004652FB">
        <w:t xml:space="preserve">], </w:t>
      </w:r>
      <w:r w:rsidRPr="00D0603C">
        <w:rPr>
          <w:i/>
          <w:iCs/>
          <w:color w:val="00B050"/>
        </w:rPr>
        <w:t>up to</w:t>
      </w:r>
      <w:r w:rsidRPr="00D0603C">
        <w:rPr>
          <w:color w:val="00B050"/>
        </w:rPr>
        <w:t xml:space="preserve"> </w:t>
      </w:r>
      <w:r w:rsidRPr="004652FB">
        <w:t>[</w:t>
      </w:r>
      <w:r w:rsidRPr="004652FB">
        <w:rPr>
          <w:rStyle w:val="CPTVariable"/>
        </w:rPr>
        <w:t>X</w:t>
      </w:r>
      <w:r w:rsidRPr="004652FB">
        <w:t xml:space="preserve">] </w:t>
      </w:r>
      <w:r w:rsidRPr="00D0603C">
        <w:rPr>
          <w:i/>
          <w:iCs/>
          <w:color w:val="00B050"/>
        </w:rPr>
        <w:t>subjects will need to be evaluable per ISA to assert a</w:t>
      </w:r>
      <w:r w:rsidRPr="004652FB">
        <w:t> (</w:t>
      </w:r>
      <w:r w:rsidRPr="004652FB">
        <w:rPr>
          <w:rStyle w:val="normaltextrun"/>
          <w:rFonts w:cs="Arial"/>
          <w:vanish/>
          <w:color w:val="FF0000"/>
          <w:sz w:val="22"/>
          <w:szCs w:val="20"/>
        </w:rPr>
        <w:t>pick one of the below</w:t>
      </w:r>
      <w:r w:rsidRPr="004652FB">
        <w:t>) </w:t>
      </w:r>
    </w:p>
    <w:p w14:paraId="26385BC1" w14:textId="77777777" w:rsidR="006110D0" w:rsidRPr="004652FB" w:rsidRDefault="006110D0" w:rsidP="006110D0">
      <w:pPr>
        <w:rPr>
          <w:rStyle w:val="normaltextrun"/>
        </w:rPr>
      </w:pPr>
      <w:r w:rsidRPr="004652FB">
        <w:rPr>
          <w:rStyle w:val="normaltextrun"/>
        </w:rPr>
        <w:t xml:space="preserve">- </w:t>
      </w:r>
      <w:r w:rsidRPr="00D0603C">
        <w:rPr>
          <w:rStyle w:val="normaltextrun"/>
          <w:i/>
          <w:iCs/>
          <w:color w:val="00B050"/>
        </w:rPr>
        <w:t>probability of success of at least</w:t>
      </w:r>
      <w:r w:rsidRPr="00D0603C">
        <w:rPr>
          <w:rStyle w:val="normaltextrun"/>
          <w:color w:val="00B050"/>
        </w:rPr>
        <w:t xml:space="preserve"> </w:t>
      </w:r>
      <w:r w:rsidRPr="004652FB">
        <w:rPr>
          <w:rStyle w:val="normaltextrun"/>
        </w:rPr>
        <w:t>[</w:t>
      </w:r>
      <w:r w:rsidRPr="004652FB">
        <w:rPr>
          <w:rStyle w:val="CPTVariable"/>
        </w:rPr>
        <w:t>X</w:t>
      </w:r>
      <w:r w:rsidRPr="004652FB">
        <w:rPr>
          <w:rStyle w:val="normaltextrun"/>
        </w:rPr>
        <w:t xml:space="preserve">] </w:t>
      </w:r>
      <w:r w:rsidRPr="00D0603C">
        <w:rPr>
          <w:rStyle w:val="normaltextrun"/>
          <w:color w:val="00B050"/>
        </w:rPr>
        <w:t>for the ISA</w:t>
      </w:r>
      <w:r w:rsidRPr="004652FB">
        <w:rPr>
          <w:rStyle w:val="normaltextrun"/>
        </w:rPr>
        <w:t> </w:t>
      </w:r>
    </w:p>
    <w:p w14:paraId="5B24D52D" w14:textId="77777777" w:rsidR="006110D0" w:rsidRPr="004652FB" w:rsidRDefault="006110D0" w:rsidP="006110D0">
      <w:pPr>
        <w:rPr>
          <w:rStyle w:val="normaltextrun"/>
        </w:rPr>
      </w:pPr>
      <w:r w:rsidRPr="004652FB">
        <w:rPr>
          <w:rStyle w:val="normaltextrun"/>
        </w:rPr>
        <w:t xml:space="preserve">- </w:t>
      </w:r>
      <w:r w:rsidRPr="00D0603C">
        <w:rPr>
          <w:rStyle w:val="normaltextrun"/>
          <w:i/>
          <w:iCs/>
          <w:color w:val="00B050"/>
        </w:rPr>
        <w:t>probability of inconclusive results of at most</w:t>
      </w:r>
      <w:r w:rsidRPr="004652FB">
        <w:rPr>
          <w:rStyle w:val="normaltextrun"/>
        </w:rPr>
        <w:t xml:space="preserve"> [</w:t>
      </w:r>
      <w:r w:rsidRPr="004652FB">
        <w:rPr>
          <w:rStyle w:val="CPTVariable"/>
        </w:rPr>
        <w:t>X</w:t>
      </w:r>
      <w:r w:rsidRPr="004652FB">
        <w:rPr>
          <w:rStyle w:val="normaltextrun"/>
        </w:rPr>
        <w:t xml:space="preserve">] </w:t>
      </w:r>
      <w:r w:rsidRPr="00D0603C">
        <w:rPr>
          <w:rStyle w:val="normaltextrun"/>
          <w:i/>
          <w:iCs/>
          <w:color w:val="00B050"/>
        </w:rPr>
        <w:t>for the ISA</w:t>
      </w:r>
      <w:r w:rsidRPr="004652FB">
        <w:rPr>
          <w:rStyle w:val="normaltextrun"/>
        </w:rPr>
        <w:t>. </w:t>
      </w:r>
    </w:p>
    <w:p w14:paraId="2F1305ED" w14:textId="77777777" w:rsidR="006110D0" w:rsidRPr="004652FB" w:rsidRDefault="006110D0" w:rsidP="006110D0">
      <w:pPr>
        <w:rPr>
          <w:rStyle w:val="normaltextrun"/>
        </w:rPr>
      </w:pPr>
      <w:r w:rsidRPr="00D0603C">
        <w:rPr>
          <w:rStyle w:val="normaltextrun"/>
          <w:i/>
          <w:iCs/>
          <w:color w:val="00B050"/>
        </w:rPr>
        <w:t>A total sample size for the platform study of</w:t>
      </w:r>
      <w:r w:rsidRPr="004652FB">
        <w:rPr>
          <w:rStyle w:val="normaltextrun"/>
        </w:rPr>
        <w:t xml:space="preserve"> [</w:t>
      </w:r>
      <w:r w:rsidRPr="004652FB">
        <w:rPr>
          <w:rStyle w:val="CPTVariable"/>
        </w:rPr>
        <w:t>X</w:t>
      </w:r>
      <w:r w:rsidRPr="004652FB">
        <w:rPr>
          <w:rStyle w:val="normaltextrun"/>
        </w:rPr>
        <w:t xml:space="preserve">] </w:t>
      </w:r>
      <w:r w:rsidRPr="00D0603C">
        <w:rPr>
          <w:rStyle w:val="normaltextrun"/>
          <w:i/>
          <w:iCs/>
          <w:color w:val="00B050"/>
        </w:rPr>
        <w:t>evaluable participants will allow evaluation of</w:t>
      </w:r>
      <w:r w:rsidRPr="00D0603C">
        <w:rPr>
          <w:rStyle w:val="normaltextrun"/>
          <w:color w:val="00B050"/>
        </w:rPr>
        <w:t xml:space="preserve"> </w:t>
      </w:r>
      <w:r w:rsidRPr="004652FB">
        <w:rPr>
          <w:rStyle w:val="normaltextrun"/>
        </w:rPr>
        <w:t>[</w:t>
      </w:r>
      <w:r w:rsidRPr="004652FB">
        <w:rPr>
          <w:rStyle w:val="CPTVariable"/>
        </w:rPr>
        <w:t>X</w:t>
      </w:r>
      <w:r w:rsidRPr="004652FB">
        <w:rPr>
          <w:rStyle w:val="normaltextrun"/>
        </w:rPr>
        <w:t xml:space="preserve">] </w:t>
      </w:r>
      <w:r w:rsidRPr="00D0603C">
        <w:rPr>
          <w:rStyle w:val="normaltextrun"/>
          <w:i/>
          <w:iCs/>
          <w:color w:val="00B050"/>
        </w:rPr>
        <w:t>ISAs under these assumed common effect assumptions</w:t>
      </w:r>
      <w:r w:rsidRPr="004652FB">
        <w:rPr>
          <w:rStyle w:val="normaltextrun"/>
        </w:rPr>
        <w:t>. </w:t>
      </w:r>
    </w:p>
    <w:p w14:paraId="07D72221" w14:textId="77777777" w:rsidR="006110D0" w:rsidRPr="004652FB" w:rsidRDefault="006110D0" w:rsidP="006110D0">
      <w:pPr>
        <w:rPr>
          <w:rStyle w:val="normaltextrun"/>
        </w:rPr>
      </w:pPr>
      <w:r w:rsidRPr="00D0603C">
        <w:rPr>
          <w:rStyle w:val="normaltextrun"/>
          <w:i/>
          <w:iCs/>
          <w:color w:val="00B050"/>
        </w:rPr>
        <w:t>Based on the common effect assumptions and assuming the sample size of [</w:t>
      </w:r>
      <w:r w:rsidRPr="00D0603C">
        <w:rPr>
          <w:rStyle w:val="CPTVariable"/>
          <w:i/>
          <w:iCs/>
          <w:color w:val="00B050"/>
        </w:rPr>
        <w:t>X</w:t>
      </w:r>
      <w:r w:rsidRPr="00D0603C">
        <w:rPr>
          <w:rStyle w:val="normaltextrun"/>
          <w:i/>
          <w:iCs/>
          <w:color w:val="00B050"/>
        </w:rPr>
        <w:t>] per ISA and a total number of</w:t>
      </w:r>
      <w:r w:rsidRPr="00D0603C">
        <w:rPr>
          <w:rStyle w:val="normaltextrun"/>
          <w:color w:val="00B050"/>
        </w:rPr>
        <w:t xml:space="preserve"> </w:t>
      </w:r>
      <w:r w:rsidRPr="004652FB">
        <w:rPr>
          <w:rStyle w:val="normaltextrun"/>
        </w:rPr>
        <w:t>[</w:t>
      </w:r>
      <w:r w:rsidRPr="004652FB">
        <w:rPr>
          <w:rStyle w:val="CPTVariable"/>
        </w:rPr>
        <w:t>X</w:t>
      </w:r>
      <w:r w:rsidRPr="004652FB">
        <w:rPr>
          <w:rStyle w:val="normaltextrun"/>
        </w:rPr>
        <w:t xml:space="preserve">] </w:t>
      </w:r>
      <w:r w:rsidRPr="00D0603C">
        <w:rPr>
          <w:rStyle w:val="normaltextrun"/>
          <w:i/>
          <w:iCs/>
          <w:color w:val="00B050"/>
        </w:rPr>
        <w:t xml:space="preserve">ISAs, the probability to detect at least one intervention as effective is: </w:t>
      </w:r>
      <w:r w:rsidRPr="004652FB">
        <w:rPr>
          <w:rStyle w:val="normaltextrun"/>
        </w:rPr>
        <w:t>[</w:t>
      </w:r>
      <w:r w:rsidRPr="004652FB">
        <w:rPr>
          <w:rStyle w:val="CPTVariable"/>
        </w:rPr>
        <w:t>X</w:t>
      </w:r>
      <w:r w:rsidRPr="004652FB">
        <w:rPr>
          <w:rStyle w:val="normaltextrun"/>
        </w:rPr>
        <w:t>]. </w:t>
      </w:r>
    </w:p>
    <w:p w14:paraId="6344F4F9" w14:textId="77777777" w:rsidR="006110D0" w:rsidRPr="004652FB" w:rsidRDefault="006110D0" w:rsidP="006110D0">
      <w:pPr>
        <w:pStyle w:val="CPTInstructional"/>
        <w:rPr>
          <w:rStyle w:val="normaltextrun"/>
        </w:rPr>
      </w:pPr>
      <w:r w:rsidRPr="004652FB">
        <w:rPr>
          <w:rStyle w:val="normaltextrun"/>
        </w:rPr>
        <w:t>Simulation guided sample size text </w:t>
      </w:r>
    </w:p>
    <w:p w14:paraId="6776DC01" w14:textId="77777777" w:rsidR="006110D0" w:rsidRPr="004652FB" w:rsidRDefault="006110D0" w:rsidP="006110D0">
      <w:pPr>
        <w:rPr>
          <w:rStyle w:val="normaltextrun"/>
        </w:rPr>
      </w:pPr>
      <w:r w:rsidRPr="00D0603C">
        <w:rPr>
          <w:rStyle w:val="normaltextrun"/>
          <w:i/>
          <w:iCs/>
          <w:color w:val="00B050"/>
        </w:rPr>
        <w:t>The required sample size of this platform study has been estimated based on clinical study simulations. Given the simulation results, at most</w:t>
      </w:r>
      <w:r w:rsidRPr="004652FB">
        <w:rPr>
          <w:rStyle w:val="normaltextrun"/>
        </w:rPr>
        <w:t xml:space="preserve"> [</w:t>
      </w:r>
      <w:r w:rsidRPr="004652FB">
        <w:rPr>
          <w:rStyle w:val="CPTVariable"/>
        </w:rPr>
        <w:t>X</w:t>
      </w:r>
      <w:r w:rsidRPr="004652FB">
        <w:rPr>
          <w:rStyle w:val="normaltextrun"/>
        </w:rPr>
        <w:t xml:space="preserve">] </w:t>
      </w:r>
      <w:r w:rsidRPr="00D0603C">
        <w:rPr>
          <w:rStyle w:val="normaltextrun"/>
          <w:i/>
          <w:iCs/>
          <w:color w:val="00B050"/>
        </w:rPr>
        <w:t xml:space="preserve">subjects are required to be randomized for </w:t>
      </w:r>
      <w:r w:rsidRPr="00D0603C">
        <w:rPr>
          <w:rStyle w:val="normaltextrun"/>
          <w:i/>
          <w:iCs/>
          <w:color w:val="00B050"/>
        </w:rPr>
        <w:lastRenderedPageBreak/>
        <w:t>the evaluation of</w:t>
      </w:r>
      <w:r w:rsidRPr="00D0603C">
        <w:rPr>
          <w:rStyle w:val="normaltextrun"/>
          <w:color w:val="00B050"/>
        </w:rPr>
        <w:t xml:space="preserve"> </w:t>
      </w:r>
      <w:r w:rsidRPr="004652FB">
        <w:rPr>
          <w:rStyle w:val="normaltextrun"/>
        </w:rPr>
        <w:t>[</w:t>
      </w:r>
      <w:r w:rsidRPr="004652FB">
        <w:rPr>
          <w:rStyle w:val="CPTVariable"/>
        </w:rPr>
        <w:t>X</w:t>
      </w:r>
      <w:r w:rsidRPr="004652FB">
        <w:rPr>
          <w:rStyle w:val="normaltextrun"/>
        </w:rPr>
        <w:t xml:space="preserve">] </w:t>
      </w:r>
      <w:r w:rsidRPr="00D0603C">
        <w:rPr>
          <w:rStyle w:val="normaltextrun"/>
          <w:i/>
          <w:iCs/>
          <w:color w:val="00B050"/>
        </w:rPr>
        <w:t>ISAs. A total sample size of</w:t>
      </w:r>
      <w:r w:rsidRPr="00D0603C">
        <w:rPr>
          <w:rStyle w:val="normaltextrun"/>
          <w:color w:val="00B050"/>
        </w:rPr>
        <w:t xml:space="preserve"> </w:t>
      </w:r>
      <w:r w:rsidRPr="004652FB">
        <w:rPr>
          <w:rStyle w:val="normaltextrun"/>
        </w:rPr>
        <w:t>[</w:t>
      </w:r>
      <w:r w:rsidRPr="004652FB">
        <w:rPr>
          <w:rStyle w:val="CPTVariable"/>
        </w:rPr>
        <w:t>X</w:t>
      </w:r>
      <w:r w:rsidRPr="004652FB">
        <w:rPr>
          <w:rStyle w:val="normaltextrun"/>
        </w:rPr>
        <w:t xml:space="preserve">] </w:t>
      </w:r>
      <w:r w:rsidRPr="00D0603C">
        <w:rPr>
          <w:rStyle w:val="normaltextrun"/>
          <w:i/>
          <w:iCs/>
          <w:color w:val="00B050"/>
        </w:rPr>
        <w:t>is expected to be required for the platform study. Sample size and operation characteristics of the platform study will depend on the actual entry times of ISAs, enrollment into the ISAs and on the treatment effects. The simulation report summarizes operating characteristics of the study design under various scenarios.</w:t>
      </w:r>
      <w:r w:rsidRPr="00D0603C">
        <w:rPr>
          <w:rStyle w:val="normaltextrun"/>
          <w:color w:val="00B050"/>
        </w:rPr>
        <w:t>  </w:t>
      </w:r>
    </w:p>
    <w:p w14:paraId="55E3139D" w14:textId="77777777" w:rsidR="006110D0" w:rsidRPr="004652FB" w:rsidRDefault="006110D0" w:rsidP="006110D0">
      <w:pPr>
        <w:pStyle w:val="CPTInstructional"/>
        <w:rPr>
          <w:rStyle w:val="normaltextrun"/>
        </w:rPr>
      </w:pPr>
      <w:r w:rsidRPr="004652FB">
        <w:rPr>
          <w:rStyle w:val="normaltextrun"/>
        </w:rPr>
        <w:t>No sample size text – defer to ISA </w:t>
      </w:r>
    </w:p>
    <w:p w14:paraId="0374548B" w14:textId="77777777" w:rsidR="006110D0" w:rsidRPr="00D0603C" w:rsidRDefault="006110D0" w:rsidP="006110D0">
      <w:pPr>
        <w:rPr>
          <w:rStyle w:val="normaltextrun"/>
          <w:i/>
          <w:iCs/>
        </w:rPr>
      </w:pPr>
      <w:r w:rsidRPr="00D0603C">
        <w:rPr>
          <w:rStyle w:val="normaltextrun"/>
          <w:i/>
          <w:iCs/>
          <w:color w:val="00B050"/>
        </w:rPr>
        <w:t>The required sample size of the platform study will be driven by the design and the objectives of the specific ISAs and the predicted performance of the planned analyses on the endpoints of interest, including effect assumptions for the ISAs.</w:t>
      </w:r>
      <w:r w:rsidRPr="00D0603C">
        <w:rPr>
          <w:rStyle w:val="eop"/>
          <w:i/>
          <w:iCs/>
          <w:color w:val="00B050"/>
        </w:rPr>
        <w:t> </w:t>
      </w:r>
    </w:p>
    <w:p w14:paraId="20DBF831" w14:textId="77777777" w:rsidR="006110D0" w:rsidRPr="00D0603C" w:rsidRDefault="006110D0" w:rsidP="006110D0">
      <w:pPr>
        <w:pStyle w:val="paragraph0"/>
        <w:textAlignment w:val="baseline"/>
        <w:rPr>
          <w:rFonts w:ascii="Segoe UI" w:hAnsi="Segoe UI" w:cs="Segoe UI"/>
          <w:i/>
          <w:iCs/>
          <w:sz w:val="18"/>
          <w:szCs w:val="18"/>
        </w:rPr>
      </w:pPr>
      <w:r w:rsidRPr="00D0603C">
        <w:rPr>
          <w:rStyle w:val="normaltextrun"/>
          <w:rFonts w:eastAsia="MS Gothic"/>
          <w:i/>
          <w:iCs/>
          <w:color w:val="00B050"/>
        </w:rPr>
        <w:t>Details on the sample size calculation will be provided in the respective intervention cohorts.</w:t>
      </w:r>
      <w:r w:rsidRPr="00D0603C">
        <w:rPr>
          <w:rStyle w:val="eop"/>
          <w:rFonts w:eastAsia="MS Gothic"/>
          <w:i/>
          <w:iCs/>
        </w:rPr>
        <w:t> </w:t>
      </w:r>
    </w:p>
    <w:p w14:paraId="31CD4346" w14:textId="77777777" w:rsidR="006110D0" w:rsidRPr="004652FB" w:rsidRDefault="006110D0" w:rsidP="006110D0">
      <w:pPr>
        <w:pStyle w:val="CPTInstructional"/>
        <w:rPr>
          <w:rStyle w:val="normaltextrun"/>
        </w:rPr>
      </w:pPr>
      <w:r w:rsidRPr="004652FB">
        <w:rPr>
          <w:rStyle w:val="normaltextrun"/>
        </w:rPr>
        <w:t>If subpopulations of special interest exist / Enrichment</w:t>
      </w:r>
      <w:r w:rsidRPr="004652FB">
        <w:rPr>
          <w:rStyle w:val="eop"/>
        </w:rPr>
        <w:t> </w:t>
      </w:r>
    </w:p>
    <w:p w14:paraId="2A9A953F" w14:textId="77777777" w:rsidR="006110D0" w:rsidRPr="00D0603C" w:rsidRDefault="006110D0" w:rsidP="006110D0">
      <w:pPr>
        <w:rPr>
          <w:rStyle w:val="normaltextrun"/>
          <w:i/>
          <w:iCs/>
          <w:color w:val="00B050"/>
        </w:rPr>
      </w:pPr>
      <w:r w:rsidRPr="00D0603C">
        <w:rPr>
          <w:rStyle w:val="normaltextrun"/>
          <w:i/>
          <w:iCs/>
          <w:color w:val="00B050"/>
        </w:rPr>
        <w:t>The following stratification factors will be considered in the randomization:</w:t>
      </w:r>
    </w:p>
    <w:p w14:paraId="075C49F0" w14:textId="77777777" w:rsidR="006110D0" w:rsidRPr="004652FB" w:rsidRDefault="006110D0" w:rsidP="006110D0">
      <w:pPr>
        <w:rPr>
          <w:rFonts w:ascii="Segoe UI" w:hAnsi="Segoe UI" w:cs="Segoe UI"/>
          <w:sz w:val="18"/>
          <w:szCs w:val="18"/>
        </w:rPr>
      </w:pPr>
      <w:r w:rsidRPr="00D0603C">
        <w:rPr>
          <w:rStyle w:val="normaltextrun"/>
          <w:i/>
          <w:iCs/>
          <w:color w:val="00B050"/>
        </w:rPr>
        <w:t>To allow for testing of subgroup effects in stratum</w:t>
      </w:r>
      <w:r w:rsidRPr="00D0603C">
        <w:rPr>
          <w:rStyle w:val="normaltextrun"/>
          <w:color w:val="00B050"/>
        </w:rPr>
        <w:t xml:space="preserve"> </w:t>
      </w:r>
      <w:r w:rsidRPr="004652FB">
        <w:rPr>
          <w:rStyle w:val="normaltextrun"/>
        </w:rPr>
        <w:t>[</w:t>
      </w:r>
      <w:r w:rsidRPr="004652FB">
        <w:rPr>
          <w:rStyle w:val="CPTVariable"/>
        </w:rPr>
        <w:t>X</w:t>
      </w:r>
      <w:r w:rsidRPr="004652FB">
        <w:rPr>
          <w:rStyle w:val="normaltextrun"/>
        </w:rPr>
        <w:t xml:space="preserve">], </w:t>
      </w:r>
      <w:r w:rsidRPr="00D0603C">
        <w:rPr>
          <w:rStyle w:val="normaltextrun"/>
          <w:i/>
          <w:iCs/>
          <w:color w:val="00B050"/>
        </w:rPr>
        <w:t>at least</w:t>
      </w:r>
      <w:r w:rsidRPr="00D0603C">
        <w:rPr>
          <w:rStyle w:val="normaltextrun"/>
          <w:color w:val="00B050"/>
        </w:rPr>
        <w:t xml:space="preserve"> </w:t>
      </w:r>
      <w:r w:rsidRPr="004652FB">
        <w:rPr>
          <w:rStyle w:val="normaltextrun"/>
        </w:rPr>
        <w:t>[</w:t>
      </w:r>
      <w:r w:rsidRPr="004652FB">
        <w:rPr>
          <w:rStyle w:val="CPTVariable"/>
        </w:rPr>
        <w:t>X</w:t>
      </w:r>
      <w:r w:rsidRPr="004652FB">
        <w:rPr>
          <w:rStyle w:val="normaltextrun"/>
        </w:rPr>
        <w:t xml:space="preserve">]% </w:t>
      </w:r>
      <w:r w:rsidRPr="00D0603C">
        <w:rPr>
          <w:rStyle w:val="normaltextrun"/>
          <w:i/>
          <w:iCs/>
          <w:color w:val="00B050"/>
        </w:rPr>
        <w:t>of the enrolled participants per ISA shall be enrolled from stratum</w:t>
      </w:r>
      <w:r w:rsidRPr="004652FB">
        <w:rPr>
          <w:rStyle w:val="normaltextrun"/>
        </w:rPr>
        <w:t xml:space="preserve"> [</w:t>
      </w:r>
      <w:r w:rsidRPr="004652FB">
        <w:rPr>
          <w:rStyle w:val="CPTVariable"/>
        </w:rPr>
        <w:t>X</w:t>
      </w:r>
      <w:r w:rsidRPr="004652FB">
        <w:rPr>
          <w:rStyle w:val="normaltextrun"/>
        </w:rPr>
        <w:t xml:space="preserve">].  </w:t>
      </w:r>
      <w:r w:rsidRPr="00D0603C">
        <w:rPr>
          <w:rStyle w:val="normaltextrun"/>
          <w:i/>
          <w:iCs/>
          <w:color w:val="00B050"/>
        </w:rPr>
        <w:t>Any enrichment for a specific intervention will be described in this section of the ISA</w:t>
      </w:r>
      <w:r w:rsidRPr="004652FB">
        <w:rPr>
          <w:rStyle w:val="normaltextrun"/>
        </w:rPr>
        <w:t>. </w:t>
      </w:r>
      <w:r w:rsidRPr="004652FB">
        <w:rPr>
          <w:rStyle w:val="eop"/>
        </w:rPr>
        <w:t> </w:t>
      </w:r>
    </w:p>
    <w:p w14:paraId="7A8D2A91" w14:textId="77777777" w:rsidR="006110D0" w:rsidRPr="004652FB" w:rsidRDefault="006110D0" w:rsidP="006110D0">
      <w:pPr>
        <w:pStyle w:val="CPTInstructional"/>
        <w:rPr>
          <w:rStyle w:val="normaltextrun"/>
        </w:rPr>
      </w:pPr>
      <w:r w:rsidRPr="004652FB">
        <w:rPr>
          <w:rStyle w:val="normaltextrun"/>
        </w:rPr>
        <w:t>Corrections for evaluable patients / re-randomizations </w:t>
      </w:r>
    </w:p>
    <w:p w14:paraId="14A6E73A" w14:textId="77777777" w:rsidR="006110D0" w:rsidRPr="004652FB" w:rsidRDefault="006110D0" w:rsidP="006110D0">
      <w:pPr>
        <w:rPr>
          <w:rStyle w:val="normaltextrun"/>
          <w:i/>
          <w:iCs/>
        </w:rPr>
      </w:pPr>
      <w:r w:rsidRPr="00D0603C">
        <w:rPr>
          <w:rStyle w:val="normaltextrun"/>
          <w:i/>
          <w:iCs/>
          <w:color w:val="00B050"/>
        </w:rPr>
        <w:t>Approximately</w:t>
      </w:r>
      <w:r w:rsidRPr="004652FB">
        <w:rPr>
          <w:rStyle w:val="normaltextrun"/>
        </w:rPr>
        <w:t xml:space="preserve"> [</w:t>
      </w:r>
      <w:r w:rsidRPr="004652FB">
        <w:rPr>
          <w:rStyle w:val="CPTVariable"/>
        </w:rPr>
        <w:t>X</w:t>
      </w:r>
      <w:r w:rsidRPr="004652FB">
        <w:rPr>
          <w:rStyle w:val="normaltextrun"/>
        </w:rPr>
        <w:t xml:space="preserve">] </w:t>
      </w:r>
      <w:r w:rsidRPr="00D0603C">
        <w:rPr>
          <w:rStyle w:val="normaltextrun"/>
          <w:i/>
          <w:iCs/>
          <w:color w:val="00B050"/>
        </w:rPr>
        <w:t>participants will be randomly assigned to each ISA such that approximately</w:t>
      </w:r>
      <w:r w:rsidRPr="00D0603C">
        <w:rPr>
          <w:rStyle w:val="normaltextrun"/>
          <w:color w:val="00B050"/>
        </w:rPr>
        <w:t xml:space="preserve"> </w:t>
      </w:r>
      <w:r w:rsidRPr="004652FB">
        <w:rPr>
          <w:rStyle w:val="normaltextrun"/>
        </w:rPr>
        <w:t>[</w:t>
      </w:r>
      <w:r w:rsidRPr="004652FB">
        <w:rPr>
          <w:rStyle w:val="CPTVariable"/>
        </w:rPr>
        <w:t>X</w:t>
      </w:r>
      <w:r w:rsidRPr="004652FB">
        <w:rPr>
          <w:rStyle w:val="normaltextrun"/>
        </w:rPr>
        <w:t xml:space="preserve">] </w:t>
      </w:r>
      <w:r w:rsidRPr="00D0603C">
        <w:rPr>
          <w:rStyle w:val="normaltextrun"/>
          <w:i/>
          <w:iCs/>
          <w:color w:val="00B050"/>
        </w:rPr>
        <w:t>evaluable participants will complete the study</w:t>
      </w:r>
      <w:r w:rsidRPr="004652FB">
        <w:rPr>
          <w:rStyle w:val="normaltextrun"/>
        </w:rPr>
        <w:t>.</w:t>
      </w:r>
      <w:r w:rsidRPr="004652FB">
        <w:rPr>
          <w:rStyle w:val="eop"/>
        </w:rPr>
        <w:t> </w:t>
      </w:r>
    </w:p>
    <w:p w14:paraId="3C8162F9" w14:textId="4235907B" w:rsidR="00071BE6" w:rsidRDefault="006110D0" w:rsidP="006110D0">
      <w:pPr>
        <w:rPr>
          <w:rStyle w:val="normaltextrun"/>
        </w:rPr>
      </w:pPr>
      <w:r w:rsidRPr="00D0603C">
        <w:rPr>
          <w:rStyle w:val="normaltextrun"/>
          <w:i/>
          <w:iCs/>
          <w:color w:val="00B050"/>
        </w:rPr>
        <w:t>Study participants may be eligible of sequentially randomization into other open ISAs, upon completion of previous ISAs. Assuming that</w:t>
      </w:r>
      <w:r w:rsidRPr="00D0603C">
        <w:rPr>
          <w:rStyle w:val="normaltextrun"/>
          <w:color w:val="00B050"/>
        </w:rPr>
        <w:t xml:space="preserve"> </w:t>
      </w:r>
      <w:r w:rsidRPr="004652FB">
        <w:rPr>
          <w:rStyle w:val="normaltextrun"/>
        </w:rPr>
        <w:t>[</w:t>
      </w:r>
      <w:r w:rsidRPr="004652FB">
        <w:rPr>
          <w:rStyle w:val="CPTVariable"/>
        </w:rPr>
        <w:t>X</w:t>
      </w:r>
      <w:r w:rsidRPr="00D0603C">
        <w:rPr>
          <w:rStyle w:val="normaltextrun"/>
          <w:i/>
          <w:iCs/>
          <w:color w:val="00B050"/>
        </w:rPr>
        <w:t>]% of participants will be re-randomized to multiple ISAs, the total number of required participants for the platform is</w:t>
      </w:r>
      <w:r w:rsidRPr="00D0603C">
        <w:rPr>
          <w:rStyle w:val="normaltextrun"/>
          <w:color w:val="00B050"/>
        </w:rPr>
        <w:t xml:space="preserve"> </w:t>
      </w:r>
      <w:r w:rsidRPr="004652FB">
        <w:rPr>
          <w:rStyle w:val="normaltextrun"/>
        </w:rPr>
        <w:t>[</w:t>
      </w:r>
      <w:r w:rsidRPr="004652FB">
        <w:rPr>
          <w:rStyle w:val="CPTVariable"/>
        </w:rPr>
        <w:t>X</w:t>
      </w:r>
      <w:r w:rsidRPr="004652FB">
        <w:rPr>
          <w:rStyle w:val="normaltextrun"/>
        </w:rPr>
        <w:t>].</w:t>
      </w:r>
    </w:p>
    <w:p w14:paraId="1BF4A184" w14:textId="7FD2EDD5" w:rsidR="00911BA7" w:rsidRDefault="00911BA7" w:rsidP="006110D0">
      <w:r>
        <w:t>&lt;</w:t>
      </w:r>
      <w:r>
        <w:rPr>
          <w:i/>
          <w:iCs/>
          <w:color w:val="00B050"/>
        </w:rPr>
        <w:t>End</w:t>
      </w:r>
      <w:r w:rsidRPr="00911BA7">
        <w:rPr>
          <w:i/>
          <w:iCs/>
          <w:color w:val="00B050"/>
        </w:rPr>
        <w:t xml:space="preserve"> of suggested text</w:t>
      </w:r>
      <w:r w:rsidRPr="00311D36">
        <w:t>&gt;</w:t>
      </w:r>
    </w:p>
    <w:p w14:paraId="00A5D91F" w14:textId="1307D1C0" w:rsidR="00EA3E2B" w:rsidRPr="00850EB9" w:rsidRDefault="00EA3E2B" w:rsidP="00850EB9">
      <w:pPr>
        <w:pStyle w:val="Heading1"/>
      </w:pPr>
      <w:bookmarkStart w:id="178" w:name="_Toc52192313"/>
      <w:r w:rsidRPr="00850EB9">
        <w:lastRenderedPageBreak/>
        <w:t>Supporting Documentation</w:t>
      </w:r>
      <w:bookmarkEnd w:id="178"/>
    </w:p>
    <w:p w14:paraId="241EFF99" w14:textId="77777777" w:rsidR="00071BE6" w:rsidRPr="00150288" w:rsidRDefault="00071BE6" w:rsidP="00071BE6">
      <w:pPr>
        <w:pStyle w:val="CPTInstructional"/>
        <w:rPr>
          <w:szCs w:val="18"/>
          <w:lang w:eastAsia="ja-JP"/>
        </w:rPr>
      </w:pPr>
      <w:r w:rsidRPr="00150288">
        <w:rPr>
          <w:szCs w:val="18"/>
        </w:rPr>
        <w:t>The subsections within this</w:t>
      </w:r>
      <w:r w:rsidRPr="00150288">
        <w:rPr>
          <w:szCs w:val="18"/>
          <w:lang w:eastAsia="ja-JP"/>
        </w:rPr>
        <w:t xml:space="preserve"> section are recommended to be named Appendix XXX in line with the CPT.</w:t>
      </w:r>
    </w:p>
    <w:p w14:paraId="5440433C" w14:textId="77777777" w:rsidR="00071BE6" w:rsidRPr="00150288" w:rsidRDefault="00071BE6" w:rsidP="00071BE6">
      <w:pPr>
        <w:pStyle w:val="CPTInstructional"/>
        <w:rPr>
          <w:szCs w:val="18"/>
        </w:rPr>
      </w:pPr>
      <w:r w:rsidRPr="00150288">
        <w:rPr>
          <w:szCs w:val="18"/>
          <w:lang w:eastAsia="ja-JP"/>
        </w:rPr>
        <w:t>The appendix/appendices can include important information not included in the body text of the SAP, for example:</w:t>
      </w:r>
    </w:p>
    <w:p w14:paraId="4060268B" w14:textId="77777777" w:rsidR="00071BE6" w:rsidRPr="00150288" w:rsidRDefault="00071BE6" w:rsidP="00D65B50">
      <w:pPr>
        <w:pStyle w:val="CPTInstructional"/>
        <w:numPr>
          <w:ilvl w:val="0"/>
          <w:numId w:val="44"/>
        </w:numPr>
        <w:rPr>
          <w:szCs w:val="18"/>
        </w:rPr>
      </w:pPr>
      <w:r w:rsidRPr="00150288">
        <w:rPr>
          <w:szCs w:val="18"/>
        </w:rPr>
        <w:t>Participant disposition</w:t>
      </w:r>
    </w:p>
    <w:p w14:paraId="43B382DB" w14:textId="77777777" w:rsidR="00071BE6" w:rsidRPr="00150288" w:rsidRDefault="00071BE6" w:rsidP="00D65B50">
      <w:pPr>
        <w:pStyle w:val="CPTInstructional"/>
        <w:numPr>
          <w:ilvl w:val="0"/>
          <w:numId w:val="44"/>
        </w:numPr>
        <w:rPr>
          <w:szCs w:val="18"/>
        </w:rPr>
      </w:pPr>
      <w:r w:rsidRPr="00150288">
        <w:rPr>
          <w:szCs w:val="18"/>
        </w:rPr>
        <w:t>Baseline characteristics and demographics</w:t>
      </w:r>
    </w:p>
    <w:p w14:paraId="58AFD5A9" w14:textId="77777777" w:rsidR="00071BE6" w:rsidRPr="00150288" w:rsidRDefault="00071BE6" w:rsidP="00D65B50">
      <w:pPr>
        <w:pStyle w:val="CPTInstructional"/>
        <w:numPr>
          <w:ilvl w:val="0"/>
          <w:numId w:val="44"/>
        </w:numPr>
        <w:rPr>
          <w:rFonts w:eastAsia="Times New Roman" w:cs="Times New Roman"/>
          <w:szCs w:val="18"/>
        </w:rPr>
      </w:pPr>
      <w:r w:rsidRPr="00150288">
        <w:rPr>
          <w:szCs w:val="18"/>
        </w:rPr>
        <w:t>Protocol deviations</w:t>
      </w:r>
    </w:p>
    <w:p w14:paraId="6CA4A6E2" w14:textId="77777777" w:rsidR="00071BE6" w:rsidRPr="00150288" w:rsidRDefault="00071BE6" w:rsidP="00D65B50">
      <w:pPr>
        <w:pStyle w:val="CPTInstructional"/>
        <w:numPr>
          <w:ilvl w:val="0"/>
          <w:numId w:val="44"/>
        </w:numPr>
        <w:rPr>
          <w:rFonts w:eastAsia="Times New Roman" w:cs="Times New Roman"/>
          <w:szCs w:val="18"/>
        </w:rPr>
      </w:pPr>
      <w:r w:rsidRPr="00150288">
        <w:rPr>
          <w:szCs w:val="18"/>
        </w:rPr>
        <w:t>Medical history</w:t>
      </w:r>
    </w:p>
    <w:p w14:paraId="03A31AED" w14:textId="77777777" w:rsidR="00071BE6" w:rsidRPr="00150288" w:rsidRDefault="00071BE6" w:rsidP="00D65B50">
      <w:pPr>
        <w:pStyle w:val="CPTInstructional"/>
        <w:numPr>
          <w:ilvl w:val="0"/>
          <w:numId w:val="44"/>
        </w:numPr>
        <w:rPr>
          <w:rFonts w:eastAsia="Times New Roman" w:cs="Times New Roman"/>
          <w:szCs w:val="18"/>
        </w:rPr>
      </w:pPr>
      <w:r w:rsidRPr="00150288">
        <w:rPr>
          <w:szCs w:val="18"/>
        </w:rPr>
        <w:t>Prior/concomitant/follow-up medications (including dictionary)</w:t>
      </w:r>
    </w:p>
    <w:p w14:paraId="234C9C17" w14:textId="77777777" w:rsidR="00071BE6" w:rsidRPr="00150288" w:rsidRDefault="00071BE6" w:rsidP="00D65B50">
      <w:pPr>
        <w:pStyle w:val="CPTInstructional"/>
        <w:numPr>
          <w:ilvl w:val="0"/>
          <w:numId w:val="44"/>
        </w:numPr>
        <w:rPr>
          <w:szCs w:val="18"/>
        </w:rPr>
      </w:pPr>
      <w:r w:rsidRPr="00150288">
        <w:rPr>
          <w:szCs w:val="18"/>
        </w:rPr>
        <w:t>Data derivation rules</w:t>
      </w:r>
    </w:p>
    <w:p w14:paraId="4D0CD55A" w14:textId="77777777" w:rsidR="00071BE6" w:rsidRPr="00150288" w:rsidRDefault="00071BE6" w:rsidP="00D65B50">
      <w:pPr>
        <w:pStyle w:val="CPTInstructional"/>
        <w:numPr>
          <w:ilvl w:val="0"/>
          <w:numId w:val="44"/>
        </w:numPr>
        <w:rPr>
          <w:szCs w:val="18"/>
        </w:rPr>
      </w:pPr>
      <w:r w:rsidRPr="00150288">
        <w:rPr>
          <w:szCs w:val="18"/>
        </w:rPr>
        <w:t>Adverse events of special interest</w:t>
      </w:r>
    </w:p>
    <w:p w14:paraId="0061C3FA" w14:textId="222CF4CC" w:rsidR="00071BE6" w:rsidRPr="00150288" w:rsidRDefault="008A15ED" w:rsidP="008A15ED">
      <w:pPr>
        <w:pStyle w:val="CPTInstructional"/>
        <w:numPr>
          <w:ilvl w:val="0"/>
          <w:numId w:val="44"/>
        </w:numPr>
        <w:rPr>
          <w:szCs w:val="18"/>
        </w:rPr>
      </w:pPr>
      <w:r w:rsidRPr="00150288">
        <w:rPr>
          <w:szCs w:val="18"/>
        </w:rPr>
        <w:t>Potentially clinically significant criteria for safety endpoints</w:t>
      </w:r>
    </w:p>
    <w:p w14:paraId="31B7F6B3" w14:textId="47F8D0E9" w:rsidR="008A5E51" w:rsidRPr="00150288" w:rsidRDefault="008A5E51" w:rsidP="008A15ED">
      <w:pPr>
        <w:pStyle w:val="CPTInstructional"/>
        <w:numPr>
          <w:ilvl w:val="0"/>
          <w:numId w:val="44"/>
        </w:numPr>
        <w:rPr>
          <w:szCs w:val="18"/>
        </w:rPr>
      </w:pPr>
      <w:r w:rsidRPr="00150288">
        <w:rPr>
          <w:szCs w:val="18"/>
        </w:rPr>
        <w:t>Simulation report</w:t>
      </w:r>
    </w:p>
    <w:p w14:paraId="4A9EC7FA" w14:textId="13E36ABA" w:rsidR="005D060B" w:rsidRDefault="005D060B" w:rsidP="005D060B"/>
    <w:p w14:paraId="79A77FAD" w14:textId="507D8AA6" w:rsidR="00CF4E93" w:rsidRDefault="00CF4E93">
      <w:pPr>
        <w:spacing w:before="0" w:after="0" w:line="240" w:lineRule="auto"/>
      </w:pPr>
      <w:r>
        <w:br w:type="page"/>
      </w:r>
    </w:p>
    <w:p w14:paraId="061E8A68" w14:textId="3D750EE8" w:rsidR="00EA3E2B" w:rsidRDefault="00585449" w:rsidP="00EA3E2B">
      <w:pPr>
        <w:pStyle w:val="Heading2"/>
      </w:pPr>
      <w:bookmarkStart w:id="179" w:name="_Toc52192314"/>
      <w:r>
        <w:lastRenderedPageBreak/>
        <w:t>Appendix 1</w:t>
      </w:r>
      <w:r w:rsidR="00850DA6">
        <w:t>:</w:t>
      </w:r>
      <w:r>
        <w:t xml:space="preserve"> List of A</w:t>
      </w:r>
      <w:r w:rsidR="00EA3E2B">
        <w:t>bbreviations</w:t>
      </w:r>
      <w:bookmarkEnd w:id="179"/>
    </w:p>
    <w:p w14:paraId="7B7B1336" w14:textId="43C7F788" w:rsidR="6E66B177" w:rsidRDefault="6E66B177" w:rsidP="00150288">
      <w:pPr>
        <w:pStyle w:val="CPTInstructional"/>
        <w:spacing w:before="0" w:after="200" w:line="276" w:lineRule="auto"/>
      </w:pPr>
    </w:p>
    <w:p w14:paraId="6E4C21E8" w14:textId="77777777" w:rsidR="00F33D41" w:rsidRPr="00C64851" w:rsidRDefault="00F33D41" w:rsidP="00D65B50">
      <w:pPr>
        <w:pStyle w:val="CPTInstructional"/>
        <w:numPr>
          <w:ilvl w:val="0"/>
          <w:numId w:val="6"/>
        </w:numPr>
        <w:spacing w:before="0" w:after="200" w:line="276" w:lineRule="auto"/>
      </w:pPr>
      <w:r>
        <w:t>Generate a list or table while drafting the SAP to reflect the abbreviations and acronyms used in the SAP.</w:t>
      </w:r>
    </w:p>
    <w:p w14:paraId="79BDC201" w14:textId="6406966C" w:rsidR="00F33D41" w:rsidRPr="00C64851" w:rsidRDefault="00F33D41" w:rsidP="00D65B50">
      <w:pPr>
        <w:pStyle w:val="CPTInstructional"/>
        <w:numPr>
          <w:ilvl w:val="0"/>
          <w:numId w:val="6"/>
        </w:numPr>
        <w:spacing w:before="0" w:after="200" w:line="276" w:lineRule="auto"/>
      </w:pPr>
      <w:r>
        <w:t>Only include those that are used more than once in the document. Once a term is abbreviated or an acronym is introduced, the abbreviation or acronym should be used in the rest of the document.</w:t>
      </w:r>
    </w:p>
    <w:p w14:paraId="7DA3DD88" w14:textId="77777777" w:rsidR="00071BE6" w:rsidRDefault="00071BE6" w:rsidP="00D65B50">
      <w:pPr>
        <w:pStyle w:val="CPTInstructional"/>
        <w:numPr>
          <w:ilvl w:val="0"/>
          <w:numId w:val="6"/>
        </w:numPr>
      </w:pPr>
      <w:r>
        <w:t xml:space="preserve">Abbreviations and acronyms are defined where first used in the document or per sponsor company policy. </w:t>
      </w:r>
    </w:p>
    <w:p w14:paraId="4F20A849" w14:textId="77777777" w:rsidR="00F33D41" w:rsidRDefault="00F33D41" w:rsidP="00D65B50">
      <w:pPr>
        <w:pStyle w:val="CPTInstructional"/>
        <w:numPr>
          <w:ilvl w:val="0"/>
          <w:numId w:val="6"/>
        </w:numPr>
        <w:spacing w:before="0" w:after="200" w:line="276" w:lineRule="auto"/>
      </w:pPr>
      <w:r>
        <w:t>Delete this appendix if not required.</w:t>
      </w:r>
    </w:p>
    <w:p w14:paraId="3D1E9ADC" w14:textId="113B6518" w:rsidR="007E6E93" w:rsidRPr="00596FA9" w:rsidRDefault="00A06C9E" w:rsidP="007E6E93">
      <w:pPr>
        <w:pStyle w:val="CPTExample"/>
        <w:rPr>
          <w:rFonts w:eastAsia="Arial" w:cs="Arial"/>
        </w:rPr>
      </w:pPr>
      <w:r>
        <w:t>&lt;Start of e</w:t>
      </w:r>
      <w:r w:rsidR="007E6E93">
        <w:t>xample text</w:t>
      </w:r>
      <w:r w:rsidR="00BD3A51">
        <w:t>&gt;</w:t>
      </w:r>
    </w:p>
    <w:tbl>
      <w:tblPr>
        <w:tblStyle w:val="TableGrid"/>
        <w:tblW w:w="0" w:type="auto"/>
        <w:tblLook w:val="04A0" w:firstRow="1" w:lastRow="0" w:firstColumn="1" w:lastColumn="0" w:noHBand="0" w:noVBand="1"/>
      </w:tblPr>
      <w:tblGrid>
        <w:gridCol w:w="2263"/>
        <w:gridCol w:w="7087"/>
      </w:tblGrid>
      <w:tr w:rsidR="007349B3" w:rsidRPr="007C5486" w14:paraId="30234D32" w14:textId="77777777" w:rsidTr="001D73DE">
        <w:tc>
          <w:tcPr>
            <w:tcW w:w="2263" w:type="dxa"/>
          </w:tcPr>
          <w:p w14:paraId="266706BA" w14:textId="77777777" w:rsidR="007349B3" w:rsidRPr="007C5486" w:rsidRDefault="007349B3" w:rsidP="001D73DE">
            <w:pPr>
              <w:pStyle w:val="CPTExample"/>
              <w:jc w:val="center"/>
              <w:rPr>
                <w:b/>
              </w:rPr>
            </w:pPr>
            <w:r w:rsidRPr="007C5486">
              <w:rPr>
                <w:b/>
              </w:rPr>
              <w:t>Abbreviation</w:t>
            </w:r>
          </w:p>
        </w:tc>
        <w:tc>
          <w:tcPr>
            <w:tcW w:w="7087" w:type="dxa"/>
          </w:tcPr>
          <w:p w14:paraId="5979C910" w14:textId="77777777" w:rsidR="007349B3" w:rsidRPr="007C5486" w:rsidRDefault="007349B3" w:rsidP="001D73DE">
            <w:pPr>
              <w:pStyle w:val="CPTExample"/>
              <w:jc w:val="center"/>
              <w:rPr>
                <w:b/>
              </w:rPr>
            </w:pPr>
            <w:r w:rsidRPr="007C5486">
              <w:rPr>
                <w:b/>
              </w:rPr>
              <w:t>Definition</w:t>
            </w:r>
          </w:p>
        </w:tc>
      </w:tr>
      <w:tr w:rsidR="007349B3" w:rsidRPr="007C5486" w14:paraId="3620C1FA" w14:textId="77777777" w:rsidTr="001D73DE">
        <w:tc>
          <w:tcPr>
            <w:tcW w:w="2263" w:type="dxa"/>
          </w:tcPr>
          <w:p w14:paraId="55553D98" w14:textId="77777777" w:rsidR="007349B3" w:rsidRPr="007C5486" w:rsidRDefault="007349B3" w:rsidP="001D73DE">
            <w:pPr>
              <w:pStyle w:val="CPTExample"/>
              <w:rPr>
                <w:rFonts w:cs="Arial"/>
              </w:rPr>
            </w:pPr>
            <w:r w:rsidRPr="007C5486">
              <w:t>AE</w:t>
            </w:r>
          </w:p>
        </w:tc>
        <w:tc>
          <w:tcPr>
            <w:tcW w:w="7087" w:type="dxa"/>
          </w:tcPr>
          <w:p w14:paraId="4228E688" w14:textId="77777777" w:rsidR="007349B3" w:rsidRPr="007C5486" w:rsidRDefault="007349B3" w:rsidP="001D73DE">
            <w:pPr>
              <w:pStyle w:val="CPTExample"/>
              <w:rPr>
                <w:rFonts w:eastAsia="Arial" w:cs="Arial"/>
              </w:rPr>
            </w:pPr>
            <w:r w:rsidRPr="007C5486">
              <w:t>adverse event</w:t>
            </w:r>
          </w:p>
        </w:tc>
      </w:tr>
      <w:tr w:rsidR="007349B3" w:rsidRPr="007C5486" w14:paraId="150CFE2A" w14:textId="77777777" w:rsidTr="001D73DE">
        <w:tc>
          <w:tcPr>
            <w:tcW w:w="2263" w:type="dxa"/>
          </w:tcPr>
          <w:p w14:paraId="21BE741B" w14:textId="77777777" w:rsidR="007349B3" w:rsidRPr="007C5486" w:rsidRDefault="007349B3" w:rsidP="001D73DE">
            <w:pPr>
              <w:pStyle w:val="CPTExample"/>
              <w:rPr>
                <w:rFonts w:cs="Arial"/>
              </w:rPr>
            </w:pPr>
            <w:r w:rsidRPr="007C5486">
              <w:t>ANCOVA</w:t>
            </w:r>
          </w:p>
        </w:tc>
        <w:tc>
          <w:tcPr>
            <w:tcW w:w="7087" w:type="dxa"/>
          </w:tcPr>
          <w:p w14:paraId="2278F2F2" w14:textId="77777777" w:rsidR="007349B3" w:rsidRPr="007C5486" w:rsidRDefault="007349B3" w:rsidP="001D73DE">
            <w:pPr>
              <w:pStyle w:val="CPTExample"/>
              <w:rPr>
                <w:rFonts w:eastAsia="Arial" w:cs="Arial"/>
              </w:rPr>
            </w:pPr>
            <w:r w:rsidRPr="007C5486">
              <w:t>analysis of covariance</w:t>
            </w:r>
          </w:p>
        </w:tc>
      </w:tr>
      <w:tr w:rsidR="007349B3" w:rsidRPr="007C5486" w14:paraId="3768106B" w14:textId="77777777" w:rsidTr="001D73DE">
        <w:tc>
          <w:tcPr>
            <w:tcW w:w="2263" w:type="dxa"/>
          </w:tcPr>
          <w:p w14:paraId="2E7F5957" w14:textId="77777777" w:rsidR="007349B3" w:rsidRPr="007C5486" w:rsidRDefault="007349B3" w:rsidP="001D73DE">
            <w:pPr>
              <w:pStyle w:val="CPTExample"/>
              <w:rPr>
                <w:rFonts w:cs="Arial"/>
              </w:rPr>
            </w:pPr>
            <w:r w:rsidRPr="007C5486">
              <w:t>BMI</w:t>
            </w:r>
          </w:p>
        </w:tc>
        <w:tc>
          <w:tcPr>
            <w:tcW w:w="7087" w:type="dxa"/>
          </w:tcPr>
          <w:p w14:paraId="66932E67" w14:textId="77777777" w:rsidR="007349B3" w:rsidRPr="007C5486" w:rsidRDefault="007349B3" w:rsidP="001D73DE">
            <w:pPr>
              <w:pStyle w:val="CPTExample"/>
              <w:rPr>
                <w:rFonts w:eastAsia="Arial" w:cs="Arial"/>
              </w:rPr>
            </w:pPr>
            <w:r w:rsidRPr="007C5486">
              <w:t>body mass index</w:t>
            </w:r>
          </w:p>
        </w:tc>
      </w:tr>
      <w:tr w:rsidR="007349B3" w:rsidRPr="007C5486" w14:paraId="194A8653" w14:textId="77777777" w:rsidTr="001D73DE">
        <w:tc>
          <w:tcPr>
            <w:tcW w:w="2263" w:type="dxa"/>
          </w:tcPr>
          <w:p w14:paraId="2E4A9B09" w14:textId="77777777" w:rsidR="007349B3" w:rsidRPr="007C5486" w:rsidRDefault="007349B3" w:rsidP="001D73DE">
            <w:pPr>
              <w:pStyle w:val="CPTExample"/>
              <w:rPr>
                <w:rFonts w:cs="Arial"/>
              </w:rPr>
            </w:pPr>
            <w:r w:rsidRPr="007C5486">
              <w:t>CI</w:t>
            </w:r>
          </w:p>
        </w:tc>
        <w:tc>
          <w:tcPr>
            <w:tcW w:w="7087" w:type="dxa"/>
          </w:tcPr>
          <w:p w14:paraId="7F2A6AA7" w14:textId="77777777" w:rsidR="007349B3" w:rsidRPr="007C5486" w:rsidRDefault="007349B3" w:rsidP="001D73DE">
            <w:pPr>
              <w:pStyle w:val="CPTExample"/>
              <w:rPr>
                <w:rFonts w:eastAsia="Arial" w:cs="Arial"/>
              </w:rPr>
            </w:pPr>
            <w:r w:rsidRPr="007C5486">
              <w:t>confidence interval</w:t>
            </w:r>
          </w:p>
        </w:tc>
      </w:tr>
      <w:tr w:rsidR="007349B3" w:rsidRPr="007C5486" w14:paraId="5180E2F4" w14:textId="77777777" w:rsidTr="001D73DE">
        <w:tc>
          <w:tcPr>
            <w:tcW w:w="2263" w:type="dxa"/>
          </w:tcPr>
          <w:p w14:paraId="5B0FE927" w14:textId="77777777" w:rsidR="007349B3" w:rsidRPr="007C5486" w:rsidRDefault="007349B3" w:rsidP="001D73DE">
            <w:pPr>
              <w:pStyle w:val="CPTExample"/>
              <w:rPr>
                <w:rFonts w:cs="Arial"/>
              </w:rPr>
            </w:pPr>
            <w:r w:rsidRPr="007C5486">
              <w:t>DMC</w:t>
            </w:r>
          </w:p>
        </w:tc>
        <w:tc>
          <w:tcPr>
            <w:tcW w:w="7087" w:type="dxa"/>
          </w:tcPr>
          <w:p w14:paraId="0C70768E" w14:textId="77777777" w:rsidR="007349B3" w:rsidRPr="007C5486" w:rsidRDefault="007349B3" w:rsidP="001D73DE">
            <w:pPr>
              <w:pStyle w:val="CPTExample"/>
              <w:rPr>
                <w:rFonts w:eastAsia="Arial" w:cs="Arial"/>
              </w:rPr>
            </w:pPr>
            <w:r w:rsidRPr="007C5486">
              <w:t>data monitoring committee</w:t>
            </w:r>
          </w:p>
        </w:tc>
      </w:tr>
      <w:tr w:rsidR="007349B3" w:rsidRPr="007C5486" w14:paraId="72CF53AD" w14:textId="77777777" w:rsidTr="001D73DE">
        <w:tc>
          <w:tcPr>
            <w:tcW w:w="2263" w:type="dxa"/>
          </w:tcPr>
          <w:p w14:paraId="588F7B6A" w14:textId="77777777" w:rsidR="007349B3" w:rsidRPr="007C5486" w:rsidRDefault="007349B3" w:rsidP="001D73DE">
            <w:pPr>
              <w:pStyle w:val="CPTExample"/>
              <w:rPr>
                <w:rFonts w:cs="Arial"/>
              </w:rPr>
            </w:pPr>
            <w:r w:rsidRPr="007C5486">
              <w:t>EMA</w:t>
            </w:r>
          </w:p>
        </w:tc>
        <w:tc>
          <w:tcPr>
            <w:tcW w:w="7087" w:type="dxa"/>
          </w:tcPr>
          <w:p w14:paraId="137E6402" w14:textId="77777777" w:rsidR="007349B3" w:rsidRPr="007C5486" w:rsidRDefault="007349B3" w:rsidP="001D73DE">
            <w:pPr>
              <w:pStyle w:val="CPTExample"/>
              <w:rPr>
                <w:rFonts w:eastAsia="Arial" w:cs="Arial"/>
              </w:rPr>
            </w:pPr>
            <w:r w:rsidRPr="007C5486">
              <w:t>European Medicines Agency</w:t>
            </w:r>
          </w:p>
        </w:tc>
      </w:tr>
      <w:tr w:rsidR="007349B3" w:rsidRPr="007C5486" w14:paraId="4DCB2F11" w14:textId="77777777" w:rsidTr="001D73DE">
        <w:tc>
          <w:tcPr>
            <w:tcW w:w="2263" w:type="dxa"/>
          </w:tcPr>
          <w:p w14:paraId="16CA0178" w14:textId="77777777" w:rsidR="007349B3" w:rsidRPr="007C5486" w:rsidRDefault="007349B3" w:rsidP="001D73DE">
            <w:pPr>
              <w:pStyle w:val="CPTExample"/>
              <w:rPr>
                <w:rFonts w:cs="Arial"/>
              </w:rPr>
            </w:pPr>
            <w:r w:rsidRPr="007C5486">
              <w:t>FDA</w:t>
            </w:r>
          </w:p>
        </w:tc>
        <w:tc>
          <w:tcPr>
            <w:tcW w:w="7087" w:type="dxa"/>
          </w:tcPr>
          <w:p w14:paraId="5EA7288A" w14:textId="77777777" w:rsidR="007349B3" w:rsidRPr="007C5486" w:rsidRDefault="007349B3" w:rsidP="001D73DE">
            <w:pPr>
              <w:pStyle w:val="CPTExample"/>
              <w:rPr>
                <w:rFonts w:eastAsia="Arial" w:cs="Arial"/>
              </w:rPr>
            </w:pPr>
            <w:r w:rsidRPr="007C5486">
              <w:t>US Food and Drug Administration</w:t>
            </w:r>
          </w:p>
        </w:tc>
      </w:tr>
      <w:tr w:rsidR="007349B3" w:rsidRPr="007C5486" w14:paraId="2E90179D" w14:textId="77777777" w:rsidTr="001D73DE">
        <w:tc>
          <w:tcPr>
            <w:tcW w:w="2263" w:type="dxa"/>
          </w:tcPr>
          <w:p w14:paraId="06D97F76" w14:textId="77777777" w:rsidR="007349B3" w:rsidRPr="007C5486" w:rsidRDefault="007349B3" w:rsidP="001D73DE">
            <w:pPr>
              <w:pStyle w:val="CPTExample"/>
              <w:rPr>
                <w:rFonts w:cs="Arial"/>
              </w:rPr>
            </w:pPr>
            <w:r w:rsidRPr="007C5486">
              <w:t>ICH</w:t>
            </w:r>
          </w:p>
        </w:tc>
        <w:tc>
          <w:tcPr>
            <w:tcW w:w="7087" w:type="dxa"/>
          </w:tcPr>
          <w:p w14:paraId="60FB9500" w14:textId="77777777" w:rsidR="007349B3" w:rsidRPr="007C5486" w:rsidRDefault="007349B3" w:rsidP="001D73DE">
            <w:pPr>
              <w:pStyle w:val="CPTExample"/>
              <w:rPr>
                <w:rFonts w:eastAsia="Arial" w:cs="Arial"/>
              </w:rPr>
            </w:pPr>
            <w:r w:rsidRPr="007C5486">
              <w:t>International Council on Harmonization</w:t>
            </w:r>
          </w:p>
        </w:tc>
      </w:tr>
      <w:tr w:rsidR="00131AD6" w:rsidRPr="007C5486" w14:paraId="0E2E8529" w14:textId="77777777" w:rsidTr="001D73DE">
        <w:tc>
          <w:tcPr>
            <w:tcW w:w="2263" w:type="dxa"/>
          </w:tcPr>
          <w:p w14:paraId="6FF0A8BF" w14:textId="651F2C1F" w:rsidR="00131AD6" w:rsidRPr="007C5486" w:rsidRDefault="00131AD6" w:rsidP="001D73DE">
            <w:pPr>
              <w:pStyle w:val="CPTExample"/>
            </w:pPr>
            <w:r>
              <w:t>IDMC</w:t>
            </w:r>
          </w:p>
        </w:tc>
        <w:tc>
          <w:tcPr>
            <w:tcW w:w="7087" w:type="dxa"/>
          </w:tcPr>
          <w:p w14:paraId="7E86A32A" w14:textId="5A0F06D6" w:rsidR="00131AD6" w:rsidRPr="007C5486" w:rsidRDefault="00131AD6" w:rsidP="001D73DE">
            <w:pPr>
              <w:pStyle w:val="CPTExample"/>
            </w:pPr>
            <w:r>
              <w:t xml:space="preserve">Independent </w:t>
            </w:r>
            <w:r w:rsidRPr="00097E66">
              <w:t>Data Monitoring Committee</w:t>
            </w:r>
          </w:p>
        </w:tc>
      </w:tr>
      <w:tr w:rsidR="00131AD6" w:rsidRPr="007C5486" w14:paraId="6A2DF11F" w14:textId="77777777" w:rsidTr="001D73DE">
        <w:tc>
          <w:tcPr>
            <w:tcW w:w="2263" w:type="dxa"/>
          </w:tcPr>
          <w:p w14:paraId="197CAF84" w14:textId="2BBB7D80" w:rsidR="00131AD6" w:rsidRDefault="00131AD6" w:rsidP="001D73DE">
            <w:pPr>
              <w:pStyle w:val="CPTExample"/>
            </w:pPr>
            <w:r w:rsidRPr="00097E66">
              <w:t>ISA</w:t>
            </w:r>
          </w:p>
        </w:tc>
        <w:tc>
          <w:tcPr>
            <w:tcW w:w="7087" w:type="dxa"/>
          </w:tcPr>
          <w:p w14:paraId="5F661484" w14:textId="5987FE27" w:rsidR="00131AD6" w:rsidRDefault="00131AD6" w:rsidP="001D73DE">
            <w:pPr>
              <w:pStyle w:val="CPTExample"/>
            </w:pPr>
            <w:r w:rsidRPr="00097E66">
              <w:t>Intervention-specific Appendix</w:t>
            </w:r>
          </w:p>
        </w:tc>
      </w:tr>
      <w:tr w:rsidR="00131AD6" w:rsidRPr="007C5486" w14:paraId="7592E75C" w14:textId="77777777" w:rsidTr="001D73DE">
        <w:tc>
          <w:tcPr>
            <w:tcW w:w="2263" w:type="dxa"/>
          </w:tcPr>
          <w:p w14:paraId="655CB55B" w14:textId="1FFA1BC7" w:rsidR="00131AD6" w:rsidRPr="00097E66" w:rsidRDefault="00131AD6" w:rsidP="001D73DE">
            <w:pPr>
              <w:pStyle w:val="CPTExample"/>
            </w:pPr>
            <w:r w:rsidRPr="00097E66">
              <w:t>ISA-SAP</w:t>
            </w:r>
          </w:p>
        </w:tc>
        <w:tc>
          <w:tcPr>
            <w:tcW w:w="7087" w:type="dxa"/>
          </w:tcPr>
          <w:p w14:paraId="30A64431" w14:textId="749A32DF" w:rsidR="00131AD6" w:rsidRPr="00097E66" w:rsidRDefault="00131AD6" w:rsidP="001D73DE">
            <w:pPr>
              <w:pStyle w:val="CPTExample"/>
            </w:pPr>
            <w:r w:rsidRPr="00097E66">
              <w:t>Intervention-specific Appendix Statistical Analysis Plan</w:t>
            </w:r>
          </w:p>
        </w:tc>
      </w:tr>
      <w:tr w:rsidR="007349B3" w:rsidRPr="007C5486" w14:paraId="00A267AA" w14:textId="77777777" w:rsidTr="001D73DE">
        <w:tc>
          <w:tcPr>
            <w:tcW w:w="2263" w:type="dxa"/>
          </w:tcPr>
          <w:p w14:paraId="68E6AA1D" w14:textId="77777777" w:rsidR="007349B3" w:rsidRPr="007C5486" w:rsidRDefault="007349B3" w:rsidP="001D73DE">
            <w:pPr>
              <w:pStyle w:val="CPTExample"/>
              <w:rPr>
                <w:rFonts w:cs="Arial"/>
              </w:rPr>
            </w:pPr>
            <w:r w:rsidRPr="007C5486">
              <w:t>LLoQ</w:t>
            </w:r>
          </w:p>
        </w:tc>
        <w:tc>
          <w:tcPr>
            <w:tcW w:w="7087" w:type="dxa"/>
          </w:tcPr>
          <w:p w14:paraId="741910B2" w14:textId="77777777" w:rsidR="007349B3" w:rsidRPr="007C5486" w:rsidRDefault="007349B3" w:rsidP="001D73DE">
            <w:pPr>
              <w:pStyle w:val="CPTExample"/>
              <w:rPr>
                <w:rFonts w:eastAsia="Arial" w:cs="Arial"/>
              </w:rPr>
            </w:pPr>
            <w:r w:rsidRPr="007C5486">
              <w:t>lower limit of quantification</w:t>
            </w:r>
          </w:p>
        </w:tc>
      </w:tr>
      <w:tr w:rsidR="00131AD6" w:rsidRPr="007C5486" w14:paraId="51B052BD" w14:textId="77777777" w:rsidTr="001D73DE">
        <w:tc>
          <w:tcPr>
            <w:tcW w:w="2263" w:type="dxa"/>
          </w:tcPr>
          <w:p w14:paraId="6E72D318" w14:textId="12FDCE88" w:rsidR="00131AD6" w:rsidRPr="007C5486" w:rsidRDefault="00131AD6" w:rsidP="001D73DE">
            <w:pPr>
              <w:pStyle w:val="CPTExample"/>
            </w:pPr>
            <w:r w:rsidRPr="00097E66">
              <w:t>mSAP</w:t>
            </w:r>
          </w:p>
        </w:tc>
        <w:tc>
          <w:tcPr>
            <w:tcW w:w="7087" w:type="dxa"/>
          </w:tcPr>
          <w:p w14:paraId="46193FC5" w14:textId="7F1C8872" w:rsidR="00131AD6" w:rsidRPr="007C5486" w:rsidRDefault="00131AD6" w:rsidP="001D73DE">
            <w:pPr>
              <w:pStyle w:val="CPTExample"/>
            </w:pPr>
            <w:r w:rsidRPr="00097E66">
              <w:t>Master SAP</w:t>
            </w:r>
          </w:p>
        </w:tc>
      </w:tr>
      <w:tr w:rsidR="007349B3" w:rsidRPr="007C5486" w14:paraId="78847E17" w14:textId="77777777" w:rsidTr="001D73DE">
        <w:tc>
          <w:tcPr>
            <w:tcW w:w="2263" w:type="dxa"/>
          </w:tcPr>
          <w:p w14:paraId="716FA6EB" w14:textId="77777777" w:rsidR="007349B3" w:rsidRPr="007C5486" w:rsidRDefault="007349B3" w:rsidP="001D73DE">
            <w:pPr>
              <w:pStyle w:val="CPTExample"/>
              <w:rPr>
                <w:rFonts w:cs="Arial"/>
              </w:rPr>
            </w:pPr>
            <w:r w:rsidRPr="007C5486">
              <w:t>MedDRA</w:t>
            </w:r>
          </w:p>
        </w:tc>
        <w:tc>
          <w:tcPr>
            <w:tcW w:w="7087" w:type="dxa"/>
          </w:tcPr>
          <w:p w14:paraId="63636E1F" w14:textId="77777777" w:rsidR="007349B3" w:rsidRPr="007C5486" w:rsidRDefault="007349B3" w:rsidP="001D73DE">
            <w:pPr>
              <w:pStyle w:val="CPTExample"/>
              <w:rPr>
                <w:rFonts w:eastAsia="Arial" w:cs="Arial"/>
              </w:rPr>
            </w:pPr>
            <w:r w:rsidRPr="007C5486">
              <w:t>medical dictionary for regulatory activities</w:t>
            </w:r>
          </w:p>
        </w:tc>
      </w:tr>
      <w:tr w:rsidR="00131AD6" w:rsidRPr="007C5486" w14:paraId="3D211368" w14:textId="77777777" w:rsidTr="001D73DE">
        <w:tc>
          <w:tcPr>
            <w:tcW w:w="2263" w:type="dxa"/>
          </w:tcPr>
          <w:p w14:paraId="6C104A3A" w14:textId="02F5E430" w:rsidR="00131AD6" w:rsidRPr="007C5486" w:rsidRDefault="00131AD6" w:rsidP="001D73DE">
            <w:pPr>
              <w:pStyle w:val="CPTExample"/>
            </w:pPr>
            <w:r w:rsidRPr="00097E66">
              <w:t>SAP</w:t>
            </w:r>
          </w:p>
        </w:tc>
        <w:tc>
          <w:tcPr>
            <w:tcW w:w="7087" w:type="dxa"/>
          </w:tcPr>
          <w:p w14:paraId="47FC8257" w14:textId="430C8E26" w:rsidR="00131AD6" w:rsidRPr="007C5486" w:rsidRDefault="00131AD6" w:rsidP="001D73DE">
            <w:pPr>
              <w:pStyle w:val="CPTExample"/>
            </w:pPr>
            <w:r w:rsidRPr="00097E66">
              <w:t>Statistical Analysis Plan</w:t>
            </w:r>
          </w:p>
        </w:tc>
      </w:tr>
      <w:tr w:rsidR="007349B3" w:rsidRPr="007C5486" w14:paraId="74792D2E" w14:textId="77777777" w:rsidTr="001D73DE">
        <w:tc>
          <w:tcPr>
            <w:tcW w:w="2263" w:type="dxa"/>
          </w:tcPr>
          <w:p w14:paraId="0DE6289A" w14:textId="77777777" w:rsidR="007349B3" w:rsidRPr="007C5486" w:rsidRDefault="007349B3" w:rsidP="001D73DE">
            <w:pPr>
              <w:pStyle w:val="CPTExample"/>
              <w:rPr>
                <w:rFonts w:cs="Arial"/>
              </w:rPr>
            </w:pPr>
            <w:r w:rsidRPr="007C5486">
              <w:lastRenderedPageBreak/>
              <w:t>SMQs</w:t>
            </w:r>
          </w:p>
        </w:tc>
        <w:tc>
          <w:tcPr>
            <w:tcW w:w="7087" w:type="dxa"/>
          </w:tcPr>
          <w:p w14:paraId="51B05351" w14:textId="77777777" w:rsidR="007349B3" w:rsidRPr="007C5486" w:rsidRDefault="007349B3" w:rsidP="001D73DE">
            <w:pPr>
              <w:pStyle w:val="CPTExample"/>
              <w:rPr>
                <w:rFonts w:eastAsia="Arial" w:cs="Arial"/>
              </w:rPr>
            </w:pPr>
            <w:r w:rsidRPr="007C5486">
              <w:t>standardized MedDRA queries</w:t>
            </w:r>
          </w:p>
        </w:tc>
      </w:tr>
    </w:tbl>
    <w:p w14:paraId="3988D452" w14:textId="2EEE0885" w:rsidR="007E6E93" w:rsidRPr="005229AC" w:rsidRDefault="007349B3" w:rsidP="007E6E93">
      <w:pPr>
        <w:pStyle w:val="CPTExample"/>
      </w:pPr>
      <w:r>
        <w:t>&lt;</w:t>
      </w:r>
      <w:r w:rsidR="007E6E93">
        <w:t>End of example text</w:t>
      </w:r>
      <w:r w:rsidR="005229AC">
        <w:t>&gt;</w:t>
      </w:r>
    </w:p>
    <w:p w14:paraId="3E030AF1" w14:textId="3130CB3F" w:rsidR="005D060B" w:rsidRPr="005D060B" w:rsidRDefault="005D060B" w:rsidP="005D060B"/>
    <w:p w14:paraId="4AC8D6B7" w14:textId="0119C012" w:rsidR="00EA3E2B" w:rsidRPr="00C64851" w:rsidRDefault="00EA3E2B" w:rsidP="00850EB9">
      <w:pPr>
        <w:pStyle w:val="Heading1"/>
      </w:pPr>
      <w:bookmarkStart w:id="180" w:name="_Toc52192315"/>
      <w:r>
        <w:lastRenderedPageBreak/>
        <w:t>References</w:t>
      </w:r>
      <w:bookmarkEnd w:id="180"/>
    </w:p>
    <w:p w14:paraId="15E205F9" w14:textId="48B17B1C" w:rsidR="00EA3E2B" w:rsidRPr="00C64851" w:rsidRDefault="00EA3E2B" w:rsidP="00D65B50">
      <w:pPr>
        <w:pStyle w:val="CPTInstructional"/>
        <w:numPr>
          <w:ilvl w:val="0"/>
          <w:numId w:val="6"/>
        </w:numPr>
        <w:spacing w:before="0" w:after="200" w:line="276" w:lineRule="auto"/>
      </w:pPr>
      <w:r>
        <w:t>See therapeutic libraries for key references to include.</w:t>
      </w:r>
    </w:p>
    <w:p w14:paraId="1B0BCC9E" w14:textId="77777777" w:rsidR="00EA3E2B" w:rsidRPr="00C64851" w:rsidRDefault="00EA3E2B" w:rsidP="00D65B50">
      <w:pPr>
        <w:pStyle w:val="CPTInstructional"/>
        <w:numPr>
          <w:ilvl w:val="0"/>
          <w:numId w:val="6"/>
        </w:numPr>
        <w:spacing w:before="0" w:after="200" w:line="276" w:lineRule="auto"/>
      </w:pPr>
      <w:r>
        <w:t>References to both internal and external documents and publications should be listed in alphabetical order. Do not reference internal reports in preparation.</w:t>
      </w:r>
    </w:p>
    <w:p w14:paraId="44A0DE4F" w14:textId="77777777" w:rsidR="00071BE6" w:rsidRDefault="00071BE6" w:rsidP="00D65B50">
      <w:pPr>
        <w:pStyle w:val="CPTInstructional"/>
        <w:numPr>
          <w:ilvl w:val="0"/>
          <w:numId w:val="6"/>
        </w:numPr>
      </w:pPr>
      <w:r>
        <w:t xml:space="preserve">In the reference list, use the style and format published by the International Committee of Medical Journal Editors (ICMJE 2019). Citations to external documents and publications should be indicated in the text by citing the author and year within parentheses. For example, the in-text citation for the reference included would be (Hatcher et al, 2007). </w:t>
      </w:r>
    </w:p>
    <w:p w14:paraId="4DD6A318" w14:textId="1C88E4AF" w:rsidR="007E6E93" w:rsidRPr="00C64851" w:rsidRDefault="00850BCB" w:rsidP="007E6E93">
      <w:pPr>
        <w:pStyle w:val="CPTExample"/>
      </w:pPr>
      <w:r>
        <w:t>&lt;Start of e</w:t>
      </w:r>
      <w:r w:rsidR="007E6E93">
        <w:t xml:space="preserve">xample </w:t>
      </w:r>
      <w:r>
        <w:t>text&gt;</w:t>
      </w:r>
    </w:p>
    <w:p w14:paraId="3E3BBB8A" w14:textId="77777777" w:rsidR="007E6E93" w:rsidRPr="00C64851" w:rsidRDefault="007E6E93" w:rsidP="007E6E93">
      <w:pPr>
        <w:pStyle w:val="CPTExample"/>
        <w:rPr>
          <w:lang w:eastAsia="ja-JP"/>
        </w:rPr>
      </w:pPr>
      <w:r>
        <w:t>Hatcher RA, Trussell J, Nelson AL, Cates W Jr, Stewart F, Kowal D, eds. Contraceptive technology. 19th edition. New York: Ardent Media, 2007(a): 24. Table 3-2.</w:t>
      </w:r>
    </w:p>
    <w:p w14:paraId="14968596" w14:textId="555208D2" w:rsidR="007E6E93" w:rsidRDefault="00444F04" w:rsidP="007E6E93">
      <w:pPr>
        <w:pStyle w:val="CPTExample"/>
      </w:pPr>
      <w:r>
        <w:t>&lt;</w:t>
      </w:r>
      <w:r w:rsidR="007E6E93">
        <w:t>End of example text</w:t>
      </w:r>
      <w:r>
        <w:t>&gt;</w:t>
      </w:r>
    </w:p>
    <w:p w14:paraId="6F081829" w14:textId="6CD54C22" w:rsidR="001F700E" w:rsidRDefault="001F700E" w:rsidP="001F700E"/>
    <w:sectPr w:rsidR="001F700E" w:rsidSect="002A59F0">
      <w:headerReference w:type="default" r:id="rId14"/>
      <w:footerReference w:type="default" r:id="rId15"/>
      <w:pgSz w:w="12240" w:h="15840" w:code="1"/>
      <w:pgMar w:top="1440" w:right="1440" w:bottom="1440" w:left="1440" w:header="720" w:footer="720" w:gutter="0"/>
      <w:paperSrc w:first="15" w:other="15"/>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D20C3E" w14:textId="77777777" w:rsidR="004C12C5" w:rsidRDefault="004C12C5" w:rsidP="006157B8">
      <w:pPr>
        <w:spacing w:after="0" w:line="240" w:lineRule="auto"/>
      </w:pPr>
      <w:r>
        <w:separator/>
      </w:r>
    </w:p>
    <w:p w14:paraId="222C91F9" w14:textId="77777777" w:rsidR="004C12C5" w:rsidRDefault="004C12C5"/>
    <w:p w14:paraId="22E8C338" w14:textId="77777777" w:rsidR="004C12C5" w:rsidRDefault="004C12C5"/>
    <w:p w14:paraId="5695F2F1" w14:textId="77777777" w:rsidR="004C12C5" w:rsidRDefault="004C12C5"/>
    <w:p w14:paraId="5195D8D9" w14:textId="77777777" w:rsidR="004C12C5" w:rsidRDefault="004C12C5"/>
  </w:endnote>
  <w:endnote w:type="continuationSeparator" w:id="0">
    <w:p w14:paraId="0E2A30DB" w14:textId="77777777" w:rsidR="004C12C5" w:rsidRDefault="004C12C5" w:rsidP="006157B8">
      <w:pPr>
        <w:spacing w:after="0" w:line="240" w:lineRule="auto"/>
      </w:pPr>
      <w:r>
        <w:continuationSeparator/>
      </w:r>
    </w:p>
    <w:p w14:paraId="03A10B84" w14:textId="77777777" w:rsidR="004C12C5" w:rsidRDefault="004C12C5"/>
    <w:p w14:paraId="54438525" w14:textId="77777777" w:rsidR="004C12C5" w:rsidRDefault="004C12C5"/>
    <w:p w14:paraId="3D57AD24" w14:textId="77777777" w:rsidR="004C12C5" w:rsidRDefault="004C12C5"/>
    <w:p w14:paraId="679A099B" w14:textId="77777777" w:rsidR="004C12C5" w:rsidRDefault="004C12C5"/>
  </w:endnote>
  <w:endnote w:type="continuationNotice" w:id="1">
    <w:p w14:paraId="1A45D246" w14:textId="77777777" w:rsidR="004C12C5" w:rsidRDefault="004C12C5" w:rsidP="006157B8">
      <w:pPr>
        <w:spacing w:after="0" w:line="240" w:lineRule="auto"/>
      </w:pPr>
    </w:p>
    <w:p w14:paraId="03A07477" w14:textId="77777777" w:rsidR="004C12C5" w:rsidRDefault="004C12C5"/>
    <w:p w14:paraId="3DA0B313" w14:textId="77777777" w:rsidR="004C12C5" w:rsidRDefault="004C12C5"/>
    <w:p w14:paraId="5902C26F" w14:textId="77777777" w:rsidR="004C12C5" w:rsidRDefault="004C12C5"/>
    <w:p w14:paraId="59E9F0B1" w14:textId="77777777" w:rsidR="004C12C5" w:rsidRDefault="004C12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altName w:val="Cordia New"/>
    <w:panose1 w:val="020B0304020202020204"/>
    <w:charset w:val="DE"/>
    <w:family w:val="swiss"/>
    <w:pitch w:val="variable"/>
    <w:sig w:usb0="81000003" w:usb1="00000000" w:usb2="00000000" w:usb3="00000000" w:csb0="0001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02BC9" w14:textId="77777777" w:rsidR="00674307" w:rsidRDefault="00674307" w:rsidP="00674307">
    <w:pPr>
      <w:pStyle w:val="Footer"/>
      <w:rPr>
        <w:sz w:val="18"/>
        <w:szCs w:val="24"/>
      </w:rPr>
    </w:pPr>
    <w:r w:rsidRPr="00884EF5">
      <w:rPr>
        <w:sz w:val="18"/>
        <w:szCs w:val="24"/>
      </w:rPr>
      <w:t>© Copyright 2023 EU-PEARL Consortium</w:t>
    </w:r>
  </w:p>
  <w:p w14:paraId="7DF349E2" w14:textId="4E76FC76" w:rsidR="004C12C5" w:rsidRPr="00674307" w:rsidRDefault="00BF7D8E" w:rsidP="00674307">
    <w:pPr>
      <w:pStyle w:val="Footer"/>
      <w:rPr>
        <w:sz w:val="28"/>
        <w:szCs w:val="24"/>
      </w:rPr>
    </w:pPr>
    <w:r>
      <w:rPr>
        <w:sz w:val="20"/>
      </w:rPr>
      <w:t xml:space="preserve">Based on TransCelerate Statistical Analysis Plan </w:t>
    </w:r>
    <w:r w:rsidR="00EF5B4B">
      <w:rPr>
        <w:sz w:val="20"/>
      </w:rPr>
      <w:t xml:space="preserve">SAP </w:t>
    </w:r>
    <w:r>
      <w:rPr>
        <w:sz w:val="20"/>
      </w:rPr>
      <w:t>V</w:t>
    </w:r>
    <w:r w:rsidR="00C36A4B">
      <w:rPr>
        <w:sz w:val="20"/>
      </w:rPr>
      <w:t>3</w:t>
    </w:r>
    <w:r w:rsidR="00EF5B4B">
      <w:rPr>
        <w:sz w:val="20"/>
      </w:rPr>
      <w:t>.0</w:t>
    </w:r>
    <w:r>
      <w:rPr>
        <w:sz w:val="20"/>
      </w:rPr>
      <w:t>, copyright Transcelerate Biopharma Inc. 20</w:t>
    </w:r>
    <w:r w:rsidR="00EF5B4B">
      <w:rPr>
        <w:sz w:val="20"/>
      </w:rPr>
      <w:t>18</w:t>
    </w:r>
    <w:r>
      <w:rPr>
        <w:sz w:val="20"/>
      </w:rPr>
      <w:t xml:space="preserve"> – 202</w:t>
    </w:r>
    <w:r w:rsidR="00EF5B4B">
      <w:rPr>
        <w:sz w:val="20"/>
      </w:rPr>
      <w:t>0</w:t>
    </w:r>
    <w:r>
      <w:rPr>
        <w:sz w:val="20"/>
      </w:rPr>
      <w:t>.     All rights reserved</w:t>
    </w:r>
    <w:r w:rsidR="004C12C5">
      <w:rPr>
        <w:sz w:val="20"/>
      </w:rPr>
      <w:tab/>
    </w:r>
    <w:r w:rsidR="004C12C5">
      <w:rPr>
        <w:sz w:val="20"/>
      </w:rPr>
      <w:tab/>
    </w:r>
    <w:r w:rsidR="004C12C5">
      <w:fldChar w:fldCharType="begin"/>
    </w:r>
    <w:r w:rsidR="004C12C5">
      <w:instrText xml:space="preserve"> PAGE </w:instrText>
    </w:r>
    <w:r w:rsidR="004C12C5">
      <w:fldChar w:fldCharType="separate"/>
    </w:r>
    <w:r w:rsidR="005C33D8">
      <w:rPr>
        <w:noProof/>
      </w:rPr>
      <w:t>21</w:t>
    </w:r>
    <w:r w:rsidR="004C12C5">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236829" w14:textId="77777777" w:rsidR="004C12C5" w:rsidRDefault="004C12C5" w:rsidP="006157B8">
      <w:pPr>
        <w:spacing w:after="0" w:line="240" w:lineRule="auto"/>
      </w:pPr>
      <w:r>
        <w:separator/>
      </w:r>
    </w:p>
    <w:p w14:paraId="345FBFB1" w14:textId="77777777" w:rsidR="004C12C5" w:rsidRDefault="004C12C5"/>
    <w:p w14:paraId="5849B820" w14:textId="77777777" w:rsidR="004C12C5" w:rsidRDefault="004C12C5"/>
    <w:p w14:paraId="1F2980C3" w14:textId="77777777" w:rsidR="004C12C5" w:rsidRDefault="004C12C5"/>
    <w:p w14:paraId="163D8A37" w14:textId="77777777" w:rsidR="004C12C5" w:rsidRDefault="004C12C5"/>
  </w:footnote>
  <w:footnote w:type="continuationSeparator" w:id="0">
    <w:p w14:paraId="6A346FD8" w14:textId="77777777" w:rsidR="004C12C5" w:rsidRDefault="004C12C5" w:rsidP="006157B8">
      <w:pPr>
        <w:spacing w:after="0" w:line="240" w:lineRule="auto"/>
      </w:pPr>
      <w:r>
        <w:continuationSeparator/>
      </w:r>
    </w:p>
    <w:p w14:paraId="78B3A215" w14:textId="77777777" w:rsidR="004C12C5" w:rsidRDefault="004C12C5"/>
    <w:p w14:paraId="1E5E000F" w14:textId="77777777" w:rsidR="004C12C5" w:rsidRDefault="004C12C5"/>
    <w:p w14:paraId="1734FFD1" w14:textId="77777777" w:rsidR="004C12C5" w:rsidRDefault="004C12C5"/>
    <w:p w14:paraId="6746A986" w14:textId="77777777" w:rsidR="004C12C5" w:rsidRDefault="004C12C5"/>
  </w:footnote>
  <w:footnote w:type="continuationNotice" w:id="1">
    <w:p w14:paraId="349C051B" w14:textId="77777777" w:rsidR="004C12C5" w:rsidRDefault="004C12C5" w:rsidP="006157B8">
      <w:pPr>
        <w:spacing w:after="0" w:line="240" w:lineRule="auto"/>
      </w:pPr>
    </w:p>
    <w:p w14:paraId="607CB0A7" w14:textId="77777777" w:rsidR="004C12C5" w:rsidRDefault="004C12C5"/>
    <w:p w14:paraId="2A91DA53" w14:textId="77777777" w:rsidR="004C12C5" w:rsidRDefault="004C12C5"/>
    <w:p w14:paraId="38716BF5" w14:textId="77777777" w:rsidR="004C12C5" w:rsidRDefault="004C12C5"/>
    <w:p w14:paraId="72476C9E" w14:textId="77777777" w:rsidR="004C12C5" w:rsidRDefault="004C12C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10"/>
      <w:tblW w:w="74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3159"/>
    </w:tblGrid>
    <w:tr w:rsidR="004C12C5" w:rsidRPr="00880B00" w14:paraId="677C614B" w14:textId="77777777" w:rsidTr="00674307">
      <w:trPr>
        <w:trHeight w:val="272"/>
      </w:trPr>
      <w:tc>
        <w:tcPr>
          <w:tcW w:w="4253" w:type="dxa"/>
          <w:vAlign w:val="center"/>
        </w:tcPr>
        <w:p w14:paraId="14FE8333" w14:textId="059D7A2E" w:rsidR="004C12C5" w:rsidRPr="00880B00" w:rsidRDefault="00674307" w:rsidP="004115E8">
          <w:pPr>
            <w:pStyle w:val="Header"/>
            <w:tabs>
              <w:tab w:val="right" w:pos="9639"/>
            </w:tabs>
            <w:rPr>
              <w:color w:val="000000" w:themeColor="text1"/>
            </w:rPr>
          </w:pPr>
          <w:r w:rsidRPr="00884EF5">
            <w:rPr>
              <w:bCs/>
              <w:sz w:val="16"/>
              <w:szCs w:val="16"/>
            </w:rPr>
            <w:t>853966 – EU-PEARL – D2.6</w:t>
          </w:r>
          <w:r>
            <w:rPr>
              <w:bCs/>
              <w:sz w:val="16"/>
              <w:szCs w:val="16"/>
            </w:rPr>
            <w:t xml:space="preserve"> Statistical Analysis Plan Template     </w:t>
          </w:r>
        </w:p>
      </w:tc>
      <w:tc>
        <w:tcPr>
          <w:tcW w:w="3159" w:type="dxa"/>
          <w:vAlign w:val="center"/>
        </w:tcPr>
        <w:p w14:paraId="04D12B72" w14:textId="78BD6307" w:rsidR="004C12C5" w:rsidRPr="005F2F15" w:rsidRDefault="004C12C5" w:rsidP="004115E8">
          <w:pPr>
            <w:pStyle w:val="Header"/>
            <w:tabs>
              <w:tab w:val="right" w:pos="9639"/>
            </w:tabs>
            <w:rPr>
              <w:color w:val="000000" w:themeColor="text1"/>
            </w:rPr>
          </w:pPr>
          <w:r w:rsidRPr="005F2F15">
            <w:rPr>
              <w:color w:val="000000" w:themeColor="text1"/>
            </w:rPr>
            <w:t>V</w:t>
          </w:r>
          <w:r w:rsidR="00632E05">
            <w:rPr>
              <w:color w:val="000000" w:themeColor="text1"/>
            </w:rPr>
            <w:t>3</w:t>
          </w:r>
          <w:r w:rsidRPr="005F2F15">
            <w:rPr>
              <w:color w:val="000000" w:themeColor="text1"/>
            </w:rPr>
            <w:t xml:space="preserve"> </w:t>
          </w:r>
          <w:r w:rsidR="00632E05">
            <w:rPr>
              <w:color w:val="000000" w:themeColor="text1"/>
            </w:rPr>
            <w:t>2</w:t>
          </w:r>
          <w:r w:rsidR="005A08C2">
            <w:rPr>
              <w:color w:val="000000" w:themeColor="text1"/>
            </w:rPr>
            <w:t>5April</w:t>
          </w:r>
          <w:r w:rsidR="00632E05">
            <w:rPr>
              <w:color w:val="000000" w:themeColor="text1"/>
            </w:rPr>
            <w:t>2023</w:t>
          </w:r>
        </w:p>
      </w:tc>
    </w:tr>
  </w:tbl>
  <w:tbl>
    <w:tblPr>
      <w:tblStyle w:val="TableGrid"/>
      <w:tblW w:w="0" w:type="auto"/>
      <w:tblInd w:w="108" w:type="dxa"/>
      <w:tblLook w:val="04A0" w:firstRow="1" w:lastRow="0" w:firstColumn="1" w:lastColumn="0" w:noHBand="0" w:noVBand="1"/>
    </w:tblPr>
    <w:tblGrid>
      <w:gridCol w:w="2422"/>
      <w:gridCol w:w="6830"/>
    </w:tblGrid>
    <w:tr w:rsidR="004C12C5" w14:paraId="3B91B6C3" w14:textId="77777777" w:rsidTr="005F2F15">
      <w:trPr>
        <w:trHeight w:val="288"/>
      </w:trPr>
      <w:tc>
        <w:tcPr>
          <w:tcW w:w="2422" w:type="dxa"/>
          <w:tcBorders>
            <w:top w:val="nil"/>
            <w:left w:val="nil"/>
            <w:bottom w:val="nil"/>
            <w:right w:val="nil"/>
          </w:tcBorders>
        </w:tcPr>
        <w:p w14:paraId="7E78D062" w14:textId="3261C01E" w:rsidR="004C12C5" w:rsidRPr="005F2F15" w:rsidRDefault="004C12C5" w:rsidP="25265610">
          <w:pPr>
            <w:tabs>
              <w:tab w:val="center" w:pos="6660"/>
              <w:tab w:val="right" w:pos="13230"/>
            </w:tabs>
            <w:spacing w:before="0" w:after="0" w:line="240" w:lineRule="auto"/>
            <w:rPr>
              <w:b/>
              <w:bCs/>
            </w:rPr>
          </w:pPr>
        </w:p>
      </w:tc>
      <w:tc>
        <w:tcPr>
          <w:tcW w:w="6830" w:type="dxa"/>
          <w:tcBorders>
            <w:top w:val="nil"/>
            <w:left w:val="nil"/>
            <w:bottom w:val="nil"/>
            <w:right w:val="nil"/>
          </w:tcBorders>
        </w:tcPr>
        <w:p w14:paraId="7BDF2B6C" w14:textId="32B380F4" w:rsidR="004C12C5" w:rsidRDefault="004C12C5" w:rsidP="25265610">
          <w:pPr>
            <w:tabs>
              <w:tab w:val="right" w:pos="13230"/>
            </w:tabs>
            <w:spacing w:before="0" w:after="0" w:line="240" w:lineRule="auto"/>
            <w:jc w:val="right"/>
            <w:rPr>
              <w:bCs/>
            </w:rPr>
          </w:pPr>
          <w:r>
            <w:t xml:space="preserve">Statistical Analysis Plan </w:t>
          </w:r>
          <w:r w:rsidRPr="00B24DC5">
            <w:rPr>
              <w:rStyle w:val="CPTVariable"/>
            </w:rPr>
            <w:t>[version number and/or identifier]</w:t>
          </w:r>
        </w:p>
      </w:tc>
    </w:tr>
  </w:tbl>
  <w:p w14:paraId="721747D3" w14:textId="19C1C91B" w:rsidR="004C12C5" w:rsidRPr="006627E2" w:rsidRDefault="004C12C5" w:rsidP="006627E2">
    <w:pPr>
      <w:tabs>
        <w:tab w:val="center" w:pos="6660"/>
        <w:tab w:val="right" w:pos="13230"/>
      </w:tabs>
      <w:spacing w:before="0" w:after="0" w:line="240" w:lineRule="auto"/>
      <w:rPr>
        <w:bCs/>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99CEC4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01FA2F5A"/>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36AE0290"/>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AE94EC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CED67F02"/>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D4C2BE8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DFA492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FAC4EB2"/>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6222968"/>
    <w:lvl w:ilvl="0">
      <w:start w:val="1"/>
      <w:numFmt w:val="decimal"/>
      <w:pStyle w:val="ListNumber"/>
      <w:lvlText w:val="%1."/>
      <w:lvlJc w:val="left"/>
      <w:pPr>
        <w:tabs>
          <w:tab w:val="num" w:pos="360"/>
        </w:tabs>
        <w:ind w:left="360" w:hanging="360"/>
      </w:pPr>
    </w:lvl>
  </w:abstractNum>
  <w:abstractNum w:abstractNumId="9" w15:restartNumberingAfterBreak="0">
    <w:nsid w:val="00B24F4A"/>
    <w:multiLevelType w:val="multilevel"/>
    <w:tmpl w:val="E49CC518"/>
    <w:lvl w:ilvl="0">
      <w:start w:val="1"/>
      <w:numFmt w:val="decimal"/>
      <w:lvlText w:val="%1."/>
      <w:lvlJc w:val="left"/>
      <w:pPr>
        <w:ind w:left="3338" w:hanging="360"/>
      </w:pPr>
      <w:rPr>
        <w:rFonts w:ascii="Times New Roman" w:hAnsi="Times New Roman" w:hint="default"/>
        <w:b/>
        <w:i w:val="0"/>
        <w:caps w:val="0"/>
        <w:strike w:val="0"/>
        <w:dstrike w:val="0"/>
        <w:snapToGrid w:val="0"/>
        <w:vanish w:val="0"/>
        <w:color w:val="auto"/>
        <w:spacing w:val="0"/>
        <w:w w:val="100"/>
        <w:kern w:val="0"/>
        <w:position w:val="0"/>
        <w:sz w:val="32"/>
        <w:u w:val="none"/>
        <w:vertAlign w:val="baseline"/>
      </w:rPr>
    </w:lvl>
    <w:lvl w:ilvl="1">
      <w:start w:val="1"/>
      <w:numFmt w:val="decimal"/>
      <w:lvlText w:val="%1.%2."/>
      <w:lvlJc w:val="left"/>
      <w:pPr>
        <w:tabs>
          <w:tab w:val="num" w:pos="720"/>
        </w:tabs>
        <w:ind w:left="720" w:hanging="720"/>
      </w:pPr>
      <w:rPr>
        <w:rFonts w:ascii="Arial" w:eastAsia="MS Gothic" w:hAnsi="Arial" w:cs="Times New Roman" w:hint="default"/>
        <w:b/>
        <w:i w:val="0"/>
        <w:caps w:val="0"/>
        <w:strike w:val="0"/>
        <w:dstrike w:val="0"/>
        <w:snapToGrid w:val="0"/>
        <w:vanish w:val="0"/>
        <w:color w:val="auto"/>
        <w:spacing w:val="0"/>
        <w:w w:val="100"/>
        <w:kern w:val="0"/>
        <w:position w:val="0"/>
        <w:sz w:val="24"/>
        <w:u w:val="none"/>
        <w:effect w:val="none"/>
        <w:vertAlign w:val="baseline"/>
      </w:rPr>
    </w:lvl>
    <w:lvl w:ilvl="2">
      <w:start w:val="1"/>
      <w:numFmt w:val="decimal"/>
      <w:lvlText w:val="%1.%2.%3."/>
      <w:lvlJc w:val="left"/>
      <w:pPr>
        <w:tabs>
          <w:tab w:val="num" w:pos="3738"/>
        </w:tabs>
        <w:ind w:left="3738" w:hanging="902"/>
      </w:pPr>
      <w:rPr>
        <w:rFonts w:ascii="Arial" w:eastAsia="MS Gothic" w:hAnsi="Arial" w:cs="Times New Roman" w:hint="default"/>
        <w:b/>
        <w:i/>
        <w:caps w:val="0"/>
        <w:strike w:val="0"/>
        <w:dstrike w:val="0"/>
        <w:snapToGrid w:val="0"/>
        <w:vanish w:val="0"/>
        <w:color w:val="auto"/>
        <w:spacing w:val="0"/>
        <w:w w:val="100"/>
        <w:kern w:val="0"/>
        <w:position w:val="0"/>
        <w:sz w:val="28"/>
        <w:u w:val="none"/>
        <w:vertAlign w:val="baseline"/>
      </w:rPr>
    </w:lvl>
    <w:lvl w:ilvl="3">
      <w:start w:val="1"/>
      <w:numFmt w:val="decimal"/>
      <w:lvlText w:val="%1.%2.%3.%4."/>
      <w:lvlJc w:val="left"/>
      <w:pPr>
        <w:tabs>
          <w:tab w:val="num" w:pos="1009"/>
        </w:tabs>
        <w:ind w:left="1009" w:hanging="1009"/>
      </w:pPr>
      <w:rPr>
        <w:rFonts w:ascii="Arial" w:eastAsia="MS Gothic" w:hAnsi="Arial" w:cs="Times New Roman" w:hint="default"/>
        <w:b/>
        <w:i w:val="0"/>
        <w:caps w:val="0"/>
        <w:strike w:val="0"/>
        <w:dstrike w:val="0"/>
        <w:snapToGrid w:val="0"/>
        <w:vanish w:val="0"/>
        <w:color w:val="auto"/>
        <w:spacing w:val="0"/>
        <w:w w:val="100"/>
        <w:kern w:val="0"/>
        <w:position w:val="0"/>
        <w:sz w:val="24"/>
        <w:u w:val="none"/>
        <w:vertAlign w:val="baseline"/>
      </w:rPr>
    </w:lvl>
    <w:lvl w:ilvl="4">
      <w:start w:val="1"/>
      <w:numFmt w:val="decimal"/>
      <w:lvlText w:val="%1.%2.%3.%4.%5."/>
      <w:lvlJc w:val="left"/>
      <w:pPr>
        <w:tabs>
          <w:tab w:val="num" w:pos="1168"/>
        </w:tabs>
        <w:ind w:left="1168" w:hanging="1168"/>
      </w:pPr>
      <w:rPr>
        <w:rFonts w:ascii="Arial" w:eastAsia="MS Gothic" w:hAnsi="Arial" w:cs="Times New Roman" w:hint="default"/>
        <w:b/>
        <w:i/>
        <w:caps w:val="0"/>
        <w:strike w:val="0"/>
        <w:dstrike w:val="0"/>
        <w:snapToGrid w:val="0"/>
        <w:vanish w:val="0"/>
        <w:color w:val="auto"/>
        <w:spacing w:val="0"/>
        <w:w w:val="100"/>
        <w:kern w:val="0"/>
        <w:position w:val="0"/>
        <w:sz w:val="24"/>
        <w:u w:val="none"/>
        <w:vertAlign w:val="baseline"/>
      </w:rPr>
    </w:lvl>
    <w:lvl w:ilvl="5">
      <w:start w:val="1"/>
      <w:numFmt w:val="decimal"/>
      <w:lvlText w:val="%1.%2.%3.%4.%5.%6."/>
      <w:lvlJc w:val="left"/>
      <w:pPr>
        <w:tabs>
          <w:tab w:val="num" w:pos="1355"/>
        </w:tabs>
        <w:ind w:left="1355" w:hanging="1355"/>
      </w:pPr>
      <w:rPr>
        <w:rFonts w:ascii="Arial" w:eastAsia="MS Gothic" w:hAnsi="Arial" w:cs="Times New Roman" w:hint="default"/>
        <w:b/>
        <w:i w:val="0"/>
        <w:caps w:val="0"/>
        <w:strike w:val="0"/>
        <w:dstrike w:val="0"/>
        <w:snapToGrid w:val="0"/>
        <w:vanish w:val="0"/>
        <w:color w:val="auto"/>
        <w:spacing w:val="0"/>
        <w:w w:val="100"/>
        <w:kern w:val="0"/>
        <w:position w:val="0"/>
        <w:sz w:val="22"/>
        <w:u w:val="none"/>
        <w:vertAlign w:val="baseline"/>
      </w:rPr>
    </w:lvl>
    <w:lvl w:ilvl="6">
      <w:start w:val="1"/>
      <w:numFmt w:val="decimal"/>
      <w:pStyle w:val="Heading7"/>
      <w:lvlText w:val="%1.%2.%3.%4.%5.%6.%7."/>
      <w:lvlJc w:val="left"/>
      <w:pPr>
        <w:tabs>
          <w:tab w:val="num" w:pos="1531"/>
        </w:tabs>
        <w:ind w:left="1531" w:hanging="1531"/>
      </w:pPr>
      <w:rPr>
        <w:rFonts w:ascii="Arial" w:eastAsia="MS Gothic" w:hAnsi="Arial" w:cs="Times New Roman" w:hint="default"/>
        <w:b/>
        <w:i/>
        <w:caps w:val="0"/>
        <w:strike w:val="0"/>
        <w:dstrike w:val="0"/>
        <w:snapToGrid w:val="0"/>
        <w:vanish w:val="0"/>
        <w:color w:val="auto"/>
        <w:spacing w:val="0"/>
        <w:w w:val="100"/>
        <w:kern w:val="0"/>
        <w:position w:val="0"/>
        <w:sz w:val="22"/>
        <w:u w:val="none"/>
        <w:vertAlign w:val="baseline"/>
      </w:rPr>
    </w:lvl>
    <w:lvl w:ilvl="7">
      <w:start w:val="1"/>
      <w:numFmt w:val="decimal"/>
      <w:pStyle w:val="Heading8"/>
      <w:lvlText w:val="%1.%2.%3.%4.%5.%6.%7.%8."/>
      <w:lvlJc w:val="left"/>
      <w:pPr>
        <w:tabs>
          <w:tab w:val="num" w:pos="1758"/>
        </w:tabs>
        <w:ind w:left="1758" w:hanging="1758"/>
      </w:pPr>
      <w:rPr>
        <w:rFonts w:ascii="Arial" w:eastAsia="MS Gothic" w:hAnsi="Arial" w:cs="Times New Roman" w:hint="default"/>
        <w:b/>
        <w:i w:val="0"/>
        <w:caps w:val="0"/>
        <w:strike w:val="0"/>
        <w:dstrike w:val="0"/>
        <w:snapToGrid w:val="0"/>
        <w:vanish w:val="0"/>
        <w:color w:val="auto"/>
        <w:spacing w:val="0"/>
        <w:w w:val="100"/>
        <w:kern w:val="0"/>
        <w:position w:val="0"/>
        <w:sz w:val="21"/>
        <w:u w:val="none"/>
        <w:vertAlign w:val="baseline"/>
      </w:rPr>
    </w:lvl>
    <w:lvl w:ilvl="8">
      <w:start w:val="1"/>
      <w:numFmt w:val="decimal"/>
      <w:pStyle w:val="Heading9"/>
      <w:lvlText w:val="%1.%2.%3.%4.%5.%6.%7.%8.%9."/>
      <w:lvlJc w:val="left"/>
      <w:pPr>
        <w:tabs>
          <w:tab w:val="num" w:pos="1985"/>
        </w:tabs>
        <w:ind w:left="1985" w:hanging="1985"/>
      </w:pPr>
      <w:rPr>
        <w:rFonts w:ascii="Arial" w:eastAsia="MS Gothic" w:hAnsi="Arial" w:cs="Times New Roman" w:hint="default"/>
        <w:b/>
        <w:i/>
        <w:caps w:val="0"/>
        <w:strike w:val="0"/>
        <w:dstrike w:val="0"/>
        <w:snapToGrid w:val="0"/>
        <w:vanish w:val="0"/>
        <w:color w:val="auto"/>
        <w:spacing w:val="0"/>
        <w:w w:val="100"/>
        <w:kern w:val="0"/>
        <w:position w:val="0"/>
        <w:sz w:val="21"/>
        <w:u w:val="none"/>
        <w:vertAlign w:val="baseline"/>
      </w:rPr>
    </w:lvl>
  </w:abstractNum>
  <w:abstractNum w:abstractNumId="10" w15:restartNumberingAfterBreak="0">
    <w:nsid w:val="11FC1AB3"/>
    <w:multiLevelType w:val="hybridMultilevel"/>
    <w:tmpl w:val="D5FEF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34E4DA5"/>
    <w:multiLevelType w:val="multilevel"/>
    <w:tmpl w:val="2184087E"/>
    <w:numStyleLink w:val="CPTB"/>
  </w:abstractNum>
  <w:abstractNum w:abstractNumId="12" w15:restartNumberingAfterBreak="0">
    <w:nsid w:val="13915908"/>
    <w:multiLevelType w:val="multilevel"/>
    <w:tmpl w:val="8F7626A6"/>
    <w:numStyleLink w:val="CPTN"/>
  </w:abstractNum>
  <w:abstractNum w:abstractNumId="13" w15:restartNumberingAfterBreak="0">
    <w:nsid w:val="13F13CDC"/>
    <w:multiLevelType w:val="hybridMultilevel"/>
    <w:tmpl w:val="E4120D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19EC2DF5"/>
    <w:multiLevelType w:val="hybridMultilevel"/>
    <w:tmpl w:val="5FC2EF46"/>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5" w15:restartNumberingAfterBreak="0">
    <w:nsid w:val="1AF60527"/>
    <w:multiLevelType w:val="hybridMultilevel"/>
    <w:tmpl w:val="CC846F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20C845CD"/>
    <w:multiLevelType w:val="hybridMultilevel"/>
    <w:tmpl w:val="FDE6EC1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7" w15:restartNumberingAfterBreak="0">
    <w:nsid w:val="22CF2158"/>
    <w:multiLevelType w:val="multilevel"/>
    <w:tmpl w:val="524EDBB8"/>
    <w:styleLink w:val="IMIbulletlist"/>
    <w:lvl w:ilvl="0">
      <w:start w:val="1"/>
      <w:numFmt w:val="bullet"/>
      <w:lvlText w:val=""/>
      <w:lvlJc w:val="left"/>
      <w:pPr>
        <w:ind w:left="284" w:hanging="284"/>
      </w:pPr>
      <w:rPr>
        <w:rFonts w:ascii="Wingdings" w:hAnsi="Wingdings"/>
        <w:b w:val="0"/>
        <w:i w:val="0"/>
        <w:color w:val="06715C"/>
      </w:rPr>
    </w:lvl>
    <w:lvl w:ilvl="1">
      <w:start w:val="1"/>
      <w:numFmt w:val="bullet"/>
      <w:lvlText w:val=""/>
      <w:lvlJc w:val="left"/>
      <w:pPr>
        <w:ind w:left="568" w:hanging="284"/>
      </w:pPr>
      <w:rPr>
        <w:rFonts w:ascii="Wingdings" w:hAnsi="Wingdings" w:hint="default"/>
        <w:color w:val="4F81BD" w:themeColor="accent1"/>
      </w:rPr>
    </w:lvl>
    <w:lvl w:ilvl="2">
      <w:start w:val="1"/>
      <w:numFmt w:val="bullet"/>
      <w:lvlText w:val=""/>
      <w:lvlJc w:val="left"/>
      <w:pPr>
        <w:ind w:left="852" w:hanging="284"/>
      </w:pPr>
      <w:rPr>
        <w:rFonts w:ascii="Wingdings" w:hAnsi="Wingdings" w:hint="default"/>
        <w:color w:val="4F81BD" w:themeColor="accent1"/>
      </w:rPr>
    </w:lvl>
    <w:lvl w:ilvl="3">
      <w:start w:val="1"/>
      <w:numFmt w:val="bullet"/>
      <w:lvlText w:val=""/>
      <w:lvlJc w:val="left"/>
      <w:pPr>
        <w:ind w:left="1136" w:hanging="284"/>
      </w:pPr>
      <w:rPr>
        <w:rFonts w:ascii="Symbol" w:hAnsi="Symbol" w:hint="default"/>
      </w:rPr>
    </w:lvl>
    <w:lvl w:ilvl="4">
      <w:start w:val="1"/>
      <w:numFmt w:val="bullet"/>
      <w:lvlText w:val="o"/>
      <w:lvlJc w:val="left"/>
      <w:pPr>
        <w:ind w:left="1420" w:hanging="284"/>
      </w:pPr>
      <w:rPr>
        <w:rFonts w:ascii="Courier New" w:hAnsi="Courier New" w:cs="Courier New" w:hint="default"/>
      </w:rPr>
    </w:lvl>
    <w:lvl w:ilvl="5">
      <w:start w:val="1"/>
      <w:numFmt w:val="bullet"/>
      <w:lvlText w:val=""/>
      <w:lvlJc w:val="left"/>
      <w:pPr>
        <w:ind w:left="1704" w:hanging="284"/>
      </w:pPr>
      <w:rPr>
        <w:rFonts w:ascii="Wingdings" w:hAnsi="Wingdings" w:hint="default"/>
      </w:rPr>
    </w:lvl>
    <w:lvl w:ilvl="6">
      <w:start w:val="1"/>
      <w:numFmt w:val="bullet"/>
      <w:lvlText w:val=""/>
      <w:lvlJc w:val="left"/>
      <w:pPr>
        <w:ind w:left="1988" w:hanging="284"/>
      </w:pPr>
      <w:rPr>
        <w:rFonts w:ascii="Symbol" w:hAnsi="Symbol" w:hint="default"/>
      </w:rPr>
    </w:lvl>
    <w:lvl w:ilvl="7">
      <w:start w:val="1"/>
      <w:numFmt w:val="bullet"/>
      <w:lvlText w:val="o"/>
      <w:lvlJc w:val="left"/>
      <w:pPr>
        <w:ind w:left="2272" w:hanging="284"/>
      </w:pPr>
      <w:rPr>
        <w:rFonts w:ascii="Courier New" w:hAnsi="Courier New" w:cs="Courier New" w:hint="default"/>
      </w:rPr>
    </w:lvl>
    <w:lvl w:ilvl="8">
      <w:start w:val="1"/>
      <w:numFmt w:val="bullet"/>
      <w:lvlText w:val=""/>
      <w:lvlJc w:val="left"/>
      <w:pPr>
        <w:ind w:left="2556" w:hanging="284"/>
      </w:pPr>
      <w:rPr>
        <w:rFonts w:ascii="Wingdings" w:hAnsi="Wingdings" w:hint="default"/>
      </w:rPr>
    </w:lvl>
  </w:abstractNum>
  <w:abstractNum w:abstractNumId="18" w15:restartNumberingAfterBreak="0">
    <w:nsid w:val="24883C00"/>
    <w:multiLevelType w:val="hybridMultilevel"/>
    <w:tmpl w:val="0B3E8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2B5085"/>
    <w:multiLevelType w:val="hybridMultilevel"/>
    <w:tmpl w:val="A4EEE6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DBE0276"/>
    <w:multiLevelType w:val="multilevel"/>
    <w:tmpl w:val="8F7626A6"/>
    <w:styleLink w:val="CPTN"/>
    <w:lvl w:ilvl="0">
      <w:start w:val="1"/>
      <w:numFmt w:val="decimal"/>
      <w:pStyle w:val="CPTListNumber"/>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none"/>
      <w:lvlText w:val=""/>
      <w:lvlJc w:val="left"/>
      <w:pPr>
        <w:ind w:left="2160" w:hanging="360"/>
      </w:pPr>
      <w:rPr>
        <w:rFonts w:hint="default"/>
      </w:rPr>
    </w:lvl>
    <w:lvl w:ilvl="5">
      <w:start w:val="1"/>
      <w:numFmt w:val="none"/>
      <w:lvlText w:val=""/>
      <w:lvlJc w:val="left"/>
      <w:pPr>
        <w:ind w:left="2520" w:hanging="360"/>
      </w:pPr>
      <w:rPr>
        <w:rFonts w:hint="default"/>
      </w:rPr>
    </w:lvl>
    <w:lvl w:ilvl="6">
      <w:start w:val="1"/>
      <w:numFmt w:val="none"/>
      <w:lvlText w:val=""/>
      <w:lvlJc w:val="left"/>
      <w:pPr>
        <w:ind w:left="2880" w:hanging="360"/>
      </w:pPr>
      <w:rPr>
        <w:rFonts w:hint="default"/>
      </w:rPr>
    </w:lvl>
    <w:lvl w:ilvl="7">
      <w:start w:val="1"/>
      <w:numFmt w:val="none"/>
      <w:lvlText w:val=""/>
      <w:lvlJc w:val="left"/>
      <w:pPr>
        <w:ind w:left="3240" w:hanging="360"/>
      </w:pPr>
      <w:rPr>
        <w:rFonts w:hint="default"/>
      </w:rPr>
    </w:lvl>
    <w:lvl w:ilvl="8">
      <w:start w:val="1"/>
      <w:numFmt w:val="none"/>
      <w:lvlText w:val=""/>
      <w:lvlJc w:val="left"/>
      <w:pPr>
        <w:ind w:left="3600" w:hanging="360"/>
      </w:pPr>
      <w:rPr>
        <w:rFonts w:hint="default"/>
      </w:rPr>
    </w:lvl>
  </w:abstractNum>
  <w:abstractNum w:abstractNumId="21" w15:restartNumberingAfterBreak="0">
    <w:nsid w:val="337D10AA"/>
    <w:multiLevelType w:val="hybridMultilevel"/>
    <w:tmpl w:val="1DEC55F8"/>
    <w:lvl w:ilvl="0" w:tplc="70280948">
      <w:start w:val="1"/>
      <w:numFmt w:val="bullet"/>
      <w:lvlText w:val=""/>
      <w:lvlJc w:val="left"/>
      <w:pPr>
        <w:ind w:left="720" w:hanging="360"/>
      </w:pPr>
      <w:rPr>
        <w:rFonts w:ascii="Symbol" w:hAnsi="Symbol" w:hint="default"/>
      </w:rPr>
    </w:lvl>
    <w:lvl w:ilvl="1" w:tplc="4B7073DA">
      <w:start w:val="1"/>
      <w:numFmt w:val="bullet"/>
      <w:lvlText w:val="o"/>
      <w:lvlJc w:val="left"/>
      <w:pPr>
        <w:ind w:left="1440" w:hanging="360"/>
      </w:pPr>
      <w:rPr>
        <w:rFonts w:ascii="Courier New" w:hAnsi="Courier New" w:hint="default"/>
      </w:rPr>
    </w:lvl>
    <w:lvl w:ilvl="2" w:tplc="FF504102">
      <w:start w:val="1"/>
      <w:numFmt w:val="bullet"/>
      <w:lvlText w:val=""/>
      <w:lvlJc w:val="left"/>
      <w:pPr>
        <w:ind w:left="2160" w:hanging="360"/>
      </w:pPr>
      <w:rPr>
        <w:rFonts w:ascii="Wingdings" w:hAnsi="Wingdings" w:hint="default"/>
      </w:rPr>
    </w:lvl>
    <w:lvl w:ilvl="3" w:tplc="5F00FAAC">
      <w:start w:val="1"/>
      <w:numFmt w:val="bullet"/>
      <w:lvlText w:val=""/>
      <w:lvlJc w:val="left"/>
      <w:pPr>
        <w:ind w:left="2880" w:hanging="360"/>
      </w:pPr>
      <w:rPr>
        <w:rFonts w:ascii="Symbol" w:hAnsi="Symbol" w:hint="default"/>
      </w:rPr>
    </w:lvl>
    <w:lvl w:ilvl="4" w:tplc="2DB00792">
      <w:start w:val="1"/>
      <w:numFmt w:val="bullet"/>
      <w:lvlText w:val="o"/>
      <w:lvlJc w:val="left"/>
      <w:pPr>
        <w:ind w:left="3600" w:hanging="360"/>
      </w:pPr>
      <w:rPr>
        <w:rFonts w:ascii="Courier New" w:hAnsi="Courier New" w:hint="default"/>
      </w:rPr>
    </w:lvl>
    <w:lvl w:ilvl="5" w:tplc="DD3A9C36">
      <w:start w:val="1"/>
      <w:numFmt w:val="bullet"/>
      <w:lvlText w:val=""/>
      <w:lvlJc w:val="left"/>
      <w:pPr>
        <w:ind w:left="4320" w:hanging="360"/>
      </w:pPr>
      <w:rPr>
        <w:rFonts w:ascii="Wingdings" w:hAnsi="Wingdings" w:hint="default"/>
      </w:rPr>
    </w:lvl>
    <w:lvl w:ilvl="6" w:tplc="3B4C49D0">
      <w:start w:val="1"/>
      <w:numFmt w:val="bullet"/>
      <w:lvlText w:val=""/>
      <w:lvlJc w:val="left"/>
      <w:pPr>
        <w:ind w:left="5040" w:hanging="360"/>
      </w:pPr>
      <w:rPr>
        <w:rFonts w:ascii="Symbol" w:hAnsi="Symbol" w:hint="default"/>
      </w:rPr>
    </w:lvl>
    <w:lvl w:ilvl="7" w:tplc="3E662EFC">
      <w:start w:val="1"/>
      <w:numFmt w:val="bullet"/>
      <w:lvlText w:val="o"/>
      <w:lvlJc w:val="left"/>
      <w:pPr>
        <w:ind w:left="5760" w:hanging="360"/>
      </w:pPr>
      <w:rPr>
        <w:rFonts w:ascii="Courier New" w:hAnsi="Courier New" w:hint="default"/>
      </w:rPr>
    </w:lvl>
    <w:lvl w:ilvl="8" w:tplc="D5941D86">
      <w:start w:val="1"/>
      <w:numFmt w:val="bullet"/>
      <w:lvlText w:val=""/>
      <w:lvlJc w:val="left"/>
      <w:pPr>
        <w:ind w:left="6480" w:hanging="360"/>
      </w:pPr>
      <w:rPr>
        <w:rFonts w:ascii="Wingdings" w:hAnsi="Wingdings" w:hint="default"/>
      </w:rPr>
    </w:lvl>
  </w:abstractNum>
  <w:abstractNum w:abstractNumId="22" w15:restartNumberingAfterBreak="0">
    <w:nsid w:val="346F4415"/>
    <w:multiLevelType w:val="hybridMultilevel"/>
    <w:tmpl w:val="6340F2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4C11830"/>
    <w:multiLevelType w:val="hybridMultilevel"/>
    <w:tmpl w:val="22767602"/>
    <w:lvl w:ilvl="0" w:tplc="0C070001">
      <w:start w:val="1"/>
      <w:numFmt w:val="bullet"/>
      <w:lvlText w:val=""/>
      <w:lvlJc w:val="left"/>
      <w:pPr>
        <w:ind w:left="1080" w:hanging="360"/>
      </w:pPr>
      <w:rPr>
        <w:rFonts w:ascii="Symbol" w:hAnsi="Symbol" w:hint="default"/>
      </w:rPr>
    </w:lvl>
    <w:lvl w:ilvl="1" w:tplc="0C070003" w:tentative="1">
      <w:start w:val="1"/>
      <w:numFmt w:val="bullet"/>
      <w:lvlText w:val="o"/>
      <w:lvlJc w:val="left"/>
      <w:pPr>
        <w:ind w:left="1800" w:hanging="360"/>
      </w:pPr>
      <w:rPr>
        <w:rFonts w:ascii="Courier New" w:hAnsi="Courier New" w:cs="Courier New" w:hint="default"/>
      </w:rPr>
    </w:lvl>
    <w:lvl w:ilvl="2" w:tplc="0C070005" w:tentative="1">
      <w:start w:val="1"/>
      <w:numFmt w:val="bullet"/>
      <w:lvlText w:val=""/>
      <w:lvlJc w:val="left"/>
      <w:pPr>
        <w:ind w:left="2520" w:hanging="360"/>
      </w:pPr>
      <w:rPr>
        <w:rFonts w:ascii="Wingdings" w:hAnsi="Wingdings" w:hint="default"/>
      </w:rPr>
    </w:lvl>
    <w:lvl w:ilvl="3" w:tplc="0C070001" w:tentative="1">
      <w:start w:val="1"/>
      <w:numFmt w:val="bullet"/>
      <w:lvlText w:val=""/>
      <w:lvlJc w:val="left"/>
      <w:pPr>
        <w:ind w:left="3240" w:hanging="360"/>
      </w:pPr>
      <w:rPr>
        <w:rFonts w:ascii="Symbol" w:hAnsi="Symbol" w:hint="default"/>
      </w:rPr>
    </w:lvl>
    <w:lvl w:ilvl="4" w:tplc="0C070003" w:tentative="1">
      <w:start w:val="1"/>
      <w:numFmt w:val="bullet"/>
      <w:lvlText w:val="o"/>
      <w:lvlJc w:val="left"/>
      <w:pPr>
        <w:ind w:left="3960" w:hanging="360"/>
      </w:pPr>
      <w:rPr>
        <w:rFonts w:ascii="Courier New" w:hAnsi="Courier New" w:cs="Courier New" w:hint="default"/>
      </w:rPr>
    </w:lvl>
    <w:lvl w:ilvl="5" w:tplc="0C070005" w:tentative="1">
      <w:start w:val="1"/>
      <w:numFmt w:val="bullet"/>
      <w:lvlText w:val=""/>
      <w:lvlJc w:val="left"/>
      <w:pPr>
        <w:ind w:left="4680" w:hanging="360"/>
      </w:pPr>
      <w:rPr>
        <w:rFonts w:ascii="Wingdings" w:hAnsi="Wingdings" w:hint="default"/>
      </w:rPr>
    </w:lvl>
    <w:lvl w:ilvl="6" w:tplc="0C070001" w:tentative="1">
      <w:start w:val="1"/>
      <w:numFmt w:val="bullet"/>
      <w:lvlText w:val=""/>
      <w:lvlJc w:val="left"/>
      <w:pPr>
        <w:ind w:left="5400" w:hanging="360"/>
      </w:pPr>
      <w:rPr>
        <w:rFonts w:ascii="Symbol" w:hAnsi="Symbol" w:hint="default"/>
      </w:rPr>
    </w:lvl>
    <w:lvl w:ilvl="7" w:tplc="0C070003" w:tentative="1">
      <w:start w:val="1"/>
      <w:numFmt w:val="bullet"/>
      <w:lvlText w:val="o"/>
      <w:lvlJc w:val="left"/>
      <w:pPr>
        <w:ind w:left="6120" w:hanging="360"/>
      </w:pPr>
      <w:rPr>
        <w:rFonts w:ascii="Courier New" w:hAnsi="Courier New" w:cs="Courier New" w:hint="default"/>
      </w:rPr>
    </w:lvl>
    <w:lvl w:ilvl="8" w:tplc="0C070005" w:tentative="1">
      <w:start w:val="1"/>
      <w:numFmt w:val="bullet"/>
      <w:lvlText w:val=""/>
      <w:lvlJc w:val="left"/>
      <w:pPr>
        <w:ind w:left="6840" w:hanging="360"/>
      </w:pPr>
      <w:rPr>
        <w:rFonts w:ascii="Wingdings" w:hAnsi="Wingdings" w:hint="default"/>
      </w:rPr>
    </w:lvl>
  </w:abstractNum>
  <w:abstractNum w:abstractNumId="24" w15:restartNumberingAfterBreak="0">
    <w:nsid w:val="375D1B44"/>
    <w:multiLevelType w:val="hybridMultilevel"/>
    <w:tmpl w:val="FFFFFFFF"/>
    <w:lvl w:ilvl="0" w:tplc="799E139A">
      <w:start w:val="1"/>
      <w:numFmt w:val="bullet"/>
      <w:lvlText w:val="·"/>
      <w:lvlJc w:val="left"/>
      <w:pPr>
        <w:ind w:left="720" w:hanging="360"/>
      </w:pPr>
      <w:rPr>
        <w:rFonts w:ascii="Symbol" w:hAnsi="Symbol" w:hint="default"/>
      </w:rPr>
    </w:lvl>
    <w:lvl w:ilvl="1" w:tplc="3EF21E5E">
      <w:start w:val="1"/>
      <w:numFmt w:val="bullet"/>
      <w:lvlText w:val="o"/>
      <w:lvlJc w:val="left"/>
      <w:pPr>
        <w:ind w:left="1440" w:hanging="360"/>
      </w:pPr>
      <w:rPr>
        <w:rFonts w:ascii="Courier New" w:hAnsi="Courier New" w:hint="default"/>
      </w:rPr>
    </w:lvl>
    <w:lvl w:ilvl="2" w:tplc="46268990">
      <w:start w:val="1"/>
      <w:numFmt w:val="bullet"/>
      <w:lvlText w:val=""/>
      <w:lvlJc w:val="left"/>
      <w:pPr>
        <w:ind w:left="2160" w:hanging="360"/>
      </w:pPr>
      <w:rPr>
        <w:rFonts w:ascii="Wingdings" w:hAnsi="Wingdings" w:hint="default"/>
      </w:rPr>
    </w:lvl>
    <w:lvl w:ilvl="3" w:tplc="D97E5974">
      <w:start w:val="1"/>
      <w:numFmt w:val="bullet"/>
      <w:lvlText w:val=""/>
      <w:lvlJc w:val="left"/>
      <w:pPr>
        <w:ind w:left="2880" w:hanging="360"/>
      </w:pPr>
      <w:rPr>
        <w:rFonts w:ascii="Symbol" w:hAnsi="Symbol" w:hint="default"/>
      </w:rPr>
    </w:lvl>
    <w:lvl w:ilvl="4" w:tplc="1FB279C8">
      <w:start w:val="1"/>
      <w:numFmt w:val="bullet"/>
      <w:lvlText w:val="o"/>
      <w:lvlJc w:val="left"/>
      <w:pPr>
        <w:ind w:left="3600" w:hanging="360"/>
      </w:pPr>
      <w:rPr>
        <w:rFonts w:ascii="Courier New" w:hAnsi="Courier New" w:hint="default"/>
      </w:rPr>
    </w:lvl>
    <w:lvl w:ilvl="5" w:tplc="834682F4">
      <w:start w:val="1"/>
      <w:numFmt w:val="bullet"/>
      <w:lvlText w:val=""/>
      <w:lvlJc w:val="left"/>
      <w:pPr>
        <w:ind w:left="4320" w:hanging="360"/>
      </w:pPr>
      <w:rPr>
        <w:rFonts w:ascii="Wingdings" w:hAnsi="Wingdings" w:hint="default"/>
      </w:rPr>
    </w:lvl>
    <w:lvl w:ilvl="6" w:tplc="53322796">
      <w:start w:val="1"/>
      <w:numFmt w:val="bullet"/>
      <w:lvlText w:val=""/>
      <w:lvlJc w:val="left"/>
      <w:pPr>
        <w:ind w:left="5040" w:hanging="360"/>
      </w:pPr>
      <w:rPr>
        <w:rFonts w:ascii="Symbol" w:hAnsi="Symbol" w:hint="default"/>
      </w:rPr>
    </w:lvl>
    <w:lvl w:ilvl="7" w:tplc="EE1C3098">
      <w:start w:val="1"/>
      <w:numFmt w:val="bullet"/>
      <w:lvlText w:val="o"/>
      <w:lvlJc w:val="left"/>
      <w:pPr>
        <w:ind w:left="5760" w:hanging="360"/>
      </w:pPr>
      <w:rPr>
        <w:rFonts w:ascii="Courier New" w:hAnsi="Courier New" w:hint="default"/>
      </w:rPr>
    </w:lvl>
    <w:lvl w:ilvl="8" w:tplc="8C2AA8A4">
      <w:start w:val="1"/>
      <w:numFmt w:val="bullet"/>
      <w:lvlText w:val=""/>
      <w:lvlJc w:val="left"/>
      <w:pPr>
        <w:ind w:left="6480" w:hanging="360"/>
      </w:pPr>
      <w:rPr>
        <w:rFonts w:ascii="Wingdings" w:hAnsi="Wingdings" w:hint="default"/>
      </w:rPr>
    </w:lvl>
  </w:abstractNum>
  <w:abstractNum w:abstractNumId="25" w15:restartNumberingAfterBreak="0">
    <w:nsid w:val="3A1D1A41"/>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408C6C6C"/>
    <w:multiLevelType w:val="hybridMultilevel"/>
    <w:tmpl w:val="A3D0E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2120153"/>
    <w:multiLevelType w:val="hybridMultilevel"/>
    <w:tmpl w:val="E5F204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42B557A9"/>
    <w:multiLevelType w:val="multilevel"/>
    <w:tmpl w:val="2184087E"/>
    <w:styleLink w:val="CPTB"/>
    <w:lvl w:ilvl="0">
      <w:start w:val="1"/>
      <w:numFmt w:val="bullet"/>
      <w:pStyle w:val="CPTListBullet"/>
      <w:lvlText w:val=""/>
      <w:lvlJc w:val="left"/>
      <w:pPr>
        <w:ind w:left="72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Wingdings" w:hAnsi="Wingdings" w:hint="default"/>
      </w:rPr>
    </w:lvl>
    <w:lvl w:ilvl="4">
      <w:start w:val="1"/>
      <w:numFmt w:val="bullet"/>
      <w:lvlText w:val=""/>
      <w:lvlJc w:val="left"/>
      <w:pPr>
        <w:ind w:left="2160" w:hanging="360"/>
      </w:pPr>
      <w:rPr>
        <w:rFonts w:ascii="Symbol" w:hAnsi="Symbol"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Wingdings" w:hAnsi="Wingdings" w:hint="default"/>
      </w:rPr>
    </w:lvl>
    <w:lvl w:ilvl="7">
      <w:start w:val="1"/>
      <w:numFmt w:val="bullet"/>
      <w:lvlText w:val=""/>
      <w:lvlJc w:val="left"/>
      <w:pPr>
        <w:ind w:left="3240" w:hanging="360"/>
      </w:pPr>
      <w:rPr>
        <w:rFonts w:ascii="Symbol" w:hAnsi="Symbol" w:hint="default"/>
      </w:rPr>
    </w:lvl>
    <w:lvl w:ilvl="8">
      <w:start w:val="1"/>
      <w:numFmt w:val="bullet"/>
      <w:lvlText w:val=""/>
      <w:lvlJc w:val="left"/>
      <w:pPr>
        <w:ind w:left="3600" w:hanging="360"/>
      </w:pPr>
      <w:rPr>
        <w:rFonts w:ascii="Symbol" w:hAnsi="Symbol" w:hint="default"/>
      </w:rPr>
    </w:lvl>
  </w:abstractNum>
  <w:abstractNum w:abstractNumId="29" w15:restartNumberingAfterBreak="0">
    <w:nsid w:val="47A12AB3"/>
    <w:multiLevelType w:val="hybridMultilevel"/>
    <w:tmpl w:val="83A85B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4AC370FD"/>
    <w:multiLevelType w:val="hybridMultilevel"/>
    <w:tmpl w:val="6CA0B120"/>
    <w:lvl w:ilvl="0" w:tplc="092E67AA">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D1B4F5D"/>
    <w:multiLevelType w:val="hybridMultilevel"/>
    <w:tmpl w:val="E1180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1AC7A1A"/>
    <w:multiLevelType w:val="multilevel"/>
    <w:tmpl w:val="04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3" w15:restartNumberingAfterBreak="0">
    <w:nsid w:val="549221C4"/>
    <w:multiLevelType w:val="multilevel"/>
    <w:tmpl w:val="9746DA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6473313"/>
    <w:multiLevelType w:val="hybridMultilevel"/>
    <w:tmpl w:val="1F345C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57EA64D0"/>
    <w:multiLevelType w:val="hybridMultilevel"/>
    <w:tmpl w:val="7EDAEE4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6" w15:restartNumberingAfterBreak="0">
    <w:nsid w:val="5884165F"/>
    <w:multiLevelType w:val="hybridMultilevel"/>
    <w:tmpl w:val="FFFFFFFF"/>
    <w:lvl w:ilvl="0" w:tplc="CAE8B076">
      <w:start w:val="1"/>
      <w:numFmt w:val="bullet"/>
      <w:lvlText w:val=""/>
      <w:lvlJc w:val="left"/>
      <w:pPr>
        <w:ind w:left="720" w:hanging="360"/>
      </w:pPr>
      <w:rPr>
        <w:rFonts w:ascii="Symbol" w:hAnsi="Symbol" w:hint="default"/>
      </w:rPr>
    </w:lvl>
    <w:lvl w:ilvl="1" w:tplc="3E42D65E">
      <w:start w:val="1"/>
      <w:numFmt w:val="bullet"/>
      <w:lvlText w:val="o"/>
      <w:lvlJc w:val="left"/>
      <w:pPr>
        <w:ind w:left="1440" w:hanging="360"/>
      </w:pPr>
      <w:rPr>
        <w:rFonts w:ascii="Courier New" w:hAnsi="Courier New" w:cs="Times New Roman" w:hint="default"/>
      </w:rPr>
    </w:lvl>
    <w:lvl w:ilvl="2" w:tplc="4F803D14">
      <w:start w:val="1"/>
      <w:numFmt w:val="bullet"/>
      <w:lvlText w:val=""/>
      <w:lvlJc w:val="left"/>
      <w:pPr>
        <w:ind w:left="2160" w:hanging="360"/>
      </w:pPr>
      <w:rPr>
        <w:rFonts w:ascii="Wingdings" w:hAnsi="Wingdings" w:hint="default"/>
      </w:rPr>
    </w:lvl>
    <w:lvl w:ilvl="3" w:tplc="AEBAA826">
      <w:start w:val="1"/>
      <w:numFmt w:val="bullet"/>
      <w:lvlText w:val=""/>
      <w:lvlJc w:val="left"/>
      <w:pPr>
        <w:ind w:left="2880" w:hanging="360"/>
      </w:pPr>
      <w:rPr>
        <w:rFonts w:ascii="Symbol" w:hAnsi="Symbol" w:hint="default"/>
      </w:rPr>
    </w:lvl>
    <w:lvl w:ilvl="4" w:tplc="6852983E">
      <w:start w:val="1"/>
      <w:numFmt w:val="bullet"/>
      <w:lvlText w:val="o"/>
      <w:lvlJc w:val="left"/>
      <w:pPr>
        <w:ind w:left="3600" w:hanging="360"/>
      </w:pPr>
      <w:rPr>
        <w:rFonts w:ascii="Courier New" w:hAnsi="Courier New" w:cs="Times New Roman" w:hint="default"/>
      </w:rPr>
    </w:lvl>
    <w:lvl w:ilvl="5" w:tplc="2522FD98">
      <w:start w:val="1"/>
      <w:numFmt w:val="bullet"/>
      <w:lvlText w:val=""/>
      <w:lvlJc w:val="left"/>
      <w:pPr>
        <w:ind w:left="4320" w:hanging="360"/>
      </w:pPr>
      <w:rPr>
        <w:rFonts w:ascii="Wingdings" w:hAnsi="Wingdings" w:hint="default"/>
      </w:rPr>
    </w:lvl>
    <w:lvl w:ilvl="6" w:tplc="3258BD04">
      <w:start w:val="1"/>
      <w:numFmt w:val="bullet"/>
      <w:lvlText w:val=""/>
      <w:lvlJc w:val="left"/>
      <w:pPr>
        <w:ind w:left="5040" w:hanging="360"/>
      </w:pPr>
      <w:rPr>
        <w:rFonts w:ascii="Symbol" w:hAnsi="Symbol" w:hint="default"/>
      </w:rPr>
    </w:lvl>
    <w:lvl w:ilvl="7" w:tplc="B72CC03A">
      <w:start w:val="1"/>
      <w:numFmt w:val="bullet"/>
      <w:lvlText w:val="o"/>
      <w:lvlJc w:val="left"/>
      <w:pPr>
        <w:ind w:left="5760" w:hanging="360"/>
      </w:pPr>
      <w:rPr>
        <w:rFonts w:ascii="Courier New" w:hAnsi="Courier New" w:cs="Times New Roman" w:hint="default"/>
      </w:rPr>
    </w:lvl>
    <w:lvl w:ilvl="8" w:tplc="29FC2AB8">
      <w:start w:val="1"/>
      <w:numFmt w:val="bullet"/>
      <w:lvlText w:val=""/>
      <w:lvlJc w:val="left"/>
      <w:pPr>
        <w:ind w:left="6480" w:hanging="360"/>
      </w:pPr>
      <w:rPr>
        <w:rFonts w:ascii="Wingdings" w:hAnsi="Wingdings" w:hint="default"/>
      </w:rPr>
    </w:lvl>
  </w:abstractNum>
  <w:abstractNum w:abstractNumId="37" w15:restartNumberingAfterBreak="0">
    <w:nsid w:val="593641C7"/>
    <w:multiLevelType w:val="hybridMultilevel"/>
    <w:tmpl w:val="55503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9E15546"/>
    <w:multiLevelType w:val="hybridMultilevel"/>
    <w:tmpl w:val="70AC003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9" w15:restartNumberingAfterBreak="0">
    <w:nsid w:val="5C4C0D08"/>
    <w:multiLevelType w:val="hybridMultilevel"/>
    <w:tmpl w:val="D2CA15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D206F15"/>
    <w:multiLevelType w:val="multilevel"/>
    <w:tmpl w:val="9746DA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5D350F32"/>
    <w:multiLevelType w:val="multilevel"/>
    <w:tmpl w:val="B0F2E194"/>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DB11386"/>
    <w:multiLevelType w:val="hybridMultilevel"/>
    <w:tmpl w:val="7FE4E5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3" w15:restartNumberingAfterBreak="0">
    <w:nsid w:val="626E60A6"/>
    <w:multiLevelType w:val="hybridMultilevel"/>
    <w:tmpl w:val="FFFFFFFF"/>
    <w:lvl w:ilvl="0" w:tplc="00AAF7AE">
      <w:start w:val="1"/>
      <w:numFmt w:val="bullet"/>
      <w:lvlText w:val="·"/>
      <w:lvlJc w:val="left"/>
      <w:pPr>
        <w:ind w:left="720" w:hanging="360"/>
      </w:pPr>
      <w:rPr>
        <w:rFonts w:ascii="Symbol" w:hAnsi="Symbol" w:hint="default"/>
      </w:rPr>
    </w:lvl>
    <w:lvl w:ilvl="1" w:tplc="9246EB20">
      <w:start w:val="1"/>
      <w:numFmt w:val="bullet"/>
      <w:lvlText w:val="o"/>
      <w:lvlJc w:val="left"/>
      <w:pPr>
        <w:ind w:left="1440" w:hanging="360"/>
      </w:pPr>
      <w:rPr>
        <w:rFonts w:ascii="Courier New" w:hAnsi="Courier New" w:hint="default"/>
      </w:rPr>
    </w:lvl>
    <w:lvl w:ilvl="2" w:tplc="D08882B8">
      <w:start w:val="1"/>
      <w:numFmt w:val="bullet"/>
      <w:lvlText w:val=""/>
      <w:lvlJc w:val="left"/>
      <w:pPr>
        <w:ind w:left="2160" w:hanging="360"/>
      </w:pPr>
      <w:rPr>
        <w:rFonts w:ascii="Wingdings" w:hAnsi="Wingdings" w:hint="default"/>
      </w:rPr>
    </w:lvl>
    <w:lvl w:ilvl="3" w:tplc="73888B5E">
      <w:start w:val="1"/>
      <w:numFmt w:val="bullet"/>
      <w:lvlText w:val=""/>
      <w:lvlJc w:val="left"/>
      <w:pPr>
        <w:ind w:left="2880" w:hanging="360"/>
      </w:pPr>
      <w:rPr>
        <w:rFonts w:ascii="Symbol" w:hAnsi="Symbol" w:hint="default"/>
      </w:rPr>
    </w:lvl>
    <w:lvl w:ilvl="4" w:tplc="376EE7AE">
      <w:start w:val="1"/>
      <w:numFmt w:val="bullet"/>
      <w:lvlText w:val="o"/>
      <w:lvlJc w:val="left"/>
      <w:pPr>
        <w:ind w:left="3600" w:hanging="360"/>
      </w:pPr>
      <w:rPr>
        <w:rFonts w:ascii="Courier New" w:hAnsi="Courier New" w:hint="default"/>
      </w:rPr>
    </w:lvl>
    <w:lvl w:ilvl="5" w:tplc="98F6A7F8">
      <w:start w:val="1"/>
      <w:numFmt w:val="bullet"/>
      <w:lvlText w:val=""/>
      <w:lvlJc w:val="left"/>
      <w:pPr>
        <w:ind w:left="4320" w:hanging="360"/>
      </w:pPr>
      <w:rPr>
        <w:rFonts w:ascii="Wingdings" w:hAnsi="Wingdings" w:hint="default"/>
      </w:rPr>
    </w:lvl>
    <w:lvl w:ilvl="6" w:tplc="642C87DC">
      <w:start w:val="1"/>
      <w:numFmt w:val="bullet"/>
      <w:lvlText w:val=""/>
      <w:lvlJc w:val="left"/>
      <w:pPr>
        <w:ind w:left="5040" w:hanging="360"/>
      </w:pPr>
      <w:rPr>
        <w:rFonts w:ascii="Symbol" w:hAnsi="Symbol" w:hint="default"/>
      </w:rPr>
    </w:lvl>
    <w:lvl w:ilvl="7" w:tplc="8C762FD0">
      <w:start w:val="1"/>
      <w:numFmt w:val="bullet"/>
      <w:lvlText w:val="o"/>
      <w:lvlJc w:val="left"/>
      <w:pPr>
        <w:ind w:left="5760" w:hanging="360"/>
      </w:pPr>
      <w:rPr>
        <w:rFonts w:ascii="Courier New" w:hAnsi="Courier New" w:hint="default"/>
      </w:rPr>
    </w:lvl>
    <w:lvl w:ilvl="8" w:tplc="909C5EA6">
      <w:start w:val="1"/>
      <w:numFmt w:val="bullet"/>
      <w:lvlText w:val=""/>
      <w:lvlJc w:val="left"/>
      <w:pPr>
        <w:ind w:left="6480" w:hanging="360"/>
      </w:pPr>
      <w:rPr>
        <w:rFonts w:ascii="Wingdings" w:hAnsi="Wingdings" w:hint="default"/>
      </w:rPr>
    </w:lvl>
  </w:abstractNum>
  <w:abstractNum w:abstractNumId="44" w15:restartNumberingAfterBreak="0">
    <w:nsid w:val="62935AAA"/>
    <w:multiLevelType w:val="hybridMultilevel"/>
    <w:tmpl w:val="FFFFFFFF"/>
    <w:lvl w:ilvl="0" w:tplc="E020D766">
      <w:start w:val="1"/>
      <w:numFmt w:val="bullet"/>
      <w:lvlText w:val="·"/>
      <w:lvlJc w:val="left"/>
      <w:pPr>
        <w:ind w:left="720" w:hanging="360"/>
      </w:pPr>
      <w:rPr>
        <w:rFonts w:ascii="Symbol" w:hAnsi="Symbol" w:hint="default"/>
      </w:rPr>
    </w:lvl>
    <w:lvl w:ilvl="1" w:tplc="0BA2A1D2">
      <w:start w:val="1"/>
      <w:numFmt w:val="bullet"/>
      <w:lvlText w:val="o"/>
      <w:lvlJc w:val="left"/>
      <w:pPr>
        <w:ind w:left="1440" w:hanging="360"/>
      </w:pPr>
      <w:rPr>
        <w:rFonts w:ascii="Courier New" w:hAnsi="Courier New" w:hint="default"/>
      </w:rPr>
    </w:lvl>
    <w:lvl w:ilvl="2" w:tplc="85DCB310">
      <w:start w:val="1"/>
      <w:numFmt w:val="bullet"/>
      <w:lvlText w:val=""/>
      <w:lvlJc w:val="left"/>
      <w:pPr>
        <w:ind w:left="2160" w:hanging="360"/>
      </w:pPr>
      <w:rPr>
        <w:rFonts w:ascii="Wingdings" w:hAnsi="Wingdings" w:hint="default"/>
      </w:rPr>
    </w:lvl>
    <w:lvl w:ilvl="3" w:tplc="F2CC3578">
      <w:start w:val="1"/>
      <w:numFmt w:val="bullet"/>
      <w:lvlText w:val=""/>
      <w:lvlJc w:val="left"/>
      <w:pPr>
        <w:ind w:left="2880" w:hanging="360"/>
      </w:pPr>
      <w:rPr>
        <w:rFonts w:ascii="Symbol" w:hAnsi="Symbol" w:hint="default"/>
      </w:rPr>
    </w:lvl>
    <w:lvl w:ilvl="4" w:tplc="AAECC14E">
      <w:start w:val="1"/>
      <w:numFmt w:val="bullet"/>
      <w:lvlText w:val="o"/>
      <w:lvlJc w:val="left"/>
      <w:pPr>
        <w:ind w:left="3600" w:hanging="360"/>
      </w:pPr>
      <w:rPr>
        <w:rFonts w:ascii="Courier New" w:hAnsi="Courier New" w:hint="default"/>
      </w:rPr>
    </w:lvl>
    <w:lvl w:ilvl="5" w:tplc="600664E0">
      <w:start w:val="1"/>
      <w:numFmt w:val="bullet"/>
      <w:lvlText w:val=""/>
      <w:lvlJc w:val="left"/>
      <w:pPr>
        <w:ind w:left="4320" w:hanging="360"/>
      </w:pPr>
      <w:rPr>
        <w:rFonts w:ascii="Wingdings" w:hAnsi="Wingdings" w:hint="default"/>
      </w:rPr>
    </w:lvl>
    <w:lvl w:ilvl="6" w:tplc="7A8E2D90">
      <w:start w:val="1"/>
      <w:numFmt w:val="bullet"/>
      <w:lvlText w:val=""/>
      <w:lvlJc w:val="left"/>
      <w:pPr>
        <w:ind w:left="5040" w:hanging="360"/>
      </w:pPr>
      <w:rPr>
        <w:rFonts w:ascii="Symbol" w:hAnsi="Symbol" w:hint="default"/>
      </w:rPr>
    </w:lvl>
    <w:lvl w:ilvl="7" w:tplc="545CD624">
      <w:start w:val="1"/>
      <w:numFmt w:val="bullet"/>
      <w:lvlText w:val="o"/>
      <w:lvlJc w:val="left"/>
      <w:pPr>
        <w:ind w:left="5760" w:hanging="360"/>
      </w:pPr>
      <w:rPr>
        <w:rFonts w:ascii="Courier New" w:hAnsi="Courier New" w:hint="default"/>
      </w:rPr>
    </w:lvl>
    <w:lvl w:ilvl="8" w:tplc="D744E1C4">
      <w:start w:val="1"/>
      <w:numFmt w:val="bullet"/>
      <w:lvlText w:val=""/>
      <w:lvlJc w:val="left"/>
      <w:pPr>
        <w:ind w:left="6480" w:hanging="360"/>
      </w:pPr>
      <w:rPr>
        <w:rFonts w:ascii="Wingdings" w:hAnsi="Wingdings" w:hint="default"/>
      </w:rPr>
    </w:lvl>
  </w:abstractNum>
  <w:abstractNum w:abstractNumId="45" w15:restartNumberingAfterBreak="0">
    <w:nsid w:val="62FD5896"/>
    <w:multiLevelType w:val="hybridMultilevel"/>
    <w:tmpl w:val="6F6AA1EA"/>
    <w:lvl w:ilvl="0" w:tplc="FFFFFFFF">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56C3793"/>
    <w:multiLevelType w:val="multilevel"/>
    <w:tmpl w:val="FC68BD5E"/>
    <w:lvl w:ilvl="0">
      <w:start w:val="1"/>
      <w:numFmt w:val="decimal"/>
      <w:pStyle w:val="Heading1"/>
      <w:lvlText w:val="%1."/>
      <w:lvlJc w:val="left"/>
      <w:pPr>
        <w:ind w:left="1080" w:hanging="1080"/>
      </w:pPr>
      <w:rPr>
        <w:rFonts w:ascii="Times New Roman" w:hAnsi="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decimal"/>
      <w:pStyle w:val="Heading2"/>
      <w:lvlText w:val="%1.%2."/>
      <w:lvlJc w:val="left"/>
      <w:pPr>
        <w:ind w:left="1260" w:hanging="1080"/>
      </w:pPr>
      <w:rPr>
        <w:rFonts w:ascii="Times New Roman" w:hAnsi="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Heading3"/>
      <w:lvlText w:val="%1.%2.%3."/>
      <w:lvlJc w:val="left"/>
      <w:pPr>
        <w:ind w:left="1080" w:hanging="1080"/>
      </w:pPr>
      <w:rPr>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pStyle w:val="Heading4"/>
      <w:lvlText w:val="%1.%2.%3.%4."/>
      <w:lvlJc w:val="left"/>
      <w:pPr>
        <w:ind w:left="1080" w:hanging="1080"/>
      </w:pPr>
      <w:rPr>
        <w:rFonts w:hint="default"/>
      </w:rPr>
    </w:lvl>
    <w:lvl w:ilvl="4">
      <w:start w:val="1"/>
      <w:numFmt w:val="decimal"/>
      <w:pStyle w:val="Heading5"/>
      <w:lvlText w:val="%1.%2.%3.%4.%5."/>
      <w:lvlJc w:val="left"/>
      <w:pPr>
        <w:tabs>
          <w:tab w:val="num" w:pos="1080"/>
        </w:tabs>
        <w:ind w:left="1080" w:hanging="1080"/>
      </w:pPr>
      <w:rPr>
        <w:rFonts w:hint="default"/>
      </w:rPr>
    </w:lvl>
    <w:lvl w:ilvl="5">
      <w:start w:val="1"/>
      <w:numFmt w:val="decimal"/>
      <w:pStyle w:val="Heading6"/>
      <w:lvlText w:val="%1.%2.%3.%4.%5.%6."/>
      <w:lvlJc w:val="left"/>
      <w:pPr>
        <w:tabs>
          <w:tab w:val="num" w:pos="1080"/>
        </w:tabs>
        <w:ind w:left="10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7" w15:restartNumberingAfterBreak="0">
    <w:nsid w:val="65E55425"/>
    <w:multiLevelType w:val="hybridMultilevel"/>
    <w:tmpl w:val="421ECF2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6AB05D7"/>
    <w:multiLevelType w:val="hybridMultilevel"/>
    <w:tmpl w:val="52061CD6"/>
    <w:lvl w:ilvl="0" w:tplc="97EEFBAE">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87D5C4F"/>
    <w:multiLevelType w:val="hybridMultilevel"/>
    <w:tmpl w:val="241C9E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AF17F6D"/>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15:restartNumberingAfterBreak="0">
    <w:nsid w:val="6EAE61D7"/>
    <w:multiLevelType w:val="hybridMultilevel"/>
    <w:tmpl w:val="60760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FA96982"/>
    <w:multiLevelType w:val="hybridMultilevel"/>
    <w:tmpl w:val="8250C52C"/>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3B35D83"/>
    <w:multiLevelType w:val="multilevel"/>
    <w:tmpl w:val="7382BA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73CD5F9C"/>
    <w:multiLevelType w:val="hybridMultilevel"/>
    <w:tmpl w:val="59FEEC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64303652">
    <w:abstractNumId w:val="44"/>
  </w:num>
  <w:num w:numId="2" w16cid:durableId="1139684592">
    <w:abstractNumId w:val="43"/>
  </w:num>
  <w:num w:numId="3" w16cid:durableId="1964340084">
    <w:abstractNumId w:val="24"/>
  </w:num>
  <w:num w:numId="4" w16cid:durableId="1575507922">
    <w:abstractNumId w:val="9"/>
  </w:num>
  <w:num w:numId="5" w16cid:durableId="828643232">
    <w:abstractNumId w:val="46"/>
  </w:num>
  <w:num w:numId="6" w16cid:durableId="282620318">
    <w:abstractNumId w:val="31"/>
  </w:num>
  <w:num w:numId="7" w16cid:durableId="83497281">
    <w:abstractNumId w:val="25"/>
  </w:num>
  <w:num w:numId="8" w16cid:durableId="1154300574">
    <w:abstractNumId w:val="50"/>
  </w:num>
  <w:num w:numId="9" w16cid:durableId="496459278">
    <w:abstractNumId w:val="32"/>
  </w:num>
  <w:num w:numId="10" w16cid:durableId="1809862172">
    <w:abstractNumId w:val="6"/>
  </w:num>
  <w:num w:numId="11" w16cid:durableId="1090270761">
    <w:abstractNumId w:val="5"/>
  </w:num>
  <w:num w:numId="12" w16cid:durableId="1545144146">
    <w:abstractNumId w:val="4"/>
  </w:num>
  <w:num w:numId="13" w16cid:durableId="1879776168">
    <w:abstractNumId w:val="8"/>
  </w:num>
  <w:num w:numId="14" w16cid:durableId="1954097491">
    <w:abstractNumId w:val="3"/>
  </w:num>
  <w:num w:numId="15" w16cid:durableId="1790932738">
    <w:abstractNumId w:val="2"/>
  </w:num>
  <w:num w:numId="16" w16cid:durableId="611982015">
    <w:abstractNumId w:val="1"/>
  </w:num>
  <w:num w:numId="17" w16cid:durableId="1571425180">
    <w:abstractNumId w:val="0"/>
  </w:num>
  <w:num w:numId="18" w16cid:durableId="615911781">
    <w:abstractNumId w:val="22"/>
  </w:num>
  <w:num w:numId="19" w16cid:durableId="1207523005">
    <w:abstractNumId w:val="39"/>
  </w:num>
  <w:num w:numId="20" w16cid:durableId="1489595344">
    <w:abstractNumId w:val="52"/>
  </w:num>
  <w:num w:numId="21" w16cid:durableId="1468083911">
    <w:abstractNumId w:val="14"/>
  </w:num>
  <w:num w:numId="22" w16cid:durableId="1740980968">
    <w:abstractNumId w:val="7"/>
  </w:num>
  <w:num w:numId="23" w16cid:durableId="1918242719">
    <w:abstractNumId w:val="48"/>
  </w:num>
  <w:num w:numId="24" w16cid:durableId="713575451">
    <w:abstractNumId w:val="28"/>
  </w:num>
  <w:num w:numId="25" w16cid:durableId="1846044715">
    <w:abstractNumId w:val="20"/>
  </w:num>
  <w:num w:numId="26" w16cid:durableId="1001931299">
    <w:abstractNumId w:val="39"/>
  </w:num>
  <w:num w:numId="27" w16cid:durableId="325590823">
    <w:abstractNumId w:val="45"/>
  </w:num>
  <w:num w:numId="28" w16cid:durableId="1735739398">
    <w:abstractNumId w:val="18"/>
  </w:num>
  <w:num w:numId="29" w16cid:durableId="811481626">
    <w:abstractNumId w:val="36"/>
  </w:num>
  <w:num w:numId="30" w16cid:durableId="1396512027">
    <w:abstractNumId w:val="16"/>
  </w:num>
  <w:num w:numId="31" w16cid:durableId="1029070221">
    <w:abstractNumId w:val="13"/>
  </w:num>
  <w:num w:numId="32" w16cid:durableId="1775248691">
    <w:abstractNumId w:val="29"/>
  </w:num>
  <w:num w:numId="33" w16cid:durableId="793789324">
    <w:abstractNumId w:val="15"/>
  </w:num>
  <w:num w:numId="34" w16cid:durableId="1090810590">
    <w:abstractNumId w:val="27"/>
  </w:num>
  <w:num w:numId="35" w16cid:durableId="223688740">
    <w:abstractNumId w:val="54"/>
  </w:num>
  <w:num w:numId="36" w16cid:durableId="847450009">
    <w:abstractNumId w:val="37"/>
  </w:num>
  <w:num w:numId="37" w16cid:durableId="1862014227">
    <w:abstractNumId w:val="52"/>
  </w:num>
  <w:num w:numId="38" w16cid:durableId="341980626">
    <w:abstractNumId w:val="49"/>
  </w:num>
  <w:num w:numId="39" w16cid:durableId="1970626645">
    <w:abstractNumId w:val="26"/>
  </w:num>
  <w:num w:numId="40" w16cid:durableId="888734972">
    <w:abstractNumId w:val="51"/>
  </w:num>
  <w:num w:numId="41" w16cid:durableId="947201994">
    <w:abstractNumId w:val="10"/>
  </w:num>
  <w:num w:numId="42" w16cid:durableId="1456557632">
    <w:abstractNumId w:val="42"/>
  </w:num>
  <w:num w:numId="43" w16cid:durableId="180510084">
    <w:abstractNumId w:val="21"/>
  </w:num>
  <w:num w:numId="44" w16cid:durableId="355622950">
    <w:abstractNumId w:val="19"/>
  </w:num>
  <w:num w:numId="45" w16cid:durableId="757756670">
    <w:abstractNumId w:val="11"/>
  </w:num>
  <w:num w:numId="46" w16cid:durableId="340544837">
    <w:abstractNumId w:val="12"/>
    <w:lvlOverride w:ilvl="0">
      <w:lvl w:ilvl="0">
        <w:start w:val="1"/>
        <w:numFmt w:val="decimal"/>
        <w:pStyle w:val="CPTListNumber"/>
        <w:lvlText w:val="%1."/>
        <w:lvlJc w:val="left"/>
        <w:pPr>
          <w:ind w:left="720" w:hanging="360"/>
        </w:pPr>
        <w:rPr>
          <w:rFonts w:hint="default"/>
        </w:rPr>
      </w:lvl>
    </w:lvlOverride>
    <w:lvlOverride w:ilvl="1">
      <w:lvl w:ilvl="1">
        <w:start w:val="1"/>
        <w:numFmt w:val="lowerLetter"/>
        <w:lvlText w:val="%2."/>
        <w:lvlJc w:val="left"/>
        <w:pPr>
          <w:ind w:left="1080" w:hanging="360"/>
        </w:pPr>
        <w:rPr>
          <w:rFonts w:hint="default"/>
        </w:rPr>
      </w:lvl>
    </w:lvlOverride>
    <w:lvlOverride w:ilvl="2">
      <w:lvl w:ilvl="2">
        <w:start w:val="1"/>
        <w:numFmt w:val="lowerRoman"/>
        <w:lvlText w:val="%3."/>
        <w:lvlJc w:val="left"/>
        <w:pPr>
          <w:ind w:left="1440" w:hanging="360"/>
        </w:pPr>
        <w:rPr>
          <w:rFonts w:hint="default"/>
        </w:rPr>
      </w:lvl>
    </w:lvlOverride>
    <w:lvlOverride w:ilvl="3">
      <w:lvl w:ilvl="3">
        <w:start w:val="1"/>
        <w:numFmt w:val="decimal"/>
        <w:lvlText w:val="%4)"/>
        <w:lvlJc w:val="left"/>
        <w:pPr>
          <w:ind w:left="1800" w:hanging="360"/>
        </w:pPr>
        <w:rPr>
          <w:rFonts w:hint="default"/>
        </w:rPr>
      </w:lvl>
    </w:lvlOverride>
    <w:lvlOverride w:ilvl="4">
      <w:lvl w:ilvl="4">
        <w:start w:val="1"/>
        <w:numFmt w:val="none"/>
        <w:lvlText w:val=""/>
        <w:lvlJc w:val="left"/>
        <w:pPr>
          <w:ind w:left="2160" w:hanging="360"/>
        </w:pPr>
        <w:rPr>
          <w:rFonts w:hint="default"/>
        </w:rPr>
      </w:lvl>
    </w:lvlOverride>
    <w:lvlOverride w:ilvl="5">
      <w:lvl w:ilvl="5">
        <w:start w:val="1"/>
        <w:numFmt w:val="none"/>
        <w:lvlText w:val=""/>
        <w:lvlJc w:val="left"/>
        <w:pPr>
          <w:ind w:left="2520" w:hanging="360"/>
        </w:pPr>
        <w:rPr>
          <w:rFonts w:hint="default"/>
        </w:rPr>
      </w:lvl>
    </w:lvlOverride>
    <w:lvlOverride w:ilvl="6">
      <w:lvl w:ilvl="6">
        <w:start w:val="1"/>
        <w:numFmt w:val="none"/>
        <w:lvlText w:val=""/>
        <w:lvlJc w:val="left"/>
        <w:pPr>
          <w:ind w:left="2880" w:hanging="360"/>
        </w:pPr>
        <w:rPr>
          <w:rFonts w:hint="default"/>
        </w:rPr>
      </w:lvl>
    </w:lvlOverride>
    <w:lvlOverride w:ilvl="7">
      <w:lvl w:ilvl="7">
        <w:start w:val="1"/>
        <w:numFmt w:val="none"/>
        <w:lvlText w:val=""/>
        <w:lvlJc w:val="left"/>
        <w:pPr>
          <w:ind w:left="3240" w:hanging="360"/>
        </w:pPr>
        <w:rPr>
          <w:rFonts w:hint="default"/>
        </w:rPr>
      </w:lvl>
    </w:lvlOverride>
    <w:lvlOverride w:ilvl="8">
      <w:lvl w:ilvl="8">
        <w:start w:val="1"/>
        <w:numFmt w:val="none"/>
        <w:lvlText w:val=""/>
        <w:lvlJc w:val="left"/>
        <w:pPr>
          <w:ind w:left="3600" w:hanging="360"/>
        </w:pPr>
        <w:rPr>
          <w:rFonts w:hint="default"/>
        </w:rPr>
      </w:lvl>
    </w:lvlOverride>
  </w:num>
  <w:num w:numId="47" w16cid:durableId="289476514">
    <w:abstractNumId w:val="23"/>
  </w:num>
  <w:num w:numId="48" w16cid:durableId="278681068">
    <w:abstractNumId w:val="35"/>
  </w:num>
  <w:num w:numId="49" w16cid:durableId="922106146">
    <w:abstractNumId w:val="53"/>
  </w:num>
  <w:num w:numId="50" w16cid:durableId="1936554040">
    <w:abstractNumId w:val="38"/>
  </w:num>
  <w:num w:numId="51" w16cid:durableId="568266184">
    <w:abstractNumId w:val="41"/>
  </w:num>
  <w:num w:numId="52" w16cid:durableId="1615870560">
    <w:abstractNumId w:val="40"/>
  </w:num>
  <w:num w:numId="53" w16cid:durableId="597713076">
    <w:abstractNumId w:val="33"/>
  </w:num>
  <w:num w:numId="54" w16cid:durableId="913123816">
    <w:abstractNumId w:val="47"/>
  </w:num>
  <w:num w:numId="55" w16cid:durableId="486829024">
    <w:abstractNumId w:val="30"/>
  </w:num>
  <w:num w:numId="56" w16cid:durableId="1947538004">
    <w:abstractNumId w:val="34"/>
  </w:num>
  <w:num w:numId="57" w16cid:durableId="1075589734">
    <w:abstractNumId w:val="1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gutterAtTop/>
  <w:stylePaneFormatFilter w:val="7804" w:allStyles="0" w:customStyles="0" w:latentStyles="1" w:stylesInUse="0" w:headingStyles="0" w:numberingStyles="0" w:tableStyles="0" w:directFormattingOnRuns="0" w:directFormattingOnParagraphs="0" w:directFormattingOnNumbering="0" w:directFormattingOnTables="1" w:clearFormatting="1" w:top3HeadingStyles="1" w:visibleStyles="1" w:alternateStyleNames="0"/>
  <w:stylePaneSortMethod w:val="0000"/>
  <w:trackRevisions/>
  <w:documentProtection w:edit="trackedChanges" w:enforcement="1"/>
  <w:defaultTabStop w:val="720"/>
  <w:hyphenationZone w:val="425"/>
  <w:drawingGridHorizontalSpacing w:val="110"/>
  <w:displayHorizontalDrawingGridEvery w:val="2"/>
  <w:characterSpacingControl w:val="doNotCompress"/>
  <w:hdrShapeDefaults>
    <o:shapedefaults v:ext="edit" spidmax="30721">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ptId" w:val="3c388c55-179c-4f64-8616-7310bfd42665"/>
    <w:docVar w:name="LibraryFilter" w:val="|CPTLIB-V004.01-PT-Pediatrics.docx||"/>
    <w:docVar w:name="Warning" w:val="False"/>
    <w:docVar w:name="WordDocUniqueId" w:val="f377090c-8bfd-414f-996a-d24eab559a9e"/>
  </w:docVars>
  <w:rsids>
    <w:rsidRoot w:val="00433693"/>
    <w:rsid w:val="00000742"/>
    <w:rsid w:val="00000749"/>
    <w:rsid w:val="000008AB"/>
    <w:rsid w:val="00000A78"/>
    <w:rsid w:val="00000BEC"/>
    <w:rsid w:val="00000CC5"/>
    <w:rsid w:val="00000E0A"/>
    <w:rsid w:val="00001047"/>
    <w:rsid w:val="0000119A"/>
    <w:rsid w:val="0000170B"/>
    <w:rsid w:val="0000193F"/>
    <w:rsid w:val="00001C91"/>
    <w:rsid w:val="00001DD2"/>
    <w:rsid w:val="000023BB"/>
    <w:rsid w:val="000024F8"/>
    <w:rsid w:val="00002B07"/>
    <w:rsid w:val="00002FA4"/>
    <w:rsid w:val="00002FFA"/>
    <w:rsid w:val="00003272"/>
    <w:rsid w:val="000036CA"/>
    <w:rsid w:val="00004415"/>
    <w:rsid w:val="000061B5"/>
    <w:rsid w:val="000066CB"/>
    <w:rsid w:val="00006AFB"/>
    <w:rsid w:val="00006F50"/>
    <w:rsid w:val="000079FD"/>
    <w:rsid w:val="00010607"/>
    <w:rsid w:val="00010CC8"/>
    <w:rsid w:val="00011276"/>
    <w:rsid w:val="00011544"/>
    <w:rsid w:val="000124F7"/>
    <w:rsid w:val="000125CB"/>
    <w:rsid w:val="000125D2"/>
    <w:rsid w:val="0001272E"/>
    <w:rsid w:val="000128CE"/>
    <w:rsid w:val="000133C6"/>
    <w:rsid w:val="00013405"/>
    <w:rsid w:val="000137C8"/>
    <w:rsid w:val="0001382C"/>
    <w:rsid w:val="000138CE"/>
    <w:rsid w:val="000139FB"/>
    <w:rsid w:val="000144A7"/>
    <w:rsid w:val="00014674"/>
    <w:rsid w:val="0001472E"/>
    <w:rsid w:val="00014915"/>
    <w:rsid w:val="00014A11"/>
    <w:rsid w:val="00014AEC"/>
    <w:rsid w:val="00015A2F"/>
    <w:rsid w:val="00016318"/>
    <w:rsid w:val="00016337"/>
    <w:rsid w:val="000163B5"/>
    <w:rsid w:val="00016439"/>
    <w:rsid w:val="0001652C"/>
    <w:rsid w:val="00016D1E"/>
    <w:rsid w:val="00017D40"/>
    <w:rsid w:val="00020259"/>
    <w:rsid w:val="00020C34"/>
    <w:rsid w:val="00021201"/>
    <w:rsid w:val="000212F4"/>
    <w:rsid w:val="000217E9"/>
    <w:rsid w:val="00021A70"/>
    <w:rsid w:val="00021BFC"/>
    <w:rsid w:val="00021C30"/>
    <w:rsid w:val="00021D50"/>
    <w:rsid w:val="00022B67"/>
    <w:rsid w:val="0002352F"/>
    <w:rsid w:val="00023DB9"/>
    <w:rsid w:val="00023F6D"/>
    <w:rsid w:val="0002402D"/>
    <w:rsid w:val="00024993"/>
    <w:rsid w:val="00024C3C"/>
    <w:rsid w:val="00024F3A"/>
    <w:rsid w:val="000251E3"/>
    <w:rsid w:val="000255AA"/>
    <w:rsid w:val="0002577F"/>
    <w:rsid w:val="000259BE"/>
    <w:rsid w:val="00025A3A"/>
    <w:rsid w:val="000269AA"/>
    <w:rsid w:val="00026A64"/>
    <w:rsid w:val="00026A8A"/>
    <w:rsid w:val="00027386"/>
    <w:rsid w:val="000277E7"/>
    <w:rsid w:val="0002792F"/>
    <w:rsid w:val="000303D1"/>
    <w:rsid w:val="000304DC"/>
    <w:rsid w:val="000305E4"/>
    <w:rsid w:val="0003061F"/>
    <w:rsid w:val="00030BC3"/>
    <w:rsid w:val="000316B6"/>
    <w:rsid w:val="00031796"/>
    <w:rsid w:val="00031B99"/>
    <w:rsid w:val="00032132"/>
    <w:rsid w:val="00032290"/>
    <w:rsid w:val="000325E4"/>
    <w:rsid w:val="00032634"/>
    <w:rsid w:val="00033C65"/>
    <w:rsid w:val="00033F2C"/>
    <w:rsid w:val="00033F83"/>
    <w:rsid w:val="0003445C"/>
    <w:rsid w:val="000346C1"/>
    <w:rsid w:val="00034F51"/>
    <w:rsid w:val="00035052"/>
    <w:rsid w:val="00035468"/>
    <w:rsid w:val="000357D7"/>
    <w:rsid w:val="00035D34"/>
    <w:rsid w:val="000361D0"/>
    <w:rsid w:val="000366A9"/>
    <w:rsid w:val="00036CB6"/>
    <w:rsid w:val="0004034E"/>
    <w:rsid w:val="00040576"/>
    <w:rsid w:val="000405D4"/>
    <w:rsid w:val="00040E8A"/>
    <w:rsid w:val="000413B7"/>
    <w:rsid w:val="00041531"/>
    <w:rsid w:val="00041FA6"/>
    <w:rsid w:val="00041FAF"/>
    <w:rsid w:val="00041FDA"/>
    <w:rsid w:val="000432FC"/>
    <w:rsid w:val="000433CD"/>
    <w:rsid w:val="00043A71"/>
    <w:rsid w:val="00044E01"/>
    <w:rsid w:val="00044E35"/>
    <w:rsid w:val="000457C1"/>
    <w:rsid w:val="00045A86"/>
    <w:rsid w:val="00045B6D"/>
    <w:rsid w:val="00045C0A"/>
    <w:rsid w:val="00045E7F"/>
    <w:rsid w:val="000466DA"/>
    <w:rsid w:val="00046732"/>
    <w:rsid w:val="000467E5"/>
    <w:rsid w:val="00046B60"/>
    <w:rsid w:val="00046E10"/>
    <w:rsid w:val="00046F19"/>
    <w:rsid w:val="000476FF"/>
    <w:rsid w:val="00047713"/>
    <w:rsid w:val="00047EA2"/>
    <w:rsid w:val="00050287"/>
    <w:rsid w:val="00050565"/>
    <w:rsid w:val="00050BC9"/>
    <w:rsid w:val="0005136D"/>
    <w:rsid w:val="0005263D"/>
    <w:rsid w:val="00052711"/>
    <w:rsid w:val="000528BB"/>
    <w:rsid w:val="00052D53"/>
    <w:rsid w:val="0005308E"/>
    <w:rsid w:val="00053393"/>
    <w:rsid w:val="00053730"/>
    <w:rsid w:val="00053EC9"/>
    <w:rsid w:val="00054996"/>
    <w:rsid w:val="00054D78"/>
    <w:rsid w:val="00054E84"/>
    <w:rsid w:val="00055525"/>
    <w:rsid w:val="00055A89"/>
    <w:rsid w:val="00055D4A"/>
    <w:rsid w:val="0005610C"/>
    <w:rsid w:val="0005733F"/>
    <w:rsid w:val="000575E8"/>
    <w:rsid w:val="00057728"/>
    <w:rsid w:val="00057CEA"/>
    <w:rsid w:val="00060269"/>
    <w:rsid w:val="00060436"/>
    <w:rsid w:val="0006081D"/>
    <w:rsid w:val="000608A0"/>
    <w:rsid w:val="00060B18"/>
    <w:rsid w:val="00061864"/>
    <w:rsid w:val="000627DB"/>
    <w:rsid w:val="00062BEE"/>
    <w:rsid w:val="0006315D"/>
    <w:rsid w:val="0006328B"/>
    <w:rsid w:val="0006369D"/>
    <w:rsid w:val="00063BAF"/>
    <w:rsid w:val="00063E29"/>
    <w:rsid w:val="00063F0C"/>
    <w:rsid w:val="00065A0B"/>
    <w:rsid w:val="00066399"/>
    <w:rsid w:val="000667AB"/>
    <w:rsid w:val="00066B94"/>
    <w:rsid w:val="00066C7C"/>
    <w:rsid w:val="00066F3F"/>
    <w:rsid w:val="00066F4E"/>
    <w:rsid w:val="00067F46"/>
    <w:rsid w:val="0007023C"/>
    <w:rsid w:val="00070825"/>
    <w:rsid w:val="00070A64"/>
    <w:rsid w:val="00070ED4"/>
    <w:rsid w:val="00071BE6"/>
    <w:rsid w:val="000720CD"/>
    <w:rsid w:val="000722F7"/>
    <w:rsid w:val="000725B6"/>
    <w:rsid w:val="00072643"/>
    <w:rsid w:val="000726CD"/>
    <w:rsid w:val="000729C1"/>
    <w:rsid w:val="00074115"/>
    <w:rsid w:val="000741A9"/>
    <w:rsid w:val="000746A5"/>
    <w:rsid w:val="00074CC2"/>
    <w:rsid w:val="00074E43"/>
    <w:rsid w:val="00074F45"/>
    <w:rsid w:val="000752EB"/>
    <w:rsid w:val="000753D5"/>
    <w:rsid w:val="000756CC"/>
    <w:rsid w:val="00075991"/>
    <w:rsid w:val="00075AC3"/>
    <w:rsid w:val="00075EAC"/>
    <w:rsid w:val="00075F93"/>
    <w:rsid w:val="000764E9"/>
    <w:rsid w:val="00076587"/>
    <w:rsid w:val="00076785"/>
    <w:rsid w:val="00076930"/>
    <w:rsid w:val="00076979"/>
    <w:rsid w:val="00076B96"/>
    <w:rsid w:val="00077003"/>
    <w:rsid w:val="00077203"/>
    <w:rsid w:val="00077267"/>
    <w:rsid w:val="0007759C"/>
    <w:rsid w:val="00077747"/>
    <w:rsid w:val="00077C72"/>
    <w:rsid w:val="000805F4"/>
    <w:rsid w:val="00080F10"/>
    <w:rsid w:val="000817B6"/>
    <w:rsid w:val="00081CFF"/>
    <w:rsid w:val="00082965"/>
    <w:rsid w:val="00082CC9"/>
    <w:rsid w:val="00082DEC"/>
    <w:rsid w:val="00083C2A"/>
    <w:rsid w:val="00084623"/>
    <w:rsid w:val="00084B12"/>
    <w:rsid w:val="00084F7C"/>
    <w:rsid w:val="000851EB"/>
    <w:rsid w:val="00085220"/>
    <w:rsid w:val="000852DD"/>
    <w:rsid w:val="0008580A"/>
    <w:rsid w:val="00085E99"/>
    <w:rsid w:val="00086F45"/>
    <w:rsid w:val="00087506"/>
    <w:rsid w:val="000875F6"/>
    <w:rsid w:val="000878AB"/>
    <w:rsid w:val="00087DA1"/>
    <w:rsid w:val="000906DE"/>
    <w:rsid w:val="00090B86"/>
    <w:rsid w:val="000919FF"/>
    <w:rsid w:val="00091CBF"/>
    <w:rsid w:val="00092139"/>
    <w:rsid w:val="000922D4"/>
    <w:rsid w:val="00092594"/>
    <w:rsid w:val="0009283F"/>
    <w:rsid w:val="000928FA"/>
    <w:rsid w:val="0009368F"/>
    <w:rsid w:val="0009409F"/>
    <w:rsid w:val="00094260"/>
    <w:rsid w:val="0009429D"/>
    <w:rsid w:val="00094403"/>
    <w:rsid w:val="00095608"/>
    <w:rsid w:val="00095F68"/>
    <w:rsid w:val="0009662D"/>
    <w:rsid w:val="00097378"/>
    <w:rsid w:val="000975CE"/>
    <w:rsid w:val="000976A7"/>
    <w:rsid w:val="000979B3"/>
    <w:rsid w:val="00097AB5"/>
    <w:rsid w:val="00097ADA"/>
    <w:rsid w:val="000A03DE"/>
    <w:rsid w:val="000A06F1"/>
    <w:rsid w:val="000A09CA"/>
    <w:rsid w:val="000A0A85"/>
    <w:rsid w:val="000A1C5C"/>
    <w:rsid w:val="000A223C"/>
    <w:rsid w:val="000A22F0"/>
    <w:rsid w:val="000A24B5"/>
    <w:rsid w:val="000A28A3"/>
    <w:rsid w:val="000A2B29"/>
    <w:rsid w:val="000A3397"/>
    <w:rsid w:val="000A3419"/>
    <w:rsid w:val="000A3421"/>
    <w:rsid w:val="000A39FE"/>
    <w:rsid w:val="000A4B0B"/>
    <w:rsid w:val="000A4BD0"/>
    <w:rsid w:val="000A6303"/>
    <w:rsid w:val="000A6643"/>
    <w:rsid w:val="000A6B12"/>
    <w:rsid w:val="000A7235"/>
    <w:rsid w:val="000A73E7"/>
    <w:rsid w:val="000A7C45"/>
    <w:rsid w:val="000A7F13"/>
    <w:rsid w:val="000B01B1"/>
    <w:rsid w:val="000B0265"/>
    <w:rsid w:val="000B093F"/>
    <w:rsid w:val="000B123E"/>
    <w:rsid w:val="000B13A3"/>
    <w:rsid w:val="000B152A"/>
    <w:rsid w:val="000B15AA"/>
    <w:rsid w:val="000B1630"/>
    <w:rsid w:val="000B20D7"/>
    <w:rsid w:val="000B2207"/>
    <w:rsid w:val="000B238F"/>
    <w:rsid w:val="000B2617"/>
    <w:rsid w:val="000B30AA"/>
    <w:rsid w:val="000B3987"/>
    <w:rsid w:val="000B3D9B"/>
    <w:rsid w:val="000B3F11"/>
    <w:rsid w:val="000B427C"/>
    <w:rsid w:val="000B466E"/>
    <w:rsid w:val="000B4845"/>
    <w:rsid w:val="000B49ED"/>
    <w:rsid w:val="000B5478"/>
    <w:rsid w:val="000B561B"/>
    <w:rsid w:val="000B58D3"/>
    <w:rsid w:val="000B593F"/>
    <w:rsid w:val="000B5AD0"/>
    <w:rsid w:val="000B6769"/>
    <w:rsid w:val="000B67E9"/>
    <w:rsid w:val="000B7159"/>
    <w:rsid w:val="000B7A79"/>
    <w:rsid w:val="000B7E76"/>
    <w:rsid w:val="000C024D"/>
    <w:rsid w:val="000C2EA1"/>
    <w:rsid w:val="000C31A8"/>
    <w:rsid w:val="000C325A"/>
    <w:rsid w:val="000C3718"/>
    <w:rsid w:val="000C3F8D"/>
    <w:rsid w:val="000C46C6"/>
    <w:rsid w:val="000C4F03"/>
    <w:rsid w:val="000C50BB"/>
    <w:rsid w:val="000C50ED"/>
    <w:rsid w:val="000C53B5"/>
    <w:rsid w:val="000C5468"/>
    <w:rsid w:val="000C5563"/>
    <w:rsid w:val="000C589A"/>
    <w:rsid w:val="000C5A3B"/>
    <w:rsid w:val="000C5D4A"/>
    <w:rsid w:val="000C5F57"/>
    <w:rsid w:val="000C5FD9"/>
    <w:rsid w:val="000C6596"/>
    <w:rsid w:val="000C6702"/>
    <w:rsid w:val="000C6F47"/>
    <w:rsid w:val="000C71DC"/>
    <w:rsid w:val="000C730E"/>
    <w:rsid w:val="000D03ED"/>
    <w:rsid w:val="000D05FE"/>
    <w:rsid w:val="000D080F"/>
    <w:rsid w:val="000D08A2"/>
    <w:rsid w:val="000D1749"/>
    <w:rsid w:val="000D1A2C"/>
    <w:rsid w:val="000D1ABD"/>
    <w:rsid w:val="000D25B5"/>
    <w:rsid w:val="000D26F9"/>
    <w:rsid w:val="000D2DA7"/>
    <w:rsid w:val="000D35A9"/>
    <w:rsid w:val="000D35F2"/>
    <w:rsid w:val="000D37C9"/>
    <w:rsid w:val="000D4280"/>
    <w:rsid w:val="000D48C1"/>
    <w:rsid w:val="000D6206"/>
    <w:rsid w:val="000D6381"/>
    <w:rsid w:val="000D6A70"/>
    <w:rsid w:val="000D6BEA"/>
    <w:rsid w:val="000D768E"/>
    <w:rsid w:val="000D7987"/>
    <w:rsid w:val="000D7D70"/>
    <w:rsid w:val="000D7FC8"/>
    <w:rsid w:val="000E07EA"/>
    <w:rsid w:val="000E09F8"/>
    <w:rsid w:val="000E0ECF"/>
    <w:rsid w:val="000E10A2"/>
    <w:rsid w:val="000E118E"/>
    <w:rsid w:val="000E13A7"/>
    <w:rsid w:val="000E14E3"/>
    <w:rsid w:val="000E18FA"/>
    <w:rsid w:val="000E1AA1"/>
    <w:rsid w:val="000E1AB4"/>
    <w:rsid w:val="000E1DEB"/>
    <w:rsid w:val="000E2211"/>
    <w:rsid w:val="000E224B"/>
    <w:rsid w:val="000E2303"/>
    <w:rsid w:val="000E231B"/>
    <w:rsid w:val="000E2F08"/>
    <w:rsid w:val="000E34FF"/>
    <w:rsid w:val="000E3E2F"/>
    <w:rsid w:val="000E4958"/>
    <w:rsid w:val="000E49BC"/>
    <w:rsid w:val="000E4C3E"/>
    <w:rsid w:val="000E5120"/>
    <w:rsid w:val="000E5662"/>
    <w:rsid w:val="000E5D86"/>
    <w:rsid w:val="000E5F0E"/>
    <w:rsid w:val="000E65C9"/>
    <w:rsid w:val="000E6B0C"/>
    <w:rsid w:val="000E7249"/>
    <w:rsid w:val="000E7A2D"/>
    <w:rsid w:val="000E7BF2"/>
    <w:rsid w:val="000E7D19"/>
    <w:rsid w:val="000E7D27"/>
    <w:rsid w:val="000E7E2D"/>
    <w:rsid w:val="000F0189"/>
    <w:rsid w:val="000F0459"/>
    <w:rsid w:val="000F0FCE"/>
    <w:rsid w:val="000F144D"/>
    <w:rsid w:val="000F170B"/>
    <w:rsid w:val="000F194D"/>
    <w:rsid w:val="000F1F68"/>
    <w:rsid w:val="000F2156"/>
    <w:rsid w:val="000F2AB6"/>
    <w:rsid w:val="000F41AE"/>
    <w:rsid w:val="000F4AB9"/>
    <w:rsid w:val="000F5031"/>
    <w:rsid w:val="000F54F2"/>
    <w:rsid w:val="000F5A45"/>
    <w:rsid w:val="000F6C7E"/>
    <w:rsid w:val="000F6CB8"/>
    <w:rsid w:val="000F6D8D"/>
    <w:rsid w:val="000F731F"/>
    <w:rsid w:val="000F7329"/>
    <w:rsid w:val="000F7402"/>
    <w:rsid w:val="000F745D"/>
    <w:rsid w:val="000F78E8"/>
    <w:rsid w:val="000F7C29"/>
    <w:rsid w:val="000F7C76"/>
    <w:rsid w:val="000F7CBD"/>
    <w:rsid w:val="00100147"/>
    <w:rsid w:val="0010028C"/>
    <w:rsid w:val="0010044A"/>
    <w:rsid w:val="00100FC5"/>
    <w:rsid w:val="00101023"/>
    <w:rsid w:val="001010FD"/>
    <w:rsid w:val="00101229"/>
    <w:rsid w:val="0010145A"/>
    <w:rsid w:val="0010247D"/>
    <w:rsid w:val="00103229"/>
    <w:rsid w:val="00103A3A"/>
    <w:rsid w:val="00103BC4"/>
    <w:rsid w:val="00104BB2"/>
    <w:rsid w:val="00104EAC"/>
    <w:rsid w:val="00105458"/>
    <w:rsid w:val="0010577A"/>
    <w:rsid w:val="001061E8"/>
    <w:rsid w:val="00106268"/>
    <w:rsid w:val="00106752"/>
    <w:rsid w:val="00106AA2"/>
    <w:rsid w:val="00107010"/>
    <w:rsid w:val="001070E8"/>
    <w:rsid w:val="00107C0F"/>
    <w:rsid w:val="0011024C"/>
    <w:rsid w:val="00110737"/>
    <w:rsid w:val="00110F84"/>
    <w:rsid w:val="00111A11"/>
    <w:rsid w:val="00111BD2"/>
    <w:rsid w:val="00112617"/>
    <w:rsid w:val="0011357F"/>
    <w:rsid w:val="00114261"/>
    <w:rsid w:val="00114417"/>
    <w:rsid w:val="0011556C"/>
    <w:rsid w:val="001157D0"/>
    <w:rsid w:val="001157F2"/>
    <w:rsid w:val="00115964"/>
    <w:rsid w:val="0011750D"/>
    <w:rsid w:val="00117C51"/>
    <w:rsid w:val="0012038C"/>
    <w:rsid w:val="001206D0"/>
    <w:rsid w:val="00120718"/>
    <w:rsid w:val="00120732"/>
    <w:rsid w:val="00120C7C"/>
    <w:rsid w:val="00121412"/>
    <w:rsid w:val="0012161D"/>
    <w:rsid w:val="00121745"/>
    <w:rsid w:val="0012188A"/>
    <w:rsid w:val="00121E43"/>
    <w:rsid w:val="001228C7"/>
    <w:rsid w:val="00122957"/>
    <w:rsid w:val="001229FE"/>
    <w:rsid w:val="00122CC6"/>
    <w:rsid w:val="00122D9D"/>
    <w:rsid w:val="001234FD"/>
    <w:rsid w:val="001238E1"/>
    <w:rsid w:val="00123BF8"/>
    <w:rsid w:val="0012426D"/>
    <w:rsid w:val="00124373"/>
    <w:rsid w:val="0012477D"/>
    <w:rsid w:val="00124891"/>
    <w:rsid w:val="00124B79"/>
    <w:rsid w:val="00125B19"/>
    <w:rsid w:val="00125CEC"/>
    <w:rsid w:val="00126A7E"/>
    <w:rsid w:val="00126A97"/>
    <w:rsid w:val="00126B8A"/>
    <w:rsid w:val="0012707B"/>
    <w:rsid w:val="0012711C"/>
    <w:rsid w:val="00127935"/>
    <w:rsid w:val="00130066"/>
    <w:rsid w:val="001304D3"/>
    <w:rsid w:val="00130999"/>
    <w:rsid w:val="001309BC"/>
    <w:rsid w:val="00130ADF"/>
    <w:rsid w:val="00130AE9"/>
    <w:rsid w:val="00130F72"/>
    <w:rsid w:val="00131AD6"/>
    <w:rsid w:val="001320DE"/>
    <w:rsid w:val="00133355"/>
    <w:rsid w:val="0013352E"/>
    <w:rsid w:val="001345B3"/>
    <w:rsid w:val="001346C1"/>
    <w:rsid w:val="001351C9"/>
    <w:rsid w:val="0013520A"/>
    <w:rsid w:val="00135A9C"/>
    <w:rsid w:val="0013632F"/>
    <w:rsid w:val="0013638F"/>
    <w:rsid w:val="0013639F"/>
    <w:rsid w:val="00136995"/>
    <w:rsid w:val="001369D5"/>
    <w:rsid w:val="00136BE8"/>
    <w:rsid w:val="00136C95"/>
    <w:rsid w:val="001372D8"/>
    <w:rsid w:val="00137556"/>
    <w:rsid w:val="00137A10"/>
    <w:rsid w:val="00140333"/>
    <w:rsid w:val="00140451"/>
    <w:rsid w:val="0014073B"/>
    <w:rsid w:val="00140964"/>
    <w:rsid w:val="00141073"/>
    <w:rsid w:val="0014125D"/>
    <w:rsid w:val="00141313"/>
    <w:rsid w:val="00141A16"/>
    <w:rsid w:val="00141C58"/>
    <w:rsid w:val="0014238F"/>
    <w:rsid w:val="0014240F"/>
    <w:rsid w:val="001426F3"/>
    <w:rsid w:val="001427BE"/>
    <w:rsid w:val="0014280A"/>
    <w:rsid w:val="001434A9"/>
    <w:rsid w:val="00143BA5"/>
    <w:rsid w:val="001445A8"/>
    <w:rsid w:val="00144622"/>
    <w:rsid w:val="00144F92"/>
    <w:rsid w:val="001450E9"/>
    <w:rsid w:val="00145B02"/>
    <w:rsid w:val="00145FAD"/>
    <w:rsid w:val="001461FC"/>
    <w:rsid w:val="001463DC"/>
    <w:rsid w:val="00146BFE"/>
    <w:rsid w:val="00146D6E"/>
    <w:rsid w:val="00146D9F"/>
    <w:rsid w:val="00146E41"/>
    <w:rsid w:val="001472B3"/>
    <w:rsid w:val="00147527"/>
    <w:rsid w:val="001476F4"/>
    <w:rsid w:val="0014775C"/>
    <w:rsid w:val="00147F1D"/>
    <w:rsid w:val="00150288"/>
    <w:rsid w:val="0015090A"/>
    <w:rsid w:val="00150F71"/>
    <w:rsid w:val="00151328"/>
    <w:rsid w:val="00151A6D"/>
    <w:rsid w:val="00151C19"/>
    <w:rsid w:val="00151FE3"/>
    <w:rsid w:val="00152197"/>
    <w:rsid w:val="001529FB"/>
    <w:rsid w:val="0015345D"/>
    <w:rsid w:val="0015437A"/>
    <w:rsid w:val="00154D9F"/>
    <w:rsid w:val="00155143"/>
    <w:rsid w:val="001552F5"/>
    <w:rsid w:val="00155362"/>
    <w:rsid w:val="001554DF"/>
    <w:rsid w:val="00155EB7"/>
    <w:rsid w:val="00155F92"/>
    <w:rsid w:val="001563A2"/>
    <w:rsid w:val="00156C88"/>
    <w:rsid w:val="0015713E"/>
    <w:rsid w:val="001571DF"/>
    <w:rsid w:val="00157252"/>
    <w:rsid w:val="00157859"/>
    <w:rsid w:val="00157962"/>
    <w:rsid w:val="00157A28"/>
    <w:rsid w:val="00160253"/>
    <w:rsid w:val="001605CD"/>
    <w:rsid w:val="0016067A"/>
    <w:rsid w:val="00160B4A"/>
    <w:rsid w:val="00160B6A"/>
    <w:rsid w:val="00160D99"/>
    <w:rsid w:val="001610D2"/>
    <w:rsid w:val="001615BB"/>
    <w:rsid w:val="001624AB"/>
    <w:rsid w:val="001624FC"/>
    <w:rsid w:val="00162714"/>
    <w:rsid w:val="00162AE0"/>
    <w:rsid w:val="00162B89"/>
    <w:rsid w:val="00163066"/>
    <w:rsid w:val="001638F5"/>
    <w:rsid w:val="00163EB6"/>
    <w:rsid w:val="001640C7"/>
    <w:rsid w:val="001640F0"/>
    <w:rsid w:val="00164873"/>
    <w:rsid w:val="00164A3B"/>
    <w:rsid w:val="00164DA0"/>
    <w:rsid w:val="001658C5"/>
    <w:rsid w:val="0016590D"/>
    <w:rsid w:val="00165CAB"/>
    <w:rsid w:val="00166048"/>
    <w:rsid w:val="00166794"/>
    <w:rsid w:val="00166A27"/>
    <w:rsid w:val="00166FC9"/>
    <w:rsid w:val="00167759"/>
    <w:rsid w:val="001703FB"/>
    <w:rsid w:val="001708EE"/>
    <w:rsid w:val="00170B37"/>
    <w:rsid w:val="00170BDA"/>
    <w:rsid w:val="00170DA3"/>
    <w:rsid w:val="00171E37"/>
    <w:rsid w:val="00172564"/>
    <w:rsid w:val="00173C0B"/>
    <w:rsid w:val="00173E9F"/>
    <w:rsid w:val="00174320"/>
    <w:rsid w:val="00174505"/>
    <w:rsid w:val="001745B8"/>
    <w:rsid w:val="001747AF"/>
    <w:rsid w:val="00174936"/>
    <w:rsid w:val="00174E12"/>
    <w:rsid w:val="001759C5"/>
    <w:rsid w:val="00175A15"/>
    <w:rsid w:val="00175C9F"/>
    <w:rsid w:val="001766C5"/>
    <w:rsid w:val="00176E3E"/>
    <w:rsid w:val="00176F24"/>
    <w:rsid w:val="00177739"/>
    <w:rsid w:val="001779DC"/>
    <w:rsid w:val="00177BF5"/>
    <w:rsid w:val="00177E64"/>
    <w:rsid w:val="00177F7B"/>
    <w:rsid w:val="001807D1"/>
    <w:rsid w:val="00180AE6"/>
    <w:rsid w:val="001811A5"/>
    <w:rsid w:val="0018156E"/>
    <w:rsid w:val="001818BF"/>
    <w:rsid w:val="00181A48"/>
    <w:rsid w:val="00181BB5"/>
    <w:rsid w:val="00182318"/>
    <w:rsid w:val="001831B3"/>
    <w:rsid w:val="001832B8"/>
    <w:rsid w:val="001839A9"/>
    <w:rsid w:val="00183EC8"/>
    <w:rsid w:val="00184EE3"/>
    <w:rsid w:val="001850E1"/>
    <w:rsid w:val="001854C8"/>
    <w:rsid w:val="001854F2"/>
    <w:rsid w:val="00185535"/>
    <w:rsid w:val="00186264"/>
    <w:rsid w:val="001868C4"/>
    <w:rsid w:val="001868DE"/>
    <w:rsid w:val="00186B89"/>
    <w:rsid w:val="00186D18"/>
    <w:rsid w:val="00187C99"/>
    <w:rsid w:val="00187DFE"/>
    <w:rsid w:val="00187F47"/>
    <w:rsid w:val="001908BD"/>
    <w:rsid w:val="00190A9E"/>
    <w:rsid w:val="00190BBC"/>
    <w:rsid w:val="00190F4D"/>
    <w:rsid w:val="0019134A"/>
    <w:rsid w:val="00191685"/>
    <w:rsid w:val="001916BF"/>
    <w:rsid w:val="00191EF7"/>
    <w:rsid w:val="00192021"/>
    <w:rsid w:val="00192237"/>
    <w:rsid w:val="00192977"/>
    <w:rsid w:val="00192B99"/>
    <w:rsid w:val="00193526"/>
    <w:rsid w:val="00193CCE"/>
    <w:rsid w:val="0019445E"/>
    <w:rsid w:val="00195C34"/>
    <w:rsid w:val="00196355"/>
    <w:rsid w:val="0019694E"/>
    <w:rsid w:val="00196AD7"/>
    <w:rsid w:val="00196B39"/>
    <w:rsid w:val="00197202"/>
    <w:rsid w:val="001A03E0"/>
    <w:rsid w:val="001A068B"/>
    <w:rsid w:val="001A06E3"/>
    <w:rsid w:val="001A0E81"/>
    <w:rsid w:val="001A116D"/>
    <w:rsid w:val="001A129C"/>
    <w:rsid w:val="001A1F83"/>
    <w:rsid w:val="001A241B"/>
    <w:rsid w:val="001A24DD"/>
    <w:rsid w:val="001A256C"/>
    <w:rsid w:val="001A2C6B"/>
    <w:rsid w:val="001A316B"/>
    <w:rsid w:val="001A4525"/>
    <w:rsid w:val="001A4870"/>
    <w:rsid w:val="001A48AF"/>
    <w:rsid w:val="001A4992"/>
    <w:rsid w:val="001A5199"/>
    <w:rsid w:val="001A52B1"/>
    <w:rsid w:val="001A5F8E"/>
    <w:rsid w:val="001A7431"/>
    <w:rsid w:val="001A763A"/>
    <w:rsid w:val="001A77ED"/>
    <w:rsid w:val="001A7A36"/>
    <w:rsid w:val="001B0C6E"/>
    <w:rsid w:val="001B0E72"/>
    <w:rsid w:val="001B1448"/>
    <w:rsid w:val="001B14BF"/>
    <w:rsid w:val="001B1796"/>
    <w:rsid w:val="001B17AB"/>
    <w:rsid w:val="001B1D24"/>
    <w:rsid w:val="001B236B"/>
    <w:rsid w:val="001B26AF"/>
    <w:rsid w:val="001B2DB8"/>
    <w:rsid w:val="001B333F"/>
    <w:rsid w:val="001B4454"/>
    <w:rsid w:val="001B47C6"/>
    <w:rsid w:val="001B4807"/>
    <w:rsid w:val="001B4C47"/>
    <w:rsid w:val="001B4F24"/>
    <w:rsid w:val="001B5780"/>
    <w:rsid w:val="001B596B"/>
    <w:rsid w:val="001B6B46"/>
    <w:rsid w:val="001B7398"/>
    <w:rsid w:val="001B7646"/>
    <w:rsid w:val="001B76B4"/>
    <w:rsid w:val="001B7920"/>
    <w:rsid w:val="001B7DF0"/>
    <w:rsid w:val="001B7F38"/>
    <w:rsid w:val="001B7F5D"/>
    <w:rsid w:val="001C02A8"/>
    <w:rsid w:val="001C15A2"/>
    <w:rsid w:val="001C1610"/>
    <w:rsid w:val="001C1668"/>
    <w:rsid w:val="001C1898"/>
    <w:rsid w:val="001C23BF"/>
    <w:rsid w:val="001C2987"/>
    <w:rsid w:val="001C2FF2"/>
    <w:rsid w:val="001C4432"/>
    <w:rsid w:val="001C44C1"/>
    <w:rsid w:val="001C480E"/>
    <w:rsid w:val="001C4FF7"/>
    <w:rsid w:val="001C5829"/>
    <w:rsid w:val="001C610E"/>
    <w:rsid w:val="001C64C6"/>
    <w:rsid w:val="001C6584"/>
    <w:rsid w:val="001C6867"/>
    <w:rsid w:val="001C6CE6"/>
    <w:rsid w:val="001C74FC"/>
    <w:rsid w:val="001C77A5"/>
    <w:rsid w:val="001C7BFE"/>
    <w:rsid w:val="001C7C60"/>
    <w:rsid w:val="001D06FF"/>
    <w:rsid w:val="001D09F7"/>
    <w:rsid w:val="001D0DCA"/>
    <w:rsid w:val="001D10D0"/>
    <w:rsid w:val="001D125F"/>
    <w:rsid w:val="001D1326"/>
    <w:rsid w:val="001D1D7F"/>
    <w:rsid w:val="001D2028"/>
    <w:rsid w:val="001D2056"/>
    <w:rsid w:val="001D221B"/>
    <w:rsid w:val="001D2436"/>
    <w:rsid w:val="001D2922"/>
    <w:rsid w:val="001D2D4C"/>
    <w:rsid w:val="001D2FA6"/>
    <w:rsid w:val="001D3234"/>
    <w:rsid w:val="001D32C5"/>
    <w:rsid w:val="001D3453"/>
    <w:rsid w:val="001D38F1"/>
    <w:rsid w:val="001D3B0D"/>
    <w:rsid w:val="001D3DC3"/>
    <w:rsid w:val="001D3E73"/>
    <w:rsid w:val="001D43C8"/>
    <w:rsid w:val="001D4672"/>
    <w:rsid w:val="001D478D"/>
    <w:rsid w:val="001D4873"/>
    <w:rsid w:val="001D53E2"/>
    <w:rsid w:val="001D541C"/>
    <w:rsid w:val="001D5886"/>
    <w:rsid w:val="001D59F7"/>
    <w:rsid w:val="001D5A3F"/>
    <w:rsid w:val="001D637B"/>
    <w:rsid w:val="001D648A"/>
    <w:rsid w:val="001D6809"/>
    <w:rsid w:val="001D6DB2"/>
    <w:rsid w:val="001D70A3"/>
    <w:rsid w:val="001D73DE"/>
    <w:rsid w:val="001D7A30"/>
    <w:rsid w:val="001D7E1B"/>
    <w:rsid w:val="001E00C6"/>
    <w:rsid w:val="001E02C5"/>
    <w:rsid w:val="001E02D6"/>
    <w:rsid w:val="001E03BB"/>
    <w:rsid w:val="001E093A"/>
    <w:rsid w:val="001E095B"/>
    <w:rsid w:val="001E199C"/>
    <w:rsid w:val="001E1C16"/>
    <w:rsid w:val="001E1D76"/>
    <w:rsid w:val="001E1F21"/>
    <w:rsid w:val="001E23C8"/>
    <w:rsid w:val="001E2DDA"/>
    <w:rsid w:val="001E2FAF"/>
    <w:rsid w:val="001E2FD4"/>
    <w:rsid w:val="001E304C"/>
    <w:rsid w:val="001E3071"/>
    <w:rsid w:val="001E3091"/>
    <w:rsid w:val="001E3383"/>
    <w:rsid w:val="001E4550"/>
    <w:rsid w:val="001E46BD"/>
    <w:rsid w:val="001E4B8B"/>
    <w:rsid w:val="001E4D2D"/>
    <w:rsid w:val="001E51ED"/>
    <w:rsid w:val="001E52DB"/>
    <w:rsid w:val="001E5D70"/>
    <w:rsid w:val="001E6F46"/>
    <w:rsid w:val="001E7044"/>
    <w:rsid w:val="001E7381"/>
    <w:rsid w:val="001E7D14"/>
    <w:rsid w:val="001F04BB"/>
    <w:rsid w:val="001F04D7"/>
    <w:rsid w:val="001F0721"/>
    <w:rsid w:val="001F083E"/>
    <w:rsid w:val="001F093F"/>
    <w:rsid w:val="001F0A04"/>
    <w:rsid w:val="001F0B7D"/>
    <w:rsid w:val="001F0DBA"/>
    <w:rsid w:val="001F0FC1"/>
    <w:rsid w:val="001F0FD7"/>
    <w:rsid w:val="001F1159"/>
    <w:rsid w:val="001F126A"/>
    <w:rsid w:val="001F154A"/>
    <w:rsid w:val="001F167B"/>
    <w:rsid w:val="001F1B1E"/>
    <w:rsid w:val="001F1D9E"/>
    <w:rsid w:val="001F2418"/>
    <w:rsid w:val="001F2BF3"/>
    <w:rsid w:val="001F301F"/>
    <w:rsid w:val="001F3B57"/>
    <w:rsid w:val="001F3C33"/>
    <w:rsid w:val="001F3D93"/>
    <w:rsid w:val="001F45DF"/>
    <w:rsid w:val="001F4C3B"/>
    <w:rsid w:val="001F4D7C"/>
    <w:rsid w:val="001F4E6E"/>
    <w:rsid w:val="001F4F36"/>
    <w:rsid w:val="001F4FE4"/>
    <w:rsid w:val="001F59CB"/>
    <w:rsid w:val="001F5CAD"/>
    <w:rsid w:val="001F5DEB"/>
    <w:rsid w:val="001F6094"/>
    <w:rsid w:val="001F6359"/>
    <w:rsid w:val="001F6C8F"/>
    <w:rsid w:val="001F6CD2"/>
    <w:rsid w:val="001F6CD8"/>
    <w:rsid w:val="001F700E"/>
    <w:rsid w:val="001F7410"/>
    <w:rsid w:val="001F75C6"/>
    <w:rsid w:val="001F7A8C"/>
    <w:rsid w:val="001F7B89"/>
    <w:rsid w:val="0020032D"/>
    <w:rsid w:val="00200350"/>
    <w:rsid w:val="002008E2"/>
    <w:rsid w:val="00200BD1"/>
    <w:rsid w:val="0020101E"/>
    <w:rsid w:val="002027B5"/>
    <w:rsid w:val="00202991"/>
    <w:rsid w:val="00203021"/>
    <w:rsid w:val="002034FA"/>
    <w:rsid w:val="00203607"/>
    <w:rsid w:val="0020376C"/>
    <w:rsid w:val="002037C9"/>
    <w:rsid w:val="00204187"/>
    <w:rsid w:val="00204B35"/>
    <w:rsid w:val="00204C85"/>
    <w:rsid w:val="0020549B"/>
    <w:rsid w:val="00205520"/>
    <w:rsid w:val="00205C04"/>
    <w:rsid w:val="0020627E"/>
    <w:rsid w:val="00206908"/>
    <w:rsid w:val="00206F6F"/>
    <w:rsid w:val="002071AA"/>
    <w:rsid w:val="00207494"/>
    <w:rsid w:val="0020788A"/>
    <w:rsid w:val="00207E73"/>
    <w:rsid w:val="00207F46"/>
    <w:rsid w:val="00210144"/>
    <w:rsid w:val="00210C95"/>
    <w:rsid w:val="00210CE4"/>
    <w:rsid w:val="00210D94"/>
    <w:rsid w:val="00211AE3"/>
    <w:rsid w:val="00212200"/>
    <w:rsid w:val="00212509"/>
    <w:rsid w:val="00212AA5"/>
    <w:rsid w:val="00212C01"/>
    <w:rsid w:val="00213459"/>
    <w:rsid w:val="0021345E"/>
    <w:rsid w:val="002136F6"/>
    <w:rsid w:val="002137C8"/>
    <w:rsid w:val="00213B2E"/>
    <w:rsid w:val="00214EC2"/>
    <w:rsid w:val="0021512A"/>
    <w:rsid w:val="002157BF"/>
    <w:rsid w:val="00216349"/>
    <w:rsid w:val="00216CBE"/>
    <w:rsid w:val="00216F4B"/>
    <w:rsid w:val="002172A6"/>
    <w:rsid w:val="002178C2"/>
    <w:rsid w:val="00217A65"/>
    <w:rsid w:val="00220063"/>
    <w:rsid w:val="002209A0"/>
    <w:rsid w:val="00220EC6"/>
    <w:rsid w:val="00221298"/>
    <w:rsid w:val="00221CE5"/>
    <w:rsid w:val="00222055"/>
    <w:rsid w:val="00222341"/>
    <w:rsid w:val="0022272F"/>
    <w:rsid w:val="002230CB"/>
    <w:rsid w:val="00223382"/>
    <w:rsid w:val="0022380B"/>
    <w:rsid w:val="00223F28"/>
    <w:rsid w:val="002240CE"/>
    <w:rsid w:val="002246AA"/>
    <w:rsid w:val="00224984"/>
    <w:rsid w:val="0022499B"/>
    <w:rsid w:val="00224BCB"/>
    <w:rsid w:val="00224D21"/>
    <w:rsid w:val="00226402"/>
    <w:rsid w:val="00226663"/>
    <w:rsid w:val="00227330"/>
    <w:rsid w:val="00227543"/>
    <w:rsid w:val="00230229"/>
    <w:rsid w:val="00230242"/>
    <w:rsid w:val="002319E5"/>
    <w:rsid w:val="00231FAB"/>
    <w:rsid w:val="002327A1"/>
    <w:rsid w:val="00232A71"/>
    <w:rsid w:val="00232AF6"/>
    <w:rsid w:val="00232D28"/>
    <w:rsid w:val="00232F05"/>
    <w:rsid w:val="00233110"/>
    <w:rsid w:val="002336E1"/>
    <w:rsid w:val="002337CF"/>
    <w:rsid w:val="0023388C"/>
    <w:rsid w:val="00233A57"/>
    <w:rsid w:val="00233B86"/>
    <w:rsid w:val="002341FE"/>
    <w:rsid w:val="0023473C"/>
    <w:rsid w:val="00234B3A"/>
    <w:rsid w:val="00234D21"/>
    <w:rsid w:val="00234E68"/>
    <w:rsid w:val="0023541F"/>
    <w:rsid w:val="00235666"/>
    <w:rsid w:val="00235723"/>
    <w:rsid w:val="00236464"/>
    <w:rsid w:val="0023683F"/>
    <w:rsid w:val="00236D6D"/>
    <w:rsid w:val="002377F9"/>
    <w:rsid w:val="002378AA"/>
    <w:rsid w:val="002407B9"/>
    <w:rsid w:val="0024083E"/>
    <w:rsid w:val="00240DD1"/>
    <w:rsid w:val="00241430"/>
    <w:rsid w:val="002416C7"/>
    <w:rsid w:val="00241964"/>
    <w:rsid w:val="00241EBA"/>
    <w:rsid w:val="0024217D"/>
    <w:rsid w:val="0024222A"/>
    <w:rsid w:val="00242438"/>
    <w:rsid w:val="002425FA"/>
    <w:rsid w:val="00242727"/>
    <w:rsid w:val="00242E35"/>
    <w:rsid w:val="00243259"/>
    <w:rsid w:val="002435C1"/>
    <w:rsid w:val="002437C0"/>
    <w:rsid w:val="00243A46"/>
    <w:rsid w:val="00243D24"/>
    <w:rsid w:val="00244901"/>
    <w:rsid w:val="00244A0D"/>
    <w:rsid w:val="00245827"/>
    <w:rsid w:val="002458EC"/>
    <w:rsid w:val="002461E4"/>
    <w:rsid w:val="00246773"/>
    <w:rsid w:val="00246874"/>
    <w:rsid w:val="00246B46"/>
    <w:rsid w:val="0024787A"/>
    <w:rsid w:val="00247882"/>
    <w:rsid w:val="00250571"/>
    <w:rsid w:val="002505A6"/>
    <w:rsid w:val="002505A8"/>
    <w:rsid w:val="002507C6"/>
    <w:rsid w:val="00250A4E"/>
    <w:rsid w:val="00251200"/>
    <w:rsid w:val="00251687"/>
    <w:rsid w:val="002516A0"/>
    <w:rsid w:val="002518CE"/>
    <w:rsid w:val="002518EA"/>
    <w:rsid w:val="002519CA"/>
    <w:rsid w:val="00251A49"/>
    <w:rsid w:val="00251AEE"/>
    <w:rsid w:val="00251B60"/>
    <w:rsid w:val="00251D7B"/>
    <w:rsid w:val="002522F1"/>
    <w:rsid w:val="0025249D"/>
    <w:rsid w:val="00252764"/>
    <w:rsid w:val="00252F23"/>
    <w:rsid w:val="00253477"/>
    <w:rsid w:val="0025357A"/>
    <w:rsid w:val="0025372C"/>
    <w:rsid w:val="00254652"/>
    <w:rsid w:val="0025488C"/>
    <w:rsid w:val="00254ABC"/>
    <w:rsid w:val="00254BD6"/>
    <w:rsid w:val="00255AA1"/>
    <w:rsid w:val="00256B0D"/>
    <w:rsid w:val="002576B1"/>
    <w:rsid w:val="00257931"/>
    <w:rsid w:val="00257AAF"/>
    <w:rsid w:val="00257F13"/>
    <w:rsid w:val="00260197"/>
    <w:rsid w:val="002603C8"/>
    <w:rsid w:val="0026047F"/>
    <w:rsid w:val="00260668"/>
    <w:rsid w:val="00260899"/>
    <w:rsid w:val="00260BC0"/>
    <w:rsid w:val="0026127F"/>
    <w:rsid w:val="0026160F"/>
    <w:rsid w:val="00261A1F"/>
    <w:rsid w:val="00261EA0"/>
    <w:rsid w:val="00261FB4"/>
    <w:rsid w:val="002627A1"/>
    <w:rsid w:val="0026289C"/>
    <w:rsid w:val="00262B68"/>
    <w:rsid w:val="002634BA"/>
    <w:rsid w:val="00263E20"/>
    <w:rsid w:val="00263E3C"/>
    <w:rsid w:val="0026454A"/>
    <w:rsid w:val="0026491B"/>
    <w:rsid w:val="002649B6"/>
    <w:rsid w:val="00264C80"/>
    <w:rsid w:val="00264D19"/>
    <w:rsid w:val="00264FD3"/>
    <w:rsid w:val="00265052"/>
    <w:rsid w:val="00265285"/>
    <w:rsid w:val="00265988"/>
    <w:rsid w:val="00266067"/>
    <w:rsid w:val="0026674C"/>
    <w:rsid w:val="00266A8E"/>
    <w:rsid w:val="00266E23"/>
    <w:rsid w:val="00266F64"/>
    <w:rsid w:val="002674E2"/>
    <w:rsid w:val="00267AA7"/>
    <w:rsid w:val="00267D99"/>
    <w:rsid w:val="00267ECC"/>
    <w:rsid w:val="00267F50"/>
    <w:rsid w:val="002700D9"/>
    <w:rsid w:val="002702B9"/>
    <w:rsid w:val="00270F98"/>
    <w:rsid w:val="00271053"/>
    <w:rsid w:val="0027141D"/>
    <w:rsid w:val="00271593"/>
    <w:rsid w:val="002719DD"/>
    <w:rsid w:val="00272216"/>
    <w:rsid w:val="0027235D"/>
    <w:rsid w:val="002724C9"/>
    <w:rsid w:val="0027391E"/>
    <w:rsid w:val="00273E0B"/>
    <w:rsid w:val="0027402E"/>
    <w:rsid w:val="002740A6"/>
    <w:rsid w:val="00274454"/>
    <w:rsid w:val="002745C7"/>
    <w:rsid w:val="00274D0A"/>
    <w:rsid w:val="002754C9"/>
    <w:rsid w:val="00275D07"/>
    <w:rsid w:val="00276533"/>
    <w:rsid w:val="002766F2"/>
    <w:rsid w:val="002769DD"/>
    <w:rsid w:val="00276EAA"/>
    <w:rsid w:val="002808C7"/>
    <w:rsid w:val="00280994"/>
    <w:rsid w:val="00280ED6"/>
    <w:rsid w:val="0028230B"/>
    <w:rsid w:val="002823BF"/>
    <w:rsid w:val="00282592"/>
    <w:rsid w:val="00282920"/>
    <w:rsid w:val="00282AAA"/>
    <w:rsid w:val="00282D33"/>
    <w:rsid w:val="002831BA"/>
    <w:rsid w:val="002832CB"/>
    <w:rsid w:val="00284023"/>
    <w:rsid w:val="00284539"/>
    <w:rsid w:val="00284750"/>
    <w:rsid w:val="00285520"/>
    <w:rsid w:val="00285F4C"/>
    <w:rsid w:val="00285F6F"/>
    <w:rsid w:val="002862A6"/>
    <w:rsid w:val="002863B8"/>
    <w:rsid w:val="002863E0"/>
    <w:rsid w:val="00286C4D"/>
    <w:rsid w:val="0028766E"/>
    <w:rsid w:val="00287D60"/>
    <w:rsid w:val="00287F4A"/>
    <w:rsid w:val="002902A3"/>
    <w:rsid w:val="00290501"/>
    <w:rsid w:val="00290584"/>
    <w:rsid w:val="00290CC8"/>
    <w:rsid w:val="0029141B"/>
    <w:rsid w:val="00291546"/>
    <w:rsid w:val="00291601"/>
    <w:rsid w:val="00291824"/>
    <w:rsid w:val="00292053"/>
    <w:rsid w:val="00292A09"/>
    <w:rsid w:val="00293BA1"/>
    <w:rsid w:val="00295341"/>
    <w:rsid w:val="00295567"/>
    <w:rsid w:val="0029574F"/>
    <w:rsid w:val="00295B8E"/>
    <w:rsid w:val="00295DBE"/>
    <w:rsid w:val="00296A3D"/>
    <w:rsid w:val="002A031B"/>
    <w:rsid w:val="002A0341"/>
    <w:rsid w:val="002A0F24"/>
    <w:rsid w:val="002A25DF"/>
    <w:rsid w:val="002A25EF"/>
    <w:rsid w:val="002A28CE"/>
    <w:rsid w:val="002A2B25"/>
    <w:rsid w:val="002A33AD"/>
    <w:rsid w:val="002A34CB"/>
    <w:rsid w:val="002A357B"/>
    <w:rsid w:val="002A485E"/>
    <w:rsid w:val="002A5595"/>
    <w:rsid w:val="002A59F0"/>
    <w:rsid w:val="002A5C1B"/>
    <w:rsid w:val="002A6C5E"/>
    <w:rsid w:val="002A6E6F"/>
    <w:rsid w:val="002A72AF"/>
    <w:rsid w:val="002B0EAF"/>
    <w:rsid w:val="002B14D3"/>
    <w:rsid w:val="002B21E4"/>
    <w:rsid w:val="002B2722"/>
    <w:rsid w:val="002B2B0C"/>
    <w:rsid w:val="002B3DBA"/>
    <w:rsid w:val="002B4D23"/>
    <w:rsid w:val="002B541D"/>
    <w:rsid w:val="002B581E"/>
    <w:rsid w:val="002B6221"/>
    <w:rsid w:val="002B6E33"/>
    <w:rsid w:val="002B7265"/>
    <w:rsid w:val="002B7DCA"/>
    <w:rsid w:val="002C0646"/>
    <w:rsid w:val="002C06AB"/>
    <w:rsid w:val="002C07DF"/>
    <w:rsid w:val="002C08CC"/>
    <w:rsid w:val="002C0B57"/>
    <w:rsid w:val="002C0E59"/>
    <w:rsid w:val="002C0EBF"/>
    <w:rsid w:val="002C1507"/>
    <w:rsid w:val="002C16F0"/>
    <w:rsid w:val="002C1798"/>
    <w:rsid w:val="002C1BE0"/>
    <w:rsid w:val="002C2989"/>
    <w:rsid w:val="002C2BB8"/>
    <w:rsid w:val="002C31DF"/>
    <w:rsid w:val="002C4DB0"/>
    <w:rsid w:val="002C4DFF"/>
    <w:rsid w:val="002C6AEB"/>
    <w:rsid w:val="002C6DB6"/>
    <w:rsid w:val="002C785A"/>
    <w:rsid w:val="002D0764"/>
    <w:rsid w:val="002D0BBD"/>
    <w:rsid w:val="002D0C68"/>
    <w:rsid w:val="002D0E32"/>
    <w:rsid w:val="002D1528"/>
    <w:rsid w:val="002D19F3"/>
    <w:rsid w:val="002D211E"/>
    <w:rsid w:val="002D2370"/>
    <w:rsid w:val="002D2B3D"/>
    <w:rsid w:val="002D2D29"/>
    <w:rsid w:val="002D39D1"/>
    <w:rsid w:val="002D43C5"/>
    <w:rsid w:val="002D5223"/>
    <w:rsid w:val="002D5B1D"/>
    <w:rsid w:val="002D66D8"/>
    <w:rsid w:val="002D6A93"/>
    <w:rsid w:val="002D7503"/>
    <w:rsid w:val="002D79EF"/>
    <w:rsid w:val="002D7EEE"/>
    <w:rsid w:val="002E0928"/>
    <w:rsid w:val="002E0B3E"/>
    <w:rsid w:val="002E0B93"/>
    <w:rsid w:val="002E0E17"/>
    <w:rsid w:val="002E12B9"/>
    <w:rsid w:val="002E14E0"/>
    <w:rsid w:val="002E155D"/>
    <w:rsid w:val="002E17B5"/>
    <w:rsid w:val="002E18EB"/>
    <w:rsid w:val="002E3836"/>
    <w:rsid w:val="002E3AF7"/>
    <w:rsid w:val="002E3D25"/>
    <w:rsid w:val="002E447A"/>
    <w:rsid w:val="002E4721"/>
    <w:rsid w:val="002E47E4"/>
    <w:rsid w:val="002E504F"/>
    <w:rsid w:val="002E5B97"/>
    <w:rsid w:val="002E5CCF"/>
    <w:rsid w:val="002E60C5"/>
    <w:rsid w:val="002E7296"/>
    <w:rsid w:val="002E790D"/>
    <w:rsid w:val="002E7F04"/>
    <w:rsid w:val="002E7F6A"/>
    <w:rsid w:val="002F04E0"/>
    <w:rsid w:val="002F082B"/>
    <w:rsid w:val="002F0D2B"/>
    <w:rsid w:val="002F0D79"/>
    <w:rsid w:val="002F0EC9"/>
    <w:rsid w:val="002F1B0D"/>
    <w:rsid w:val="002F1CDF"/>
    <w:rsid w:val="002F28B8"/>
    <w:rsid w:val="002F28F0"/>
    <w:rsid w:val="002F2B3F"/>
    <w:rsid w:val="002F31BE"/>
    <w:rsid w:val="002F3754"/>
    <w:rsid w:val="002F3AA1"/>
    <w:rsid w:val="002F50ED"/>
    <w:rsid w:val="002F5F69"/>
    <w:rsid w:val="002F68C1"/>
    <w:rsid w:val="002F68D2"/>
    <w:rsid w:val="002F71BE"/>
    <w:rsid w:val="002F7211"/>
    <w:rsid w:val="002F76B4"/>
    <w:rsid w:val="002F7B0E"/>
    <w:rsid w:val="00300706"/>
    <w:rsid w:val="003010E0"/>
    <w:rsid w:val="0030162B"/>
    <w:rsid w:val="003018FF"/>
    <w:rsid w:val="0030199C"/>
    <w:rsid w:val="00301D6A"/>
    <w:rsid w:val="00301EB8"/>
    <w:rsid w:val="00302444"/>
    <w:rsid w:val="003025C9"/>
    <w:rsid w:val="00302773"/>
    <w:rsid w:val="003039A6"/>
    <w:rsid w:val="00303B5B"/>
    <w:rsid w:val="00303C23"/>
    <w:rsid w:val="00303C8B"/>
    <w:rsid w:val="00304897"/>
    <w:rsid w:val="00304B5F"/>
    <w:rsid w:val="00304F6C"/>
    <w:rsid w:val="003051E6"/>
    <w:rsid w:val="003053AB"/>
    <w:rsid w:val="0030640C"/>
    <w:rsid w:val="003066E2"/>
    <w:rsid w:val="003071D8"/>
    <w:rsid w:val="003075F8"/>
    <w:rsid w:val="00307724"/>
    <w:rsid w:val="00307B79"/>
    <w:rsid w:val="00307E9B"/>
    <w:rsid w:val="003105B5"/>
    <w:rsid w:val="00310946"/>
    <w:rsid w:val="00310C42"/>
    <w:rsid w:val="00310EEC"/>
    <w:rsid w:val="00310FDC"/>
    <w:rsid w:val="00311474"/>
    <w:rsid w:val="003120CD"/>
    <w:rsid w:val="0031215C"/>
    <w:rsid w:val="00312894"/>
    <w:rsid w:val="00313D47"/>
    <w:rsid w:val="00314168"/>
    <w:rsid w:val="003145A3"/>
    <w:rsid w:val="0031487A"/>
    <w:rsid w:val="00314F4F"/>
    <w:rsid w:val="003155FA"/>
    <w:rsid w:val="00315836"/>
    <w:rsid w:val="00315F09"/>
    <w:rsid w:val="00316128"/>
    <w:rsid w:val="00316408"/>
    <w:rsid w:val="00316875"/>
    <w:rsid w:val="00316881"/>
    <w:rsid w:val="00316B63"/>
    <w:rsid w:val="00316B93"/>
    <w:rsid w:val="00316F5C"/>
    <w:rsid w:val="00317006"/>
    <w:rsid w:val="00317C55"/>
    <w:rsid w:val="00320460"/>
    <w:rsid w:val="00320538"/>
    <w:rsid w:val="003206C2"/>
    <w:rsid w:val="003208AB"/>
    <w:rsid w:val="00320B03"/>
    <w:rsid w:val="00320D2D"/>
    <w:rsid w:val="00321552"/>
    <w:rsid w:val="00321E69"/>
    <w:rsid w:val="0032263D"/>
    <w:rsid w:val="003239BD"/>
    <w:rsid w:val="00323C5E"/>
    <w:rsid w:val="00323F08"/>
    <w:rsid w:val="00324888"/>
    <w:rsid w:val="00324898"/>
    <w:rsid w:val="00324E65"/>
    <w:rsid w:val="00325D67"/>
    <w:rsid w:val="00325FB3"/>
    <w:rsid w:val="0032696D"/>
    <w:rsid w:val="003269D4"/>
    <w:rsid w:val="003269F2"/>
    <w:rsid w:val="00326BBA"/>
    <w:rsid w:val="00326BC4"/>
    <w:rsid w:val="00326ECC"/>
    <w:rsid w:val="00326EF0"/>
    <w:rsid w:val="00330238"/>
    <w:rsid w:val="003306E8"/>
    <w:rsid w:val="00330B0F"/>
    <w:rsid w:val="00330CEF"/>
    <w:rsid w:val="00330DE3"/>
    <w:rsid w:val="0033169D"/>
    <w:rsid w:val="00331DCF"/>
    <w:rsid w:val="00331EC6"/>
    <w:rsid w:val="00332013"/>
    <w:rsid w:val="00332135"/>
    <w:rsid w:val="00332318"/>
    <w:rsid w:val="0033252D"/>
    <w:rsid w:val="0033279B"/>
    <w:rsid w:val="003327F2"/>
    <w:rsid w:val="00333BB3"/>
    <w:rsid w:val="00333DA1"/>
    <w:rsid w:val="00333E5E"/>
    <w:rsid w:val="00333FEF"/>
    <w:rsid w:val="003340E0"/>
    <w:rsid w:val="0033436D"/>
    <w:rsid w:val="00334823"/>
    <w:rsid w:val="0033544F"/>
    <w:rsid w:val="003360EF"/>
    <w:rsid w:val="0033684E"/>
    <w:rsid w:val="00336DEC"/>
    <w:rsid w:val="00336EFD"/>
    <w:rsid w:val="00337641"/>
    <w:rsid w:val="00337795"/>
    <w:rsid w:val="00337912"/>
    <w:rsid w:val="00337EE5"/>
    <w:rsid w:val="00340688"/>
    <w:rsid w:val="00340D45"/>
    <w:rsid w:val="003410A2"/>
    <w:rsid w:val="00341328"/>
    <w:rsid w:val="0034152F"/>
    <w:rsid w:val="003415B2"/>
    <w:rsid w:val="0034191A"/>
    <w:rsid w:val="003433D0"/>
    <w:rsid w:val="00343421"/>
    <w:rsid w:val="00343B1B"/>
    <w:rsid w:val="00343F90"/>
    <w:rsid w:val="003446CA"/>
    <w:rsid w:val="0034490D"/>
    <w:rsid w:val="00344CC9"/>
    <w:rsid w:val="00344FA9"/>
    <w:rsid w:val="0034543B"/>
    <w:rsid w:val="003462BE"/>
    <w:rsid w:val="00346548"/>
    <w:rsid w:val="00346C8B"/>
    <w:rsid w:val="00347336"/>
    <w:rsid w:val="003473E7"/>
    <w:rsid w:val="00350243"/>
    <w:rsid w:val="003510B3"/>
    <w:rsid w:val="0035135B"/>
    <w:rsid w:val="00351752"/>
    <w:rsid w:val="00351A48"/>
    <w:rsid w:val="0035258F"/>
    <w:rsid w:val="00352599"/>
    <w:rsid w:val="00352A1C"/>
    <w:rsid w:val="003531F7"/>
    <w:rsid w:val="0035332B"/>
    <w:rsid w:val="00353E2B"/>
    <w:rsid w:val="003546A1"/>
    <w:rsid w:val="003550AB"/>
    <w:rsid w:val="003556E2"/>
    <w:rsid w:val="0035582C"/>
    <w:rsid w:val="00355A35"/>
    <w:rsid w:val="00355C9A"/>
    <w:rsid w:val="0035643C"/>
    <w:rsid w:val="00356793"/>
    <w:rsid w:val="00360019"/>
    <w:rsid w:val="00360ABA"/>
    <w:rsid w:val="0036113B"/>
    <w:rsid w:val="0036144C"/>
    <w:rsid w:val="00361681"/>
    <w:rsid w:val="003617EB"/>
    <w:rsid w:val="00362389"/>
    <w:rsid w:val="003623D4"/>
    <w:rsid w:val="00362FBF"/>
    <w:rsid w:val="00363543"/>
    <w:rsid w:val="0036387A"/>
    <w:rsid w:val="00363DD6"/>
    <w:rsid w:val="00364174"/>
    <w:rsid w:val="0036448A"/>
    <w:rsid w:val="00364C89"/>
    <w:rsid w:val="00364E58"/>
    <w:rsid w:val="00365160"/>
    <w:rsid w:val="00365D59"/>
    <w:rsid w:val="00366131"/>
    <w:rsid w:val="00366873"/>
    <w:rsid w:val="00366E52"/>
    <w:rsid w:val="0036758B"/>
    <w:rsid w:val="00367A59"/>
    <w:rsid w:val="00367A80"/>
    <w:rsid w:val="00367FB1"/>
    <w:rsid w:val="0037086C"/>
    <w:rsid w:val="00370981"/>
    <w:rsid w:val="00370A23"/>
    <w:rsid w:val="00370FF4"/>
    <w:rsid w:val="00371107"/>
    <w:rsid w:val="00371AD6"/>
    <w:rsid w:val="0037269E"/>
    <w:rsid w:val="00372867"/>
    <w:rsid w:val="00372D18"/>
    <w:rsid w:val="00372FAB"/>
    <w:rsid w:val="00373EB0"/>
    <w:rsid w:val="003741FA"/>
    <w:rsid w:val="003743CF"/>
    <w:rsid w:val="003744A4"/>
    <w:rsid w:val="003746D0"/>
    <w:rsid w:val="003749D0"/>
    <w:rsid w:val="00374BBE"/>
    <w:rsid w:val="00374D9A"/>
    <w:rsid w:val="00374F1F"/>
    <w:rsid w:val="00375866"/>
    <w:rsid w:val="0037619C"/>
    <w:rsid w:val="00376554"/>
    <w:rsid w:val="00376F86"/>
    <w:rsid w:val="003778B9"/>
    <w:rsid w:val="00380D45"/>
    <w:rsid w:val="003811BF"/>
    <w:rsid w:val="003814C4"/>
    <w:rsid w:val="003814DE"/>
    <w:rsid w:val="00381BE3"/>
    <w:rsid w:val="00381E19"/>
    <w:rsid w:val="0038208E"/>
    <w:rsid w:val="0038252C"/>
    <w:rsid w:val="00382966"/>
    <w:rsid w:val="00383BCC"/>
    <w:rsid w:val="00383BE5"/>
    <w:rsid w:val="00383CD3"/>
    <w:rsid w:val="00383E90"/>
    <w:rsid w:val="00385391"/>
    <w:rsid w:val="00385594"/>
    <w:rsid w:val="0038599A"/>
    <w:rsid w:val="00385BFB"/>
    <w:rsid w:val="00385C8F"/>
    <w:rsid w:val="00386056"/>
    <w:rsid w:val="003864D5"/>
    <w:rsid w:val="00386510"/>
    <w:rsid w:val="00386516"/>
    <w:rsid w:val="00386B36"/>
    <w:rsid w:val="00387255"/>
    <w:rsid w:val="00387743"/>
    <w:rsid w:val="003879E9"/>
    <w:rsid w:val="003900A2"/>
    <w:rsid w:val="003900A6"/>
    <w:rsid w:val="00391109"/>
    <w:rsid w:val="0039128F"/>
    <w:rsid w:val="0039249D"/>
    <w:rsid w:val="00392893"/>
    <w:rsid w:val="00392A68"/>
    <w:rsid w:val="00393178"/>
    <w:rsid w:val="003932B7"/>
    <w:rsid w:val="00393687"/>
    <w:rsid w:val="00393C36"/>
    <w:rsid w:val="00393C9C"/>
    <w:rsid w:val="00393FC3"/>
    <w:rsid w:val="00394066"/>
    <w:rsid w:val="003952C5"/>
    <w:rsid w:val="00395428"/>
    <w:rsid w:val="00395706"/>
    <w:rsid w:val="00395834"/>
    <w:rsid w:val="00396A34"/>
    <w:rsid w:val="0039707D"/>
    <w:rsid w:val="003972C4"/>
    <w:rsid w:val="00397544"/>
    <w:rsid w:val="00397DEF"/>
    <w:rsid w:val="003A0372"/>
    <w:rsid w:val="003A05D1"/>
    <w:rsid w:val="003A0BCD"/>
    <w:rsid w:val="003A0FF5"/>
    <w:rsid w:val="003A1014"/>
    <w:rsid w:val="003A11A8"/>
    <w:rsid w:val="003A14C4"/>
    <w:rsid w:val="003A2474"/>
    <w:rsid w:val="003A2B4F"/>
    <w:rsid w:val="003A2DB3"/>
    <w:rsid w:val="003A30CB"/>
    <w:rsid w:val="003A3B07"/>
    <w:rsid w:val="003A3C8E"/>
    <w:rsid w:val="003A3DF7"/>
    <w:rsid w:val="003A429B"/>
    <w:rsid w:val="003A4457"/>
    <w:rsid w:val="003A4979"/>
    <w:rsid w:val="003A4D79"/>
    <w:rsid w:val="003A4DF2"/>
    <w:rsid w:val="003A55A4"/>
    <w:rsid w:val="003A5A3D"/>
    <w:rsid w:val="003A5ADB"/>
    <w:rsid w:val="003A5B50"/>
    <w:rsid w:val="003A5B62"/>
    <w:rsid w:val="003A5E16"/>
    <w:rsid w:val="003A62DA"/>
    <w:rsid w:val="003A6656"/>
    <w:rsid w:val="003A6976"/>
    <w:rsid w:val="003A6F73"/>
    <w:rsid w:val="003A707A"/>
    <w:rsid w:val="003A75F5"/>
    <w:rsid w:val="003B10F7"/>
    <w:rsid w:val="003B1842"/>
    <w:rsid w:val="003B20C7"/>
    <w:rsid w:val="003B22E6"/>
    <w:rsid w:val="003B3249"/>
    <w:rsid w:val="003B3842"/>
    <w:rsid w:val="003B3AE0"/>
    <w:rsid w:val="003B3AFF"/>
    <w:rsid w:val="003B41F5"/>
    <w:rsid w:val="003B4ABB"/>
    <w:rsid w:val="003B4C4A"/>
    <w:rsid w:val="003B4ED1"/>
    <w:rsid w:val="003B5077"/>
    <w:rsid w:val="003B5A76"/>
    <w:rsid w:val="003B5DB1"/>
    <w:rsid w:val="003B5FE8"/>
    <w:rsid w:val="003B6040"/>
    <w:rsid w:val="003B6095"/>
    <w:rsid w:val="003B69AA"/>
    <w:rsid w:val="003B6F95"/>
    <w:rsid w:val="003B718C"/>
    <w:rsid w:val="003B7681"/>
    <w:rsid w:val="003B79B7"/>
    <w:rsid w:val="003B7E6D"/>
    <w:rsid w:val="003B7F5F"/>
    <w:rsid w:val="003C06B2"/>
    <w:rsid w:val="003C0E21"/>
    <w:rsid w:val="003C0E2E"/>
    <w:rsid w:val="003C0E81"/>
    <w:rsid w:val="003C19FE"/>
    <w:rsid w:val="003C1C0D"/>
    <w:rsid w:val="003C1ECE"/>
    <w:rsid w:val="003C2053"/>
    <w:rsid w:val="003C22AA"/>
    <w:rsid w:val="003C280D"/>
    <w:rsid w:val="003C2A6C"/>
    <w:rsid w:val="003C4840"/>
    <w:rsid w:val="003C48AC"/>
    <w:rsid w:val="003C4AB0"/>
    <w:rsid w:val="003C4B8A"/>
    <w:rsid w:val="003C4BD2"/>
    <w:rsid w:val="003C4CFC"/>
    <w:rsid w:val="003C5448"/>
    <w:rsid w:val="003C55FF"/>
    <w:rsid w:val="003C5E16"/>
    <w:rsid w:val="003C6463"/>
    <w:rsid w:val="003C6620"/>
    <w:rsid w:val="003C67C4"/>
    <w:rsid w:val="003C6C4A"/>
    <w:rsid w:val="003C6E63"/>
    <w:rsid w:val="003C74B7"/>
    <w:rsid w:val="003C7786"/>
    <w:rsid w:val="003C7881"/>
    <w:rsid w:val="003C7BDF"/>
    <w:rsid w:val="003C7D10"/>
    <w:rsid w:val="003D08B0"/>
    <w:rsid w:val="003D10AA"/>
    <w:rsid w:val="003D1626"/>
    <w:rsid w:val="003D1A8C"/>
    <w:rsid w:val="003D242E"/>
    <w:rsid w:val="003D26B3"/>
    <w:rsid w:val="003D27DA"/>
    <w:rsid w:val="003D2CCC"/>
    <w:rsid w:val="003D2E45"/>
    <w:rsid w:val="003D2F45"/>
    <w:rsid w:val="003D3FD7"/>
    <w:rsid w:val="003D43F9"/>
    <w:rsid w:val="003D4899"/>
    <w:rsid w:val="003D48BC"/>
    <w:rsid w:val="003D4940"/>
    <w:rsid w:val="003D4974"/>
    <w:rsid w:val="003D4A05"/>
    <w:rsid w:val="003D4D7A"/>
    <w:rsid w:val="003D5096"/>
    <w:rsid w:val="003D52FA"/>
    <w:rsid w:val="003D566F"/>
    <w:rsid w:val="003D5F03"/>
    <w:rsid w:val="003D604E"/>
    <w:rsid w:val="003D6092"/>
    <w:rsid w:val="003D63D2"/>
    <w:rsid w:val="003D6617"/>
    <w:rsid w:val="003D6A4C"/>
    <w:rsid w:val="003D6AB4"/>
    <w:rsid w:val="003D7040"/>
    <w:rsid w:val="003D71A3"/>
    <w:rsid w:val="003D7897"/>
    <w:rsid w:val="003D7A3D"/>
    <w:rsid w:val="003D7B88"/>
    <w:rsid w:val="003D7DBF"/>
    <w:rsid w:val="003D7DFE"/>
    <w:rsid w:val="003E0441"/>
    <w:rsid w:val="003E0B82"/>
    <w:rsid w:val="003E1442"/>
    <w:rsid w:val="003E2124"/>
    <w:rsid w:val="003E29A1"/>
    <w:rsid w:val="003E2AE8"/>
    <w:rsid w:val="003E2F88"/>
    <w:rsid w:val="003E32C5"/>
    <w:rsid w:val="003E37AD"/>
    <w:rsid w:val="003E39F3"/>
    <w:rsid w:val="003E3A59"/>
    <w:rsid w:val="003E4F00"/>
    <w:rsid w:val="003E50AD"/>
    <w:rsid w:val="003E523F"/>
    <w:rsid w:val="003E53A4"/>
    <w:rsid w:val="003E571C"/>
    <w:rsid w:val="003E58B1"/>
    <w:rsid w:val="003E5AA2"/>
    <w:rsid w:val="003E608D"/>
    <w:rsid w:val="003E63B6"/>
    <w:rsid w:val="003E72AB"/>
    <w:rsid w:val="003E7AD6"/>
    <w:rsid w:val="003E7E84"/>
    <w:rsid w:val="003F01FC"/>
    <w:rsid w:val="003F0242"/>
    <w:rsid w:val="003F076A"/>
    <w:rsid w:val="003F0815"/>
    <w:rsid w:val="003F0D1B"/>
    <w:rsid w:val="003F2923"/>
    <w:rsid w:val="003F2EA6"/>
    <w:rsid w:val="003F31C9"/>
    <w:rsid w:val="003F3D55"/>
    <w:rsid w:val="003F3E05"/>
    <w:rsid w:val="003F3EED"/>
    <w:rsid w:val="003F4430"/>
    <w:rsid w:val="003F45EF"/>
    <w:rsid w:val="003F5850"/>
    <w:rsid w:val="003F5A41"/>
    <w:rsid w:val="003F5CB1"/>
    <w:rsid w:val="003F5F21"/>
    <w:rsid w:val="003F5FD8"/>
    <w:rsid w:val="003F6244"/>
    <w:rsid w:val="003F6AA5"/>
    <w:rsid w:val="003F6C62"/>
    <w:rsid w:val="003F6D97"/>
    <w:rsid w:val="003F6F81"/>
    <w:rsid w:val="003F703B"/>
    <w:rsid w:val="003F70E9"/>
    <w:rsid w:val="003F71B6"/>
    <w:rsid w:val="003F735B"/>
    <w:rsid w:val="003F7565"/>
    <w:rsid w:val="00400173"/>
    <w:rsid w:val="00400375"/>
    <w:rsid w:val="0040079A"/>
    <w:rsid w:val="00400F09"/>
    <w:rsid w:val="004012BE"/>
    <w:rsid w:val="00401785"/>
    <w:rsid w:val="00401AB9"/>
    <w:rsid w:val="00401F0C"/>
    <w:rsid w:val="0040287A"/>
    <w:rsid w:val="00402943"/>
    <w:rsid w:val="004030E2"/>
    <w:rsid w:val="004037B2"/>
    <w:rsid w:val="00403D7B"/>
    <w:rsid w:val="004040CA"/>
    <w:rsid w:val="004041E0"/>
    <w:rsid w:val="00404917"/>
    <w:rsid w:val="00404DAB"/>
    <w:rsid w:val="004057CD"/>
    <w:rsid w:val="004068C2"/>
    <w:rsid w:val="0040778D"/>
    <w:rsid w:val="004078EE"/>
    <w:rsid w:val="00407C02"/>
    <w:rsid w:val="00407F3A"/>
    <w:rsid w:val="00410F96"/>
    <w:rsid w:val="0041151C"/>
    <w:rsid w:val="004115E8"/>
    <w:rsid w:val="00411A37"/>
    <w:rsid w:val="00411C2B"/>
    <w:rsid w:val="004129E7"/>
    <w:rsid w:val="00412B9B"/>
    <w:rsid w:val="0041337A"/>
    <w:rsid w:val="00413440"/>
    <w:rsid w:val="00413466"/>
    <w:rsid w:val="004137CA"/>
    <w:rsid w:val="00413B2B"/>
    <w:rsid w:val="00413D0F"/>
    <w:rsid w:val="00414702"/>
    <w:rsid w:val="00414A0B"/>
    <w:rsid w:val="00414B3B"/>
    <w:rsid w:val="00415469"/>
    <w:rsid w:val="004154DD"/>
    <w:rsid w:val="0041599F"/>
    <w:rsid w:val="00415B90"/>
    <w:rsid w:val="00415D25"/>
    <w:rsid w:val="0041605B"/>
    <w:rsid w:val="00417153"/>
    <w:rsid w:val="00417404"/>
    <w:rsid w:val="00417B6B"/>
    <w:rsid w:val="004204DB"/>
    <w:rsid w:val="00420859"/>
    <w:rsid w:val="00421359"/>
    <w:rsid w:val="00421416"/>
    <w:rsid w:val="00421862"/>
    <w:rsid w:val="0042197E"/>
    <w:rsid w:val="004227FB"/>
    <w:rsid w:val="00422E3E"/>
    <w:rsid w:val="00423456"/>
    <w:rsid w:val="00423503"/>
    <w:rsid w:val="004238BC"/>
    <w:rsid w:val="00423A5C"/>
    <w:rsid w:val="00424A74"/>
    <w:rsid w:val="00425929"/>
    <w:rsid w:val="00425A61"/>
    <w:rsid w:val="00425B1C"/>
    <w:rsid w:val="0042646B"/>
    <w:rsid w:val="0042687B"/>
    <w:rsid w:val="004302E1"/>
    <w:rsid w:val="004305F7"/>
    <w:rsid w:val="00430981"/>
    <w:rsid w:val="00430E98"/>
    <w:rsid w:val="0043143C"/>
    <w:rsid w:val="00431450"/>
    <w:rsid w:val="00431735"/>
    <w:rsid w:val="00431780"/>
    <w:rsid w:val="00431811"/>
    <w:rsid w:val="00431A25"/>
    <w:rsid w:val="00431E11"/>
    <w:rsid w:val="00431F15"/>
    <w:rsid w:val="00432860"/>
    <w:rsid w:val="00432883"/>
    <w:rsid w:val="00432D85"/>
    <w:rsid w:val="00432E2E"/>
    <w:rsid w:val="00433492"/>
    <w:rsid w:val="00433693"/>
    <w:rsid w:val="00434002"/>
    <w:rsid w:val="0043415B"/>
    <w:rsid w:val="00436895"/>
    <w:rsid w:val="00436E59"/>
    <w:rsid w:val="004373A3"/>
    <w:rsid w:val="00437650"/>
    <w:rsid w:val="004378EC"/>
    <w:rsid w:val="00437F8A"/>
    <w:rsid w:val="00440846"/>
    <w:rsid w:val="00440BD2"/>
    <w:rsid w:val="00440D1F"/>
    <w:rsid w:val="0044153D"/>
    <w:rsid w:val="004418C5"/>
    <w:rsid w:val="00441975"/>
    <w:rsid w:val="00441A59"/>
    <w:rsid w:val="00441B35"/>
    <w:rsid w:val="00441DB1"/>
    <w:rsid w:val="0044227B"/>
    <w:rsid w:val="0044256B"/>
    <w:rsid w:val="00442EB5"/>
    <w:rsid w:val="00443EF3"/>
    <w:rsid w:val="00444CF7"/>
    <w:rsid w:val="00444F04"/>
    <w:rsid w:val="0044512A"/>
    <w:rsid w:val="00445537"/>
    <w:rsid w:val="00445930"/>
    <w:rsid w:val="0044621B"/>
    <w:rsid w:val="004462B7"/>
    <w:rsid w:val="00446B65"/>
    <w:rsid w:val="00447EB3"/>
    <w:rsid w:val="00447F24"/>
    <w:rsid w:val="00447F73"/>
    <w:rsid w:val="00447FED"/>
    <w:rsid w:val="00450490"/>
    <w:rsid w:val="0045081F"/>
    <w:rsid w:val="00450895"/>
    <w:rsid w:val="00450AC3"/>
    <w:rsid w:val="00450B13"/>
    <w:rsid w:val="00451212"/>
    <w:rsid w:val="0045221C"/>
    <w:rsid w:val="004523A4"/>
    <w:rsid w:val="00452A0C"/>
    <w:rsid w:val="00452C45"/>
    <w:rsid w:val="00453147"/>
    <w:rsid w:val="00453365"/>
    <w:rsid w:val="00453C62"/>
    <w:rsid w:val="00453C6F"/>
    <w:rsid w:val="00454154"/>
    <w:rsid w:val="00455073"/>
    <w:rsid w:val="00455301"/>
    <w:rsid w:val="00455DBC"/>
    <w:rsid w:val="0045635B"/>
    <w:rsid w:val="00456DE7"/>
    <w:rsid w:val="00457093"/>
    <w:rsid w:val="004572EE"/>
    <w:rsid w:val="00457A6F"/>
    <w:rsid w:val="00460880"/>
    <w:rsid w:val="004608B7"/>
    <w:rsid w:val="00460EF2"/>
    <w:rsid w:val="00460FB5"/>
    <w:rsid w:val="004613E8"/>
    <w:rsid w:val="00461EC9"/>
    <w:rsid w:val="00462013"/>
    <w:rsid w:val="00462154"/>
    <w:rsid w:val="004623B2"/>
    <w:rsid w:val="004631AC"/>
    <w:rsid w:val="0046349A"/>
    <w:rsid w:val="00463A80"/>
    <w:rsid w:val="00463FDE"/>
    <w:rsid w:val="004643A9"/>
    <w:rsid w:val="00464510"/>
    <w:rsid w:val="0046485C"/>
    <w:rsid w:val="004648F2"/>
    <w:rsid w:val="00464E4B"/>
    <w:rsid w:val="00464F05"/>
    <w:rsid w:val="004652FB"/>
    <w:rsid w:val="00466532"/>
    <w:rsid w:val="004669DA"/>
    <w:rsid w:val="00467401"/>
    <w:rsid w:val="00467BD0"/>
    <w:rsid w:val="00467D6A"/>
    <w:rsid w:val="00467FE4"/>
    <w:rsid w:val="0047011A"/>
    <w:rsid w:val="00470573"/>
    <w:rsid w:val="0047058A"/>
    <w:rsid w:val="004708AF"/>
    <w:rsid w:val="00471143"/>
    <w:rsid w:val="00471AA1"/>
    <w:rsid w:val="00471CB4"/>
    <w:rsid w:val="00471D78"/>
    <w:rsid w:val="00471D8A"/>
    <w:rsid w:val="00471DE2"/>
    <w:rsid w:val="00471F8D"/>
    <w:rsid w:val="00472138"/>
    <w:rsid w:val="00472148"/>
    <w:rsid w:val="00472220"/>
    <w:rsid w:val="004723DF"/>
    <w:rsid w:val="004727E4"/>
    <w:rsid w:val="00473A7D"/>
    <w:rsid w:val="00473AA2"/>
    <w:rsid w:val="0047457D"/>
    <w:rsid w:val="00474985"/>
    <w:rsid w:val="00474E64"/>
    <w:rsid w:val="00474FE3"/>
    <w:rsid w:val="00475881"/>
    <w:rsid w:val="00476C81"/>
    <w:rsid w:val="004774DD"/>
    <w:rsid w:val="00480007"/>
    <w:rsid w:val="00480C39"/>
    <w:rsid w:val="00480C71"/>
    <w:rsid w:val="00481114"/>
    <w:rsid w:val="00481442"/>
    <w:rsid w:val="0048153D"/>
    <w:rsid w:val="00481ACF"/>
    <w:rsid w:val="00481C83"/>
    <w:rsid w:val="00482189"/>
    <w:rsid w:val="00482318"/>
    <w:rsid w:val="0048259E"/>
    <w:rsid w:val="004829F0"/>
    <w:rsid w:val="004829FD"/>
    <w:rsid w:val="00482A1A"/>
    <w:rsid w:val="00483205"/>
    <w:rsid w:val="0048327E"/>
    <w:rsid w:val="00483947"/>
    <w:rsid w:val="004839D2"/>
    <w:rsid w:val="00483AB0"/>
    <w:rsid w:val="00483C52"/>
    <w:rsid w:val="00483CC3"/>
    <w:rsid w:val="00484103"/>
    <w:rsid w:val="0048458C"/>
    <w:rsid w:val="00484AB6"/>
    <w:rsid w:val="0048507C"/>
    <w:rsid w:val="00485354"/>
    <w:rsid w:val="00485841"/>
    <w:rsid w:val="00485889"/>
    <w:rsid w:val="00485BFD"/>
    <w:rsid w:val="00485CC8"/>
    <w:rsid w:val="0048688D"/>
    <w:rsid w:val="00486C3E"/>
    <w:rsid w:val="00486C77"/>
    <w:rsid w:val="00487844"/>
    <w:rsid w:val="0048798F"/>
    <w:rsid w:val="00487CBD"/>
    <w:rsid w:val="004902D9"/>
    <w:rsid w:val="004905FE"/>
    <w:rsid w:val="00490709"/>
    <w:rsid w:val="00490D3F"/>
    <w:rsid w:val="0049149F"/>
    <w:rsid w:val="004916B0"/>
    <w:rsid w:val="00491D03"/>
    <w:rsid w:val="00491E66"/>
    <w:rsid w:val="00491FB4"/>
    <w:rsid w:val="0049279B"/>
    <w:rsid w:val="004927D1"/>
    <w:rsid w:val="00492DD7"/>
    <w:rsid w:val="00493069"/>
    <w:rsid w:val="00494587"/>
    <w:rsid w:val="0049479D"/>
    <w:rsid w:val="00494896"/>
    <w:rsid w:val="004948CF"/>
    <w:rsid w:val="004953F4"/>
    <w:rsid w:val="004954B6"/>
    <w:rsid w:val="004954D8"/>
    <w:rsid w:val="0049596D"/>
    <w:rsid w:val="004959FE"/>
    <w:rsid w:val="00495F87"/>
    <w:rsid w:val="0049609D"/>
    <w:rsid w:val="00496245"/>
    <w:rsid w:val="004968CA"/>
    <w:rsid w:val="00496C3B"/>
    <w:rsid w:val="00496E9C"/>
    <w:rsid w:val="00497129"/>
    <w:rsid w:val="00497353"/>
    <w:rsid w:val="00497A7F"/>
    <w:rsid w:val="00497BEC"/>
    <w:rsid w:val="004A01D2"/>
    <w:rsid w:val="004A0AB6"/>
    <w:rsid w:val="004A0C69"/>
    <w:rsid w:val="004A0E0B"/>
    <w:rsid w:val="004A128C"/>
    <w:rsid w:val="004A12AB"/>
    <w:rsid w:val="004A12F0"/>
    <w:rsid w:val="004A15DA"/>
    <w:rsid w:val="004A1731"/>
    <w:rsid w:val="004A2919"/>
    <w:rsid w:val="004A292D"/>
    <w:rsid w:val="004A2AE6"/>
    <w:rsid w:val="004A3B57"/>
    <w:rsid w:val="004A3B8B"/>
    <w:rsid w:val="004A3EB5"/>
    <w:rsid w:val="004A3FCA"/>
    <w:rsid w:val="004A4448"/>
    <w:rsid w:val="004A49F5"/>
    <w:rsid w:val="004A4A20"/>
    <w:rsid w:val="004A4C11"/>
    <w:rsid w:val="004A4F04"/>
    <w:rsid w:val="004A5444"/>
    <w:rsid w:val="004A5D43"/>
    <w:rsid w:val="004A6A9C"/>
    <w:rsid w:val="004A6ACA"/>
    <w:rsid w:val="004A72C7"/>
    <w:rsid w:val="004A74B5"/>
    <w:rsid w:val="004A7F8B"/>
    <w:rsid w:val="004B0C32"/>
    <w:rsid w:val="004B114B"/>
    <w:rsid w:val="004B1EF8"/>
    <w:rsid w:val="004B2064"/>
    <w:rsid w:val="004B20E8"/>
    <w:rsid w:val="004B21B9"/>
    <w:rsid w:val="004B240A"/>
    <w:rsid w:val="004B2534"/>
    <w:rsid w:val="004B29CB"/>
    <w:rsid w:val="004B29EC"/>
    <w:rsid w:val="004B2E98"/>
    <w:rsid w:val="004B34DE"/>
    <w:rsid w:val="004B35D8"/>
    <w:rsid w:val="004B3675"/>
    <w:rsid w:val="004B3EAA"/>
    <w:rsid w:val="004B46BA"/>
    <w:rsid w:val="004B5033"/>
    <w:rsid w:val="004B568C"/>
    <w:rsid w:val="004B5B61"/>
    <w:rsid w:val="004B5D09"/>
    <w:rsid w:val="004B69D1"/>
    <w:rsid w:val="004B6F7A"/>
    <w:rsid w:val="004B70A8"/>
    <w:rsid w:val="004B7686"/>
    <w:rsid w:val="004B7A5C"/>
    <w:rsid w:val="004B7A74"/>
    <w:rsid w:val="004B7B45"/>
    <w:rsid w:val="004C0F86"/>
    <w:rsid w:val="004C12C5"/>
    <w:rsid w:val="004C1697"/>
    <w:rsid w:val="004C1A21"/>
    <w:rsid w:val="004C22F7"/>
    <w:rsid w:val="004C2422"/>
    <w:rsid w:val="004C24C5"/>
    <w:rsid w:val="004C2AEE"/>
    <w:rsid w:val="004C2D93"/>
    <w:rsid w:val="004C3277"/>
    <w:rsid w:val="004C337D"/>
    <w:rsid w:val="004C34CB"/>
    <w:rsid w:val="004C3D59"/>
    <w:rsid w:val="004C58BF"/>
    <w:rsid w:val="004C5BE6"/>
    <w:rsid w:val="004C6178"/>
    <w:rsid w:val="004C6CC2"/>
    <w:rsid w:val="004C6F01"/>
    <w:rsid w:val="004C7399"/>
    <w:rsid w:val="004C73EC"/>
    <w:rsid w:val="004C745B"/>
    <w:rsid w:val="004C77AB"/>
    <w:rsid w:val="004C7A85"/>
    <w:rsid w:val="004C7DED"/>
    <w:rsid w:val="004D0127"/>
    <w:rsid w:val="004D0439"/>
    <w:rsid w:val="004D0F40"/>
    <w:rsid w:val="004D11EE"/>
    <w:rsid w:val="004D169F"/>
    <w:rsid w:val="004D1E3C"/>
    <w:rsid w:val="004D2753"/>
    <w:rsid w:val="004D29E7"/>
    <w:rsid w:val="004D2D70"/>
    <w:rsid w:val="004D33AD"/>
    <w:rsid w:val="004D386A"/>
    <w:rsid w:val="004D3DE1"/>
    <w:rsid w:val="004D3E7B"/>
    <w:rsid w:val="004D461D"/>
    <w:rsid w:val="004D49AC"/>
    <w:rsid w:val="004D55F6"/>
    <w:rsid w:val="004D5A78"/>
    <w:rsid w:val="004D5CE7"/>
    <w:rsid w:val="004D69B6"/>
    <w:rsid w:val="004D7613"/>
    <w:rsid w:val="004D7B4B"/>
    <w:rsid w:val="004E06D4"/>
    <w:rsid w:val="004E1116"/>
    <w:rsid w:val="004E11BF"/>
    <w:rsid w:val="004E1414"/>
    <w:rsid w:val="004E1690"/>
    <w:rsid w:val="004E199C"/>
    <w:rsid w:val="004E1BE7"/>
    <w:rsid w:val="004E1C78"/>
    <w:rsid w:val="004E2165"/>
    <w:rsid w:val="004E2589"/>
    <w:rsid w:val="004E259A"/>
    <w:rsid w:val="004E26D2"/>
    <w:rsid w:val="004E2AC1"/>
    <w:rsid w:val="004E2CF2"/>
    <w:rsid w:val="004E34A9"/>
    <w:rsid w:val="004E376C"/>
    <w:rsid w:val="004E3850"/>
    <w:rsid w:val="004E3863"/>
    <w:rsid w:val="004E3896"/>
    <w:rsid w:val="004E38D7"/>
    <w:rsid w:val="004E38E8"/>
    <w:rsid w:val="004E3ADC"/>
    <w:rsid w:val="004E47EF"/>
    <w:rsid w:val="004E4D87"/>
    <w:rsid w:val="004E579C"/>
    <w:rsid w:val="004E5ADE"/>
    <w:rsid w:val="004E5CCD"/>
    <w:rsid w:val="004E628E"/>
    <w:rsid w:val="004E6577"/>
    <w:rsid w:val="004E6673"/>
    <w:rsid w:val="004E66D8"/>
    <w:rsid w:val="004E6FCE"/>
    <w:rsid w:val="004E70EB"/>
    <w:rsid w:val="004E711F"/>
    <w:rsid w:val="004E7689"/>
    <w:rsid w:val="004E7B36"/>
    <w:rsid w:val="004F1FDF"/>
    <w:rsid w:val="004F2116"/>
    <w:rsid w:val="004F2AF0"/>
    <w:rsid w:val="004F3156"/>
    <w:rsid w:val="004F32D6"/>
    <w:rsid w:val="004F3548"/>
    <w:rsid w:val="004F371E"/>
    <w:rsid w:val="004F3DAD"/>
    <w:rsid w:val="004F42B4"/>
    <w:rsid w:val="004F4431"/>
    <w:rsid w:val="004F4834"/>
    <w:rsid w:val="004F4975"/>
    <w:rsid w:val="004F4A60"/>
    <w:rsid w:val="004F4D57"/>
    <w:rsid w:val="004F52B5"/>
    <w:rsid w:val="004F55E2"/>
    <w:rsid w:val="004F75E4"/>
    <w:rsid w:val="004F7DB4"/>
    <w:rsid w:val="005009C5"/>
    <w:rsid w:val="00500C86"/>
    <w:rsid w:val="00501CC8"/>
    <w:rsid w:val="00501E33"/>
    <w:rsid w:val="00501F2D"/>
    <w:rsid w:val="00502D3B"/>
    <w:rsid w:val="00503692"/>
    <w:rsid w:val="00504244"/>
    <w:rsid w:val="0050463C"/>
    <w:rsid w:val="005049AD"/>
    <w:rsid w:val="00504AB7"/>
    <w:rsid w:val="00504F8E"/>
    <w:rsid w:val="0050557C"/>
    <w:rsid w:val="0050563C"/>
    <w:rsid w:val="0050691C"/>
    <w:rsid w:val="00506FE0"/>
    <w:rsid w:val="0050763F"/>
    <w:rsid w:val="005078BA"/>
    <w:rsid w:val="00510721"/>
    <w:rsid w:val="00511C3E"/>
    <w:rsid w:val="00512819"/>
    <w:rsid w:val="0051295A"/>
    <w:rsid w:val="00512BD0"/>
    <w:rsid w:val="00512F03"/>
    <w:rsid w:val="00512FDB"/>
    <w:rsid w:val="00513356"/>
    <w:rsid w:val="0051354C"/>
    <w:rsid w:val="005137D8"/>
    <w:rsid w:val="00513937"/>
    <w:rsid w:val="00513A54"/>
    <w:rsid w:val="005140EA"/>
    <w:rsid w:val="005149E6"/>
    <w:rsid w:val="00514A8C"/>
    <w:rsid w:val="00514B14"/>
    <w:rsid w:val="00514B36"/>
    <w:rsid w:val="00514DBC"/>
    <w:rsid w:val="00515116"/>
    <w:rsid w:val="00515751"/>
    <w:rsid w:val="00516B65"/>
    <w:rsid w:val="00516DD8"/>
    <w:rsid w:val="00516E9F"/>
    <w:rsid w:val="00517079"/>
    <w:rsid w:val="005208FF"/>
    <w:rsid w:val="00520D38"/>
    <w:rsid w:val="00522573"/>
    <w:rsid w:val="00522609"/>
    <w:rsid w:val="005226FB"/>
    <w:rsid w:val="005228A3"/>
    <w:rsid w:val="005229AC"/>
    <w:rsid w:val="00522A58"/>
    <w:rsid w:val="00522FD9"/>
    <w:rsid w:val="00523448"/>
    <w:rsid w:val="00523653"/>
    <w:rsid w:val="00523793"/>
    <w:rsid w:val="00523BF9"/>
    <w:rsid w:val="00523EE9"/>
    <w:rsid w:val="0052450A"/>
    <w:rsid w:val="005249B1"/>
    <w:rsid w:val="00524BB9"/>
    <w:rsid w:val="005251D4"/>
    <w:rsid w:val="00525519"/>
    <w:rsid w:val="005257FE"/>
    <w:rsid w:val="005259A2"/>
    <w:rsid w:val="00525B7B"/>
    <w:rsid w:val="00525F66"/>
    <w:rsid w:val="00526444"/>
    <w:rsid w:val="00526C78"/>
    <w:rsid w:val="00527C1D"/>
    <w:rsid w:val="00530253"/>
    <w:rsid w:val="005310FB"/>
    <w:rsid w:val="00531448"/>
    <w:rsid w:val="0053149F"/>
    <w:rsid w:val="00531537"/>
    <w:rsid w:val="0053192B"/>
    <w:rsid w:val="00531ACC"/>
    <w:rsid w:val="00531FD9"/>
    <w:rsid w:val="0053227E"/>
    <w:rsid w:val="005329BE"/>
    <w:rsid w:val="00532C94"/>
    <w:rsid w:val="005330B9"/>
    <w:rsid w:val="0053377E"/>
    <w:rsid w:val="00533A9B"/>
    <w:rsid w:val="0053495A"/>
    <w:rsid w:val="00535123"/>
    <w:rsid w:val="0053578C"/>
    <w:rsid w:val="0053582F"/>
    <w:rsid w:val="00535A9C"/>
    <w:rsid w:val="00535C7D"/>
    <w:rsid w:val="00536792"/>
    <w:rsid w:val="00536A99"/>
    <w:rsid w:val="00536D03"/>
    <w:rsid w:val="00536DEB"/>
    <w:rsid w:val="0053706B"/>
    <w:rsid w:val="00537246"/>
    <w:rsid w:val="00537972"/>
    <w:rsid w:val="00540110"/>
    <w:rsid w:val="0054018C"/>
    <w:rsid w:val="005402CB"/>
    <w:rsid w:val="00540ACA"/>
    <w:rsid w:val="00540E1F"/>
    <w:rsid w:val="00540FD5"/>
    <w:rsid w:val="00541594"/>
    <w:rsid w:val="00541720"/>
    <w:rsid w:val="00542120"/>
    <w:rsid w:val="00542AD5"/>
    <w:rsid w:val="00542D73"/>
    <w:rsid w:val="00542D7F"/>
    <w:rsid w:val="00543236"/>
    <w:rsid w:val="00543834"/>
    <w:rsid w:val="00543FAA"/>
    <w:rsid w:val="00544756"/>
    <w:rsid w:val="005447B5"/>
    <w:rsid w:val="0054501B"/>
    <w:rsid w:val="00545BD2"/>
    <w:rsid w:val="00546323"/>
    <w:rsid w:val="00546433"/>
    <w:rsid w:val="00547168"/>
    <w:rsid w:val="0054732D"/>
    <w:rsid w:val="0054789A"/>
    <w:rsid w:val="00547DC2"/>
    <w:rsid w:val="00550A15"/>
    <w:rsid w:val="005517F7"/>
    <w:rsid w:val="00551AB8"/>
    <w:rsid w:val="00552376"/>
    <w:rsid w:val="0055283D"/>
    <w:rsid w:val="00552891"/>
    <w:rsid w:val="005528E6"/>
    <w:rsid w:val="005529FA"/>
    <w:rsid w:val="00552FB9"/>
    <w:rsid w:val="005530A1"/>
    <w:rsid w:val="0055319B"/>
    <w:rsid w:val="005534EE"/>
    <w:rsid w:val="00553DBE"/>
    <w:rsid w:val="00554187"/>
    <w:rsid w:val="005542E0"/>
    <w:rsid w:val="0055587B"/>
    <w:rsid w:val="00555B24"/>
    <w:rsid w:val="00555B62"/>
    <w:rsid w:val="00555DF7"/>
    <w:rsid w:val="00555F87"/>
    <w:rsid w:val="00556013"/>
    <w:rsid w:val="005560A0"/>
    <w:rsid w:val="00556DF7"/>
    <w:rsid w:val="00557016"/>
    <w:rsid w:val="0055748D"/>
    <w:rsid w:val="00557774"/>
    <w:rsid w:val="00557B6F"/>
    <w:rsid w:val="00557BA3"/>
    <w:rsid w:val="00560527"/>
    <w:rsid w:val="00560882"/>
    <w:rsid w:val="00560928"/>
    <w:rsid w:val="005609A2"/>
    <w:rsid w:val="00561320"/>
    <w:rsid w:val="00561A61"/>
    <w:rsid w:val="00561C30"/>
    <w:rsid w:val="00562026"/>
    <w:rsid w:val="00562478"/>
    <w:rsid w:val="00562F1F"/>
    <w:rsid w:val="005630B4"/>
    <w:rsid w:val="0056311C"/>
    <w:rsid w:val="0056371D"/>
    <w:rsid w:val="005638F0"/>
    <w:rsid w:val="00563C15"/>
    <w:rsid w:val="00563C59"/>
    <w:rsid w:val="0056402C"/>
    <w:rsid w:val="0056418F"/>
    <w:rsid w:val="00564322"/>
    <w:rsid w:val="005645E6"/>
    <w:rsid w:val="00564DBC"/>
    <w:rsid w:val="00564E23"/>
    <w:rsid w:val="0056552F"/>
    <w:rsid w:val="00565623"/>
    <w:rsid w:val="00565F1C"/>
    <w:rsid w:val="005660B7"/>
    <w:rsid w:val="00566662"/>
    <w:rsid w:val="00566914"/>
    <w:rsid w:val="00566B10"/>
    <w:rsid w:val="00566CD4"/>
    <w:rsid w:val="00566F81"/>
    <w:rsid w:val="00567166"/>
    <w:rsid w:val="00567D13"/>
    <w:rsid w:val="00567DB3"/>
    <w:rsid w:val="00570541"/>
    <w:rsid w:val="00571D8D"/>
    <w:rsid w:val="00572D6C"/>
    <w:rsid w:val="00573075"/>
    <w:rsid w:val="0057327D"/>
    <w:rsid w:val="00573AC4"/>
    <w:rsid w:val="00573EC0"/>
    <w:rsid w:val="005748C0"/>
    <w:rsid w:val="00574DBA"/>
    <w:rsid w:val="005750DF"/>
    <w:rsid w:val="00575129"/>
    <w:rsid w:val="00575217"/>
    <w:rsid w:val="00575BBC"/>
    <w:rsid w:val="00576728"/>
    <w:rsid w:val="00576E68"/>
    <w:rsid w:val="00576EF4"/>
    <w:rsid w:val="00577174"/>
    <w:rsid w:val="0057717A"/>
    <w:rsid w:val="00577535"/>
    <w:rsid w:val="005775F6"/>
    <w:rsid w:val="00577C34"/>
    <w:rsid w:val="005809E0"/>
    <w:rsid w:val="00580BCE"/>
    <w:rsid w:val="005810B5"/>
    <w:rsid w:val="00581604"/>
    <w:rsid w:val="0058211C"/>
    <w:rsid w:val="00582148"/>
    <w:rsid w:val="00582951"/>
    <w:rsid w:val="00582A35"/>
    <w:rsid w:val="0058302D"/>
    <w:rsid w:val="005831B5"/>
    <w:rsid w:val="00583794"/>
    <w:rsid w:val="00583982"/>
    <w:rsid w:val="005839E4"/>
    <w:rsid w:val="00583ABE"/>
    <w:rsid w:val="00583D47"/>
    <w:rsid w:val="005840D4"/>
    <w:rsid w:val="0058418F"/>
    <w:rsid w:val="005847D6"/>
    <w:rsid w:val="00584F93"/>
    <w:rsid w:val="0058516B"/>
    <w:rsid w:val="00585449"/>
    <w:rsid w:val="00585695"/>
    <w:rsid w:val="0058657F"/>
    <w:rsid w:val="00586691"/>
    <w:rsid w:val="005867FE"/>
    <w:rsid w:val="005875A1"/>
    <w:rsid w:val="005878AA"/>
    <w:rsid w:val="00587FFA"/>
    <w:rsid w:val="00590317"/>
    <w:rsid w:val="005904BB"/>
    <w:rsid w:val="00590AFB"/>
    <w:rsid w:val="005916BB"/>
    <w:rsid w:val="00591A48"/>
    <w:rsid w:val="00591C4B"/>
    <w:rsid w:val="00591E0F"/>
    <w:rsid w:val="0059203E"/>
    <w:rsid w:val="00592666"/>
    <w:rsid w:val="0059294C"/>
    <w:rsid w:val="005933FD"/>
    <w:rsid w:val="0059381F"/>
    <w:rsid w:val="0059408B"/>
    <w:rsid w:val="00594357"/>
    <w:rsid w:val="00594DA6"/>
    <w:rsid w:val="00594DBC"/>
    <w:rsid w:val="00594E1A"/>
    <w:rsid w:val="0059512F"/>
    <w:rsid w:val="005958C1"/>
    <w:rsid w:val="00595CBC"/>
    <w:rsid w:val="00596374"/>
    <w:rsid w:val="0059689A"/>
    <w:rsid w:val="00596EB9"/>
    <w:rsid w:val="00596FA9"/>
    <w:rsid w:val="00597215"/>
    <w:rsid w:val="00597868"/>
    <w:rsid w:val="005A05CA"/>
    <w:rsid w:val="005A08C2"/>
    <w:rsid w:val="005A0FAE"/>
    <w:rsid w:val="005A1130"/>
    <w:rsid w:val="005A128C"/>
    <w:rsid w:val="005A2562"/>
    <w:rsid w:val="005A264A"/>
    <w:rsid w:val="005A2D18"/>
    <w:rsid w:val="005A47CC"/>
    <w:rsid w:val="005A483E"/>
    <w:rsid w:val="005A49D6"/>
    <w:rsid w:val="005A5117"/>
    <w:rsid w:val="005A5994"/>
    <w:rsid w:val="005A6056"/>
    <w:rsid w:val="005A622F"/>
    <w:rsid w:val="005A66A6"/>
    <w:rsid w:val="005A7652"/>
    <w:rsid w:val="005A799B"/>
    <w:rsid w:val="005A7A17"/>
    <w:rsid w:val="005B0829"/>
    <w:rsid w:val="005B0CDC"/>
    <w:rsid w:val="005B1390"/>
    <w:rsid w:val="005B1855"/>
    <w:rsid w:val="005B1E08"/>
    <w:rsid w:val="005B1EB7"/>
    <w:rsid w:val="005B219D"/>
    <w:rsid w:val="005B221D"/>
    <w:rsid w:val="005B2924"/>
    <w:rsid w:val="005B2C3B"/>
    <w:rsid w:val="005B31AA"/>
    <w:rsid w:val="005B31EC"/>
    <w:rsid w:val="005B3295"/>
    <w:rsid w:val="005B3E6E"/>
    <w:rsid w:val="005B4327"/>
    <w:rsid w:val="005B4937"/>
    <w:rsid w:val="005B4EBF"/>
    <w:rsid w:val="005B53A9"/>
    <w:rsid w:val="005B542C"/>
    <w:rsid w:val="005B5522"/>
    <w:rsid w:val="005B5F7D"/>
    <w:rsid w:val="005B5FE0"/>
    <w:rsid w:val="005B6303"/>
    <w:rsid w:val="005B644F"/>
    <w:rsid w:val="005B65F3"/>
    <w:rsid w:val="005B6F8D"/>
    <w:rsid w:val="005B7511"/>
    <w:rsid w:val="005B757A"/>
    <w:rsid w:val="005B7584"/>
    <w:rsid w:val="005B7BEB"/>
    <w:rsid w:val="005C0B69"/>
    <w:rsid w:val="005C0D16"/>
    <w:rsid w:val="005C0D45"/>
    <w:rsid w:val="005C0F59"/>
    <w:rsid w:val="005C1300"/>
    <w:rsid w:val="005C1351"/>
    <w:rsid w:val="005C1F35"/>
    <w:rsid w:val="005C280A"/>
    <w:rsid w:val="005C2E06"/>
    <w:rsid w:val="005C33D8"/>
    <w:rsid w:val="005C3661"/>
    <w:rsid w:val="005C4397"/>
    <w:rsid w:val="005C5711"/>
    <w:rsid w:val="005C584A"/>
    <w:rsid w:val="005C69B9"/>
    <w:rsid w:val="005C6CC4"/>
    <w:rsid w:val="005C6F49"/>
    <w:rsid w:val="005C707C"/>
    <w:rsid w:val="005C7BC3"/>
    <w:rsid w:val="005D060B"/>
    <w:rsid w:val="005D0856"/>
    <w:rsid w:val="005D0C9D"/>
    <w:rsid w:val="005D147F"/>
    <w:rsid w:val="005D17A0"/>
    <w:rsid w:val="005D1E92"/>
    <w:rsid w:val="005D2169"/>
    <w:rsid w:val="005D218F"/>
    <w:rsid w:val="005D30F8"/>
    <w:rsid w:val="005D323C"/>
    <w:rsid w:val="005D34E8"/>
    <w:rsid w:val="005D359A"/>
    <w:rsid w:val="005D3877"/>
    <w:rsid w:val="005D3AFF"/>
    <w:rsid w:val="005D41FE"/>
    <w:rsid w:val="005D4A52"/>
    <w:rsid w:val="005D5864"/>
    <w:rsid w:val="005D5CA9"/>
    <w:rsid w:val="005D5E1B"/>
    <w:rsid w:val="005D5EBE"/>
    <w:rsid w:val="005D600C"/>
    <w:rsid w:val="005D6890"/>
    <w:rsid w:val="005D68D4"/>
    <w:rsid w:val="005D7ECD"/>
    <w:rsid w:val="005E0A9C"/>
    <w:rsid w:val="005E0D6A"/>
    <w:rsid w:val="005E1282"/>
    <w:rsid w:val="005E19BE"/>
    <w:rsid w:val="005E1E75"/>
    <w:rsid w:val="005E23A8"/>
    <w:rsid w:val="005E24F1"/>
    <w:rsid w:val="005E2619"/>
    <w:rsid w:val="005E271F"/>
    <w:rsid w:val="005E3019"/>
    <w:rsid w:val="005E3319"/>
    <w:rsid w:val="005E3C9B"/>
    <w:rsid w:val="005E3D9C"/>
    <w:rsid w:val="005E485A"/>
    <w:rsid w:val="005E4A64"/>
    <w:rsid w:val="005E5285"/>
    <w:rsid w:val="005E58AB"/>
    <w:rsid w:val="005E5DFC"/>
    <w:rsid w:val="005E604F"/>
    <w:rsid w:val="005E630C"/>
    <w:rsid w:val="005E641B"/>
    <w:rsid w:val="005E6782"/>
    <w:rsid w:val="005E68D0"/>
    <w:rsid w:val="005E6F6F"/>
    <w:rsid w:val="005E72E3"/>
    <w:rsid w:val="005E76BA"/>
    <w:rsid w:val="005E79AF"/>
    <w:rsid w:val="005E7BC1"/>
    <w:rsid w:val="005F1450"/>
    <w:rsid w:val="005F15D0"/>
    <w:rsid w:val="005F2BF8"/>
    <w:rsid w:val="005F2C85"/>
    <w:rsid w:val="005F2F15"/>
    <w:rsid w:val="005F2F80"/>
    <w:rsid w:val="005F3594"/>
    <w:rsid w:val="005F36B7"/>
    <w:rsid w:val="005F382A"/>
    <w:rsid w:val="005F3D71"/>
    <w:rsid w:val="005F3E99"/>
    <w:rsid w:val="005F4E4E"/>
    <w:rsid w:val="005F4EA2"/>
    <w:rsid w:val="005F4FDF"/>
    <w:rsid w:val="005F6402"/>
    <w:rsid w:val="005F655C"/>
    <w:rsid w:val="005F6978"/>
    <w:rsid w:val="005F6BB4"/>
    <w:rsid w:val="005F78C0"/>
    <w:rsid w:val="005F7909"/>
    <w:rsid w:val="005F7B20"/>
    <w:rsid w:val="005F7DBA"/>
    <w:rsid w:val="005F7E92"/>
    <w:rsid w:val="0060085F"/>
    <w:rsid w:val="00600F16"/>
    <w:rsid w:val="006010A9"/>
    <w:rsid w:val="006013AF"/>
    <w:rsid w:val="0060147E"/>
    <w:rsid w:val="006018BB"/>
    <w:rsid w:val="0060271D"/>
    <w:rsid w:val="00602B77"/>
    <w:rsid w:val="00603429"/>
    <w:rsid w:val="0060353D"/>
    <w:rsid w:val="006038AE"/>
    <w:rsid w:val="00603FEA"/>
    <w:rsid w:val="00604135"/>
    <w:rsid w:val="0060469F"/>
    <w:rsid w:val="006047FE"/>
    <w:rsid w:val="00604E21"/>
    <w:rsid w:val="00605142"/>
    <w:rsid w:val="00605299"/>
    <w:rsid w:val="00605980"/>
    <w:rsid w:val="00605A58"/>
    <w:rsid w:val="00605B4A"/>
    <w:rsid w:val="00605DD4"/>
    <w:rsid w:val="00606089"/>
    <w:rsid w:val="00606854"/>
    <w:rsid w:val="0060728F"/>
    <w:rsid w:val="0060798A"/>
    <w:rsid w:val="00607D12"/>
    <w:rsid w:val="00607ED3"/>
    <w:rsid w:val="006101B8"/>
    <w:rsid w:val="006104A8"/>
    <w:rsid w:val="00610834"/>
    <w:rsid w:val="00610907"/>
    <w:rsid w:val="00611049"/>
    <w:rsid w:val="006110D0"/>
    <w:rsid w:val="006113E4"/>
    <w:rsid w:val="006118FC"/>
    <w:rsid w:val="00611B5E"/>
    <w:rsid w:val="00611C4C"/>
    <w:rsid w:val="006122E2"/>
    <w:rsid w:val="006125BF"/>
    <w:rsid w:val="0061283D"/>
    <w:rsid w:val="00612BDB"/>
    <w:rsid w:val="006138F0"/>
    <w:rsid w:val="00613D91"/>
    <w:rsid w:val="00613E27"/>
    <w:rsid w:val="00613FDE"/>
    <w:rsid w:val="00614111"/>
    <w:rsid w:val="006141C6"/>
    <w:rsid w:val="006143BF"/>
    <w:rsid w:val="0061458D"/>
    <w:rsid w:val="00614B17"/>
    <w:rsid w:val="00615590"/>
    <w:rsid w:val="006157B8"/>
    <w:rsid w:val="00615A2C"/>
    <w:rsid w:val="0061608E"/>
    <w:rsid w:val="006160BC"/>
    <w:rsid w:val="00616717"/>
    <w:rsid w:val="00616812"/>
    <w:rsid w:val="0061683F"/>
    <w:rsid w:val="00616EE7"/>
    <w:rsid w:val="006173D1"/>
    <w:rsid w:val="0061743D"/>
    <w:rsid w:val="006177B8"/>
    <w:rsid w:val="00617FE9"/>
    <w:rsid w:val="006208C4"/>
    <w:rsid w:val="006210CF"/>
    <w:rsid w:val="00621CD4"/>
    <w:rsid w:val="00622841"/>
    <w:rsid w:val="00623617"/>
    <w:rsid w:val="006242CD"/>
    <w:rsid w:val="00624589"/>
    <w:rsid w:val="0062589E"/>
    <w:rsid w:val="006258D1"/>
    <w:rsid w:val="00625A6A"/>
    <w:rsid w:val="00625B33"/>
    <w:rsid w:val="00625CF7"/>
    <w:rsid w:val="00626265"/>
    <w:rsid w:val="006262AD"/>
    <w:rsid w:val="00626AAE"/>
    <w:rsid w:val="00626BD5"/>
    <w:rsid w:val="006270BC"/>
    <w:rsid w:val="00627330"/>
    <w:rsid w:val="00630007"/>
    <w:rsid w:val="00630168"/>
    <w:rsid w:val="006301C5"/>
    <w:rsid w:val="00630B0A"/>
    <w:rsid w:val="0063168D"/>
    <w:rsid w:val="00631826"/>
    <w:rsid w:val="00631DA4"/>
    <w:rsid w:val="00631EA5"/>
    <w:rsid w:val="0063215F"/>
    <w:rsid w:val="00632A46"/>
    <w:rsid w:val="00632B5B"/>
    <w:rsid w:val="00632BA8"/>
    <w:rsid w:val="00632E05"/>
    <w:rsid w:val="00632F11"/>
    <w:rsid w:val="006338E6"/>
    <w:rsid w:val="00633907"/>
    <w:rsid w:val="00633B3E"/>
    <w:rsid w:val="00633CE8"/>
    <w:rsid w:val="0063492C"/>
    <w:rsid w:val="00634DCF"/>
    <w:rsid w:val="0063534E"/>
    <w:rsid w:val="00635BC9"/>
    <w:rsid w:val="0063679F"/>
    <w:rsid w:val="006368C0"/>
    <w:rsid w:val="00636A49"/>
    <w:rsid w:val="00637421"/>
    <w:rsid w:val="00637722"/>
    <w:rsid w:val="006377F1"/>
    <w:rsid w:val="00637D73"/>
    <w:rsid w:val="00637ED0"/>
    <w:rsid w:val="006402C5"/>
    <w:rsid w:val="006409F3"/>
    <w:rsid w:val="00641185"/>
    <w:rsid w:val="00641204"/>
    <w:rsid w:val="006412E8"/>
    <w:rsid w:val="00641BCF"/>
    <w:rsid w:val="0064231B"/>
    <w:rsid w:val="006424AD"/>
    <w:rsid w:val="0064278E"/>
    <w:rsid w:val="006436AA"/>
    <w:rsid w:val="006436D2"/>
    <w:rsid w:val="00643B86"/>
    <w:rsid w:val="00644016"/>
    <w:rsid w:val="0064416D"/>
    <w:rsid w:val="00644532"/>
    <w:rsid w:val="00644908"/>
    <w:rsid w:val="00644E87"/>
    <w:rsid w:val="00644EB8"/>
    <w:rsid w:val="00646931"/>
    <w:rsid w:val="00646B65"/>
    <w:rsid w:val="006479F9"/>
    <w:rsid w:val="00647DFB"/>
    <w:rsid w:val="006507EB"/>
    <w:rsid w:val="006508BB"/>
    <w:rsid w:val="00650A4E"/>
    <w:rsid w:val="006515ED"/>
    <w:rsid w:val="00651602"/>
    <w:rsid w:val="00651D4A"/>
    <w:rsid w:val="0065217D"/>
    <w:rsid w:val="0065262B"/>
    <w:rsid w:val="00652AFF"/>
    <w:rsid w:val="006534EF"/>
    <w:rsid w:val="00653B1F"/>
    <w:rsid w:val="00653DFC"/>
    <w:rsid w:val="00654310"/>
    <w:rsid w:val="006548F2"/>
    <w:rsid w:val="00654A02"/>
    <w:rsid w:val="00654ACE"/>
    <w:rsid w:val="00654E43"/>
    <w:rsid w:val="00655171"/>
    <w:rsid w:val="00655C66"/>
    <w:rsid w:val="006563A5"/>
    <w:rsid w:val="0065730B"/>
    <w:rsid w:val="0065782E"/>
    <w:rsid w:val="00657D27"/>
    <w:rsid w:val="00660329"/>
    <w:rsid w:val="00660434"/>
    <w:rsid w:val="006606C4"/>
    <w:rsid w:val="0066208D"/>
    <w:rsid w:val="00662427"/>
    <w:rsid w:val="006627E2"/>
    <w:rsid w:val="00662861"/>
    <w:rsid w:val="006630F5"/>
    <w:rsid w:val="006638F0"/>
    <w:rsid w:val="006639B8"/>
    <w:rsid w:val="00663B0F"/>
    <w:rsid w:val="00664A5B"/>
    <w:rsid w:val="006655E9"/>
    <w:rsid w:val="00665A32"/>
    <w:rsid w:val="00665C4A"/>
    <w:rsid w:val="00665EFA"/>
    <w:rsid w:val="00666364"/>
    <w:rsid w:val="006666E2"/>
    <w:rsid w:val="006668D5"/>
    <w:rsid w:val="00666D0F"/>
    <w:rsid w:val="00666F20"/>
    <w:rsid w:val="00667AEE"/>
    <w:rsid w:val="00667AFC"/>
    <w:rsid w:val="0067023C"/>
    <w:rsid w:val="0067040F"/>
    <w:rsid w:val="00670569"/>
    <w:rsid w:val="00670D89"/>
    <w:rsid w:val="00670DC4"/>
    <w:rsid w:val="00670E18"/>
    <w:rsid w:val="00671200"/>
    <w:rsid w:val="00671FF9"/>
    <w:rsid w:val="00672114"/>
    <w:rsid w:val="006724E3"/>
    <w:rsid w:val="00672650"/>
    <w:rsid w:val="006729BE"/>
    <w:rsid w:val="006736F1"/>
    <w:rsid w:val="00673A85"/>
    <w:rsid w:val="00674064"/>
    <w:rsid w:val="00674274"/>
    <w:rsid w:val="00674307"/>
    <w:rsid w:val="00675281"/>
    <w:rsid w:val="006754C5"/>
    <w:rsid w:val="00675A36"/>
    <w:rsid w:val="00675F65"/>
    <w:rsid w:val="00676BAF"/>
    <w:rsid w:val="0067723C"/>
    <w:rsid w:val="006776D4"/>
    <w:rsid w:val="00677799"/>
    <w:rsid w:val="006778BA"/>
    <w:rsid w:val="00677DC6"/>
    <w:rsid w:val="00680772"/>
    <w:rsid w:val="006808F6"/>
    <w:rsid w:val="00680910"/>
    <w:rsid w:val="00680954"/>
    <w:rsid w:val="006825F2"/>
    <w:rsid w:val="00683725"/>
    <w:rsid w:val="00683B66"/>
    <w:rsid w:val="00683DA0"/>
    <w:rsid w:val="0068579D"/>
    <w:rsid w:val="0068580D"/>
    <w:rsid w:val="00686080"/>
    <w:rsid w:val="0068647C"/>
    <w:rsid w:val="00686686"/>
    <w:rsid w:val="00687299"/>
    <w:rsid w:val="00687739"/>
    <w:rsid w:val="006879D2"/>
    <w:rsid w:val="00690869"/>
    <w:rsid w:val="00690F85"/>
    <w:rsid w:val="00690F93"/>
    <w:rsid w:val="00690FFD"/>
    <w:rsid w:val="00691287"/>
    <w:rsid w:val="0069182E"/>
    <w:rsid w:val="006918F0"/>
    <w:rsid w:val="00692648"/>
    <w:rsid w:val="00693095"/>
    <w:rsid w:val="006932E9"/>
    <w:rsid w:val="006938A1"/>
    <w:rsid w:val="00693976"/>
    <w:rsid w:val="0069423D"/>
    <w:rsid w:val="00694862"/>
    <w:rsid w:val="00694959"/>
    <w:rsid w:val="00694B47"/>
    <w:rsid w:val="00695552"/>
    <w:rsid w:val="00695908"/>
    <w:rsid w:val="00695E63"/>
    <w:rsid w:val="00695EB6"/>
    <w:rsid w:val="006964FC"/>
    <w:rsid w:val="00697228"/>
    <w:rsid w:val="00697A5A"/>
    <w:rsid w:val="00697C9F"/>
    <w:rsid w:val="006A1338"/>
    <w:rsid w:val="006A18C5"/>
    <w:rsid w:val="006A213D"/>
    <w:rsid w:val="006A275C"/>
    <w:rsid w:val="006A2913"/>
    <w:rsid w:val="006A2B94"/>
    <w:rsid w:val="006A37B5"/>
    <w:rsid w:val="006A3874"/>
    <w:rsid w:val="006A3B27"/>
    <w:rsid w:val="006A3DC4"/>
    <w:rsid w:val="006A4330"/>
    <w:rsid w:val="006A4754"/>
    <w:rsid w:val="006A4904"/>
    <w:rsid w:val="006A4C70"/>
    <w:rsid w:val="006A622A"/>
    <w:rsid w:val="006A697B"/>
    <w:rsid w:val="006A6B9B"/>
    <w:rsid w:val="006A6FEA"/>
    <w:rsid w:val="006A787E"/>
    <w:rsid w:val="006A7E90"/>
    <w:rsid w:val="006A7F9E"/>
    <w:rsid w:val="006A7FA0"/>
    <w:rsid w:val="006B0068"/>
    <w:rsid w:val="006B011A"/>
    <w:rsid w:val="006B0140"/>
    <w:rsid w:val="006B0527"/>
    <w:rsid w:val="006B09AD"/>
    <w:rsid w:val="006B0CD1"/>
    <w:rsid w:val="006B119D"/>
    <w:rsid w:val="006B128E"/>
    <w:rsid w:val="006B12EB"/>
    <w:rsid w:val="006B156A"/>
    <w:rsid w:val="006B1F3E"/>
    <w:rsid w:val="006B3B77"/>
    <w:rsid w:val="006B3CAC"/>
    <w:rsid w:val="006B3CED"/>
    <w:rsid w:val="006B3DEA"/>
    <w:rsid w:val="006B3FF0"/>
    <w:rsid w:val="006B42CA"/>
    <w:rsid w:val="006B46EF"/>
    <w:rsid w:val="006B4C35"/>
    <w:rsid w:val="006B5744"/>
    <w:rsid w:val="006B58ED"/>
    <w:rsid w:val="006B6295"/>
    <w:rsid w:val="006B6DAA"/>
    <w:rsid w:val="006B70BB"/>
    <w:rsid w:val="006B728E"/>
    <w:rsid w:val="006B78AF"/>
    <w:rsid w:val="006B7CD1"/>
    <w:rsid w:val="006B7D1B"/>
    <w:rsid w:val="006C04B6"/>
    <w:rsid w:val="006C0540"/>
    <w:rsid w:val="006C06A2"/>
    <w:rsid w:val="006C0990"/>
    <w:rsid w:val="006C10B8"/>
    <w:rsid w:val="006C1702"/>
    <w:rsid w:val="006C1F30"/>
    <w:rsid w:val="006C21CA"/>
    <w:rsid w:val="006C2737"/>
    <w:rsid w:val="006C2AA6"/>
    <w:rsid w:val="006C2AEB"/>
    <w:rsid w:val="006C3392"/>
    <w:rsid w:val="006C3969"/>
    <w:rsid w:val="006C3B19"/>
    <w:rsid w:val="006C41AE"/>
    <w:rsid w:val="006C45E8"/>
    <w:rsid w:val="006C465A"/>
    <w:rsid w:val="006C4A30"/>
    <w:rsid w:val="006C5633"/>
    <w:rsid w:val="006C6388"/>
    <w:rsid w:val="006C65BA"/>
    <w:rsid w:val="006C73A0"/>
    <w:rsid w:val="006C7D6A"/>
    <w:rsid w:val="006D029C"/>
    <w:rsid w:val="006D0FBA"/>
    <w:rsid w:val="006D1684"/>
    <w:rsid w:val="006D1C5B"/>
    <w:rsid w:val="006D2AF6"/>
    <w:rsid w:val="006D2D0F"/>
    <w:rsid w:val="006D2ED7"/>
    <w:rsid w:val="006D30F9"/>
    <w:rsid w:val="006D4355"/>
    <w:rsid w:val="006D4A8C"/>
    <w:rsid w:val="006D5236"/>
    <w:rsid w:val="006D6F88"/>
    <w:rsid w:val="006D701F"/>
    <w:rsid w:val="006D7094"/>
    <w:rsid w:val="006D7639"/>
    <w:rsid w:val="006D77C5"/>
    <w:rsid w:val="006E0B63"/>
    <w:rsid w:val="006E0C08"/>
    <w:rsid w:val="006E0DF3"/>
    <w:rsid w:val="006E0EA9"/>
    <w:rsid w:val="006E0F58"/>
    <w:rsid w:val="006E19AC"/>
    <w:rsid w:val="006E1B89"/>
    <w:rsid w:val="006E1E76"/>
    <w:rsid w:val="006E22AF"/>
    <w:rsid w:val="006E243B"/>
    <w:rsid w:val="006E2DF9"/>
    <w:rsid w:val="006E2EE2"/>
    <w:rsid w:val="006E3137"/>
    <w:rsid w:val="006E3345"/>
    <w:rsid w:val="006E3DB8"/>
    <w:rsid w:val="006E417B"/>
    <w:rsid w:val="006E446A"/>
    <w:rsid w:val="006E4871"/>
    <w:rsid w:val="006E4972"/>
    <w:rsid w:val="006E4A46"/>
    <w:rsid w:val="006E4F8A"/>
    <w:rsid w:val="006E51BC"/>
    <w:rsid w:val="006E5410"/>
    <w:rsid w:val="006E5649"/>
    <w:rsid w:val="006E63F1"/>
    <w:rsid w:val="006E7171"/>
    <w:rsid w:val="006E7227"/>
    <w:rsid w:val="006E7557"/>
    <w:rsid w:val="006E7696"/>
    <w:rsid w:val="006E783F"/>
    <w:rsid w:val="006E7F03"/>
    <w:rsid w:val="006E7F5B"/>
    <w:rsid w:val="006F0D76"/>
    <w:rsid w:val="006F120A"/>
    <w:rsid w:val="006F13B8"/>
    <w:rsid w:val="006F1458"/>
    <w:rsid w:val="006F14A2"/>
    <w:rsid w:val="006F15ED"/>
    <w:rsid w:val="006F1A16"/>
    <w:rsid w:val="006F200F"/>
    <w:rsid w:val="006F212F"/>
    <w:rsid w:val="006F22D6"/>
    <w:rsid w:val="006F23EB"/>
    <w:rsid w:val="006F243C"/>
    <w:rsid w:val="006F2793"/>
    <w:rsid w:val="006F2F04"/>
    <w:rsid w:val="006F32DD"/>
    <w:rsid w:val="006F5339"/>
    <w:rsid w:val="006F5419"/>
    <w:rsid w:val="006F58CE"/>
    <w:rsid w:val="006F5A66"/>
    <w:rsid w:val="006F5FD2"/>
    <w:rsid w:val="006F638C"/>
    <w:rsid w:val="006F6596"/>
    <w:rsid w:val="006F6C3B"/>
    <w:rsid w:val="006F7187"/>
    <w:rsid w:val="006F7A9C"/>
    <w:rsid w:val="006F7B53"/>
    <w:rsid w:val="006F7CF5"/>
    <w:rsid w:val="006F7E60"/>
    <w:rsid w:val="00700063"/>
    <w:rsid w:val="007000A3"/>
    <w:rsid w:val="00700164"/>
    <w:rsid w:val="007009CD"/>
    <w:rsid w:val="00700DD4"/>
    <w:rsid w:val="00700E41"/>
    <w:rsid w:val="007010EB"/>
    <w:rsid w:val="007015F9"/>
    <w:rsid w:val="0070161B"/>
    <w:rsid w:val="00701799"/>
    <w:rsid w:val="0070206A"/>
    <w:rsid w:val="0070253C"/>
    <w:rsid w:val="00702628"/>
    <w:rsid w:val="007037E9"/>
    <w:rsid w:val="00703E8D"/>
    <w:rsid w:val="00704A6C"/>
    <w:rsid w:val="00705413"/>
    <w:rsid w:val="00705C05"/>
    <w:rsid w:val="00706134"/>
    <w:rsid w:val="007061B8"/>
    <w:rsid w:val="00706449"/>
    <w:rsid w:val="007069FE"/>
    <w:rsid w:val="00706E2F"/>
    <w:rsid w:val="00706FDE"/>
    <w:rsid w:val="00707951"/>
    <w:rsid w:val="00707AEB"/>
    <w:rsid w:val="007101A7"/>
    <w:rsid w:val="007107DF"/>
    <w:rsid w:val="0071083E"/>
    <w:rsid w:val="00710909"/>
    <w:rsid w:val="007112E2"/>
    <w:rsid w:val="00711E49"/>
    <w:rsid w:val="00711F4D"/>
    <w:rsid w:val="007127BE"/>
    <w:rsid w:val="007127F6"/>
    <w:rsid w:val="0071295D"/>
    <w:rsid w:val="00712DE1"/>
    <w:rsid w:val="00713647"/>
    <w:rsid w:val="007137AE"/>
    <w:rsid w:val="007138E8"/>
    <w:rsid w:val="007141F8"/>
    <w:rsid w:val="0071424E"/>
    <w:rsid w:val="0071449A"/>
    <w:rsid w:val="007146E6"/>
    <w:rsid w:val="00714985"/>
    <w:rsid w:val="00714D08"/>
    <w:rsid w:val="00715018"/>
    <w:rsid w:val="007153A3"/>
    <w:rsid w:val="0071562E"/>
    <w:rsid w:val="007160D1"/>
    <w:rsid w:val="00716127"/>
    <w:rsid w:val="00716374"/>
    <w:rsid w:val="00716697"/>
    <w:rsid w:val="00716C98"/>
    <w:rsid w:val="00716FB7"/>
    <w:rsid w:val="007173DF"/>
    <w:rsid w:val="007205A2"/>
    <w:rsid w:val="00720C2F"/>
    <w:rsid w:val="007212E1"/>
    <w:rsid w:val="0072158E"/>
    <w:rsid w:val="007215F6"/>
    <w:rsid w:val="00721CEE"/>
    <w:rsid w:val="00722258"/>
    <w:rsid w:val="00722336"/>
    <w:rsid w:val="00722577"/>
    <w:rsid w:val="007227B8"/>
    <w:rsid w:val="007227C4"/>
    <w:rsid w:val="00722DF0"/>
    <w:rsid w:val="007231C0"/>
    <w:rsid w:val="007232E0"/>
    <w:rsid w:val="00724318"/>
    <w:rsid w:val="007247E6"/>
    <w:rsid w:val="00724A0A"/>
    <w:rsid w:val="00725310"/>
    <w:rsid w:val="00725544"/>
    <w:rsid w:val="007258D4"/>
    <w:rsid w:val="00725DCE"/>
    <w:rsid w:val="00725FD6"/>
    <w:rsid w:val="007279C9"/>
    <w:rsid w:val="00730054"/>
    <w:rsid w:val="007302E4"/>
    <w:rsid w:val="00730C5E"/>
    <w:rsid w:val="00730EB9"/>
    <w:rsid w:val="00731057"/>
    <w:rsid w:val="00731062"/>
    <w:rsid w:val="00731090"/>
    <w:rsid w:val="00731117"/>
    <w:rsid w:val="00731323"/>
    <w:rsid w:val="00731382"/>
    <w:rsid w:val="007313C3"/>
    <w:rsid w:val="00732048"/>
    <w:rsid w:val="00732088"/>
    <w:rsid w:val="00732369"/>
    <w:rsid w:val="00732B20"/>
    <w:rsid w:val="00733187"/>
    <w:rsid w:val="00733E9E"/>
    <w:rsid w:val="007343FF"/>
    <w:rsid w:val="00734536"/>
    <w:rsid w:val="007349B3"/>
    <w:rsid w:val="007355D1"/>
    <w:rsid w:val="007359A6"/>
    <w:rsid w:val="007361F8"/>
    <w:rsid w:val="007371F9"/>
    <w:rsid w:val="0073757A"/>
    <w:rsid w:val="00737743"/>
    <w:rsid w:val="00737E1E"/>
    <w:rsid w:val="00737FFE"/>
    <w:rsid w:val="007403AF"/>
    <w:rsid w:val="00740950"/>
    <w:rsid w:val="007412AD"/>
    <w:rsid w:val="0074158F"/>
    <w:rsid w:val="00741617"/>
    <w:rsid w:val="0074182A"/>
    <w:rsid w:val="007421BC"/>
    <w:rsid w:val="007425D9"/>
    <w:rsid w:val="00742638"/>
    <w:rsid w:val="00742663"/>
    <w:rsid w:val="0074266F"/>
    <w:rsid w:val="007429E0"/>
    <w:rsid w:val="00742D8D"/>
    <w:rsid w:val="0074305D"/>
    <w:rsid w:val="007431F9"/>
    <w:rsid w:val="00743987"/>
    <w:rsid w:val="00743DD4"/>
    <w:rsid w:val="00743F0C"/>
    <w:rsid w:val="00743F20"/>
    <w:rsid w:val="007443CD"/>
    <w:rsid w:val="00744C76"/>
    <w:rsid w:val="00744D09"/>
    <w:rsid w:val="00744E83"/>
    <w:rsid w:val="007451E4"/>
    <w:rsid w:val="00745205"/>
    <w:rsid w:val="00746081"/>
    <w:rsid w:val="0074619E"/>
    <w:rsid w:val="007462A7"/>
    <w:rsid w:val="00746AC8"/>
    <w:rsid w:val="0074706D"/>
    <w:rsid w:val="00747866"/>
    <w:rsid w:val="00747ACA"/>
    <w:rsid w:val="00747B29"/>
    <w:rsid w:val="00750509"/>
    <w:rsid w:val="00750EA8"/>
    <w:rsid w:val="00750EF4"/>
    <w:rsid w:val="00751225"/>
    <w:rsid w:val="007514CD"/>
    <w:rsid w:val="0075197F"/>
    <w:rsid w:val="00751AA3"/>
    <w:rsid w:val="00751E69"/>
    <w:rsid w:val="00751F02"/>
    <w:rsid w:val="0075241C"/>
    <w:rsid w:val="00752447"/>
    <w:rsid w:val="00752617"/>
    <w:rsid w:val="0075286B"/>
    <w:rsid w:val="00752D18"/>
    <w:rsid w:val="00753481"/>
    <w:rsid w:val="007535F1"/>
    <w:rsid w:val="00753741"/>
    <w:rsid w:val="00753A28"/>
    <w:rsid w:val="00753B45"/>
    <w:rsid w:val="00753DC5"/>
    <w:rsid w:val="0075432F"/>
    <w:rsid w:val="00754385"/>
    <w:rsid w:val="0075495C"/>
    <w:rsid w:val="00754BEF"/>
    <w:rsid w:val="00754C22"/>
    <w:rsid w:val="00754D68"/>
    <w:rsid w:val="00754EBE"/>
    <w:rsid w:val="007550E2"/>
    <w:rsid w:val="00755578"/>
    <w:rsid w:val="007557E2"/>
    <w:rsid w:val="0075632D"/>
    <w:rsid w:val="00756A16"/>
    <w:rsid w:val="00756F10"/>
    <w:rsid w:val="00757172"/>
    <w:rsid w:val="0075722C"/>
    <w:rsid w:val="0075769B"/>
    <w:rsid w:val="007577EE"/>
    <w:rsid w:val="00757912"/>
    <w:rsid w:val="00757D06"/>
    <w:rsid w:val="00757E26"/>
    <w:rsid w:val="00760042"/>
    <w:rsid w:val="0076154E"/>
    <w:rsid w:val="007615BA"/>
    <w:rsid w:val="00762187"/>
    <w:rsid w:val="007623E0"/>
    <w:rsid w:val="00762782"/>
    <w:rsid w:val="00762B3C"/>
    <w:rsid w:val="00763088"/>
    <w:rsid w:val="007632D0"/>
    <w:rsid w:val="00763FF1"/>
    <w:rsid w:val="0076429F"/>
    <w:rsid w:val="0076440B"/>
    <w:rsid w:val="007648DF"/>
    <w:rsid w:val="00764C17"/>
    <w:rsid w:val="00764DC4"/>
    <w:rsid w:val="00764F26"/>
    <w:rsid w:val="0076522A"/>
    <w:rsid w:val="007656CC"/>
    <w:rsid w:val="00766F04"/>
    <w:rsid w:val="00767386"/>
    <w:rsid w:val="007675FD"/>
    <w:rsid w:val="00770785"/>
    <w:rsid w:val="00770D23"/>
    <w:rsid w:val="007726A0"/>
    <w:rsid w:val="00772EE1"/>
    <w:rsid w:val="007730FC"/>
    <w:rsid w:val="0077373E"/>
    <w:rsid w:val="00773AF7"/>
    <w:rsid w:val="00773DB1"/>
    <w:rsid w:val="00773F80"/>
    <w:rsid w:val="00774099"/>
    <w:rsid w:val="00774419"/>
    <w:rsid w:val="00774618"/>
    <w:rsid w:val="00774683"/>
    <w:rsid w:val="00774947"/>
    <w:rsid w:val="00774A01"/>
    <w:rsid w:val="00774D91"/>
    <w:rsid w:val="00775E7D"/>
    <w:rsid w:val="00776275"/>
    <w:rsid w:val="007763C3"/>
    <w:rsid w:val="00776743"/>
    <w:rsid w:val="0077684F"/>
    <w:rsid w:val="00776CA6"/>
    <w:rsid w:val="00777A00"/>
    <w:rsid w:val="007801FD"/>
    <w:rsid w:val="00780506"/>
    <w:rsid w:val="007815F1"/>
    <w:rsid w:val="00782A11"/>
    <w:rsid w:val="00783F3C"/>
    <w:rsid w:val="007844A8"/>
    <w:rsid w:val="007860CB"/>
    <w:rsid w:val="00786109"/>
    <w:rsid w:val="00786193"/>
    <w:rsid w:val="00786441"/>
    <w:rsid w:val="00786454"/>
    <w:rsid w:val="007865AF"/>
    <w:rsid w:val="007867CE"/>
    <w:rsid w:val="007878E1"/>
    <w:rsid w:val="00787BE5"/>
    <w:rsid w:val="00790155"/>
    <w:rsid w:val="00790575"/>
    <w:rsid w:val="007906B6"/>
    <w:rsid w:val="00791CB3"/>
    <w:rsid w:val="00792981"/>
    <w:rsid w:val="0079355C"/>
    <w:rsid w:val="00793F12"/>
    <w:rsid w:val="00793F35"/>
    <w:rsid w:val="00794507"/>
    <w:rsid w:val="0079475E"/>
    <w:rsid w:val="00794DA5"/>
    <w:rsid w:val="00794DE5"/>
    <w:rsid w:val="00795113"/>
    <w:rsid w:val="00795357"/>
    <w:rsid w:val="0079542C"/>
    <w:rsid w:val="007960C5"/>
    <w:rsid w:val="0079639C"/>
    <w:rsid w:val="00796A92"/>
    <w:rsid w:val="00796BD1"/>
    <w:rsid w:val="0079710F"/>
    <w:rsid w:val="00797663"/>
    <w:rsid w:val="00797A7A"/>
    <w:rsid w:val="00797BBF"/>
    <w:rsid w:val="007A0372"/>
    <w:rsid w:val="007A03CD"/>
    <w:rsid w:val="007A0775"/>
    <w:rsid w:val="007A0B6A"/>
    <w:rsid w:val="007A0DCB"/>
    <w:rsid w:val="007A1663"/>
    <w:rsid w:val="007A24DC"/>
    <w:rsid w:val="007A2814"/>
    <w:rsid w:val="007A2AD6"/>
    <w:rsid w:val="007A2B4F"/>
    <w:rsid w:val="007A3C2A"/>
    <w:rsid w:val="007A3CD1"/>
    <w:rsid w:val="007A494B"/>
    <w:rsid w:val="007A4B27"/>
    <w:rsid w:val="007A4D66"/>
    <w:rsid w:val="007A4F70"/>
    <w:rsid w:val="007A5D91"/>
    <w:rsid w:val="007A6354"/>
    <w:rsid w:val="007A67CB"/>
    <w:rsid w:val="007A6A70"/>
    <w:rsid w:val="007A70D0"/>
    <w:rsid w:val="007A7300"/>
    <w:rsid w:val="007A79A1"/>
    <w:rsid w:val="007A7A30"/>
    <w:rsid w:val="007A7AA9"/>
    <w:rsid w:val="007B079F"/>
    <w:rsid w:val="007B0D0B"/>
    <w:rsid w:val="007B1D4A"/>
    <w:rsid w:val="007B20C1"/>
    <w:rsid w:val="007B2A4F"/>
    <w:rsid w:val="007B2B01"/>
    <w:rsid w:val="007B2CFF"/>
    <w:rsid w:val="007B3100"/>
    <w:rsid w:val="007B3B0E"/>
    <w:rsid w:val="007B3C9D"/>
    <w:rsid w:val="007B3F01"/>
    <w:rsid w:val="007B4068"/>
    <w:rsid w:val="007B4478"/>
    <w:rsid w:val="007B48C6"/>
    <w:rsid w:val="007B499B"/>
    <w:rsid w:val="007B4B4D"/>
    <w:rsid w:val="007B53F7"/>
    <w:rsid w:val="007B5E31"/>
    <w:rsid w:val="007B61CF"/>
    <w:rsid w:val="007B65D4"/>
    <w:rsid w:val="007B68CB"/>
    <w:rsid w:val="007B6CB1"/>
    <w:rsid w:val="007B6E4A"/>
    <w:rsid w:val="007B720A"/>
    <w:rsid w:val="007B726F"/>
    <w:rsid w:val="007B763F"/>
    <w:rsid w:val="007C0170"/>
    <w:rsid w:val="007C0178"/>
    <w:rsid w:val="007C0B10"/>
    <w:rsid w:val="007C1174"/>
    <w:rsid w:val="007C1564"/>
    <w:rsid w:val="007C1901"/>
    <w:rsid w:val="007C1BC2"/>
    <w:rsid w:val="007C1CC0"/>
    <w:rsid w:val="007C1E51"/>
    <w:rsid w:val="007C23F6"/>
    <w:rsid w:val="007C2C85"/>
    <w:rsid w:val="007C2FA6"/>
    <w:rsid w:val="007C319F"/>
    <w:rsid w:val="007C339B"/>
    <w:rsid w:val="007C3463"/>
    <w:rsid w:val="007C3499"/>
    <w:rsid w:val="007C3511"/>
    <w:rsid w:val="007C3917"/>
    <w:rsid w:val="007C3CD9"/>
    <w:rsid w:val="007C3F8E"/>
    <w:rsid w:val="007C41BC"/>
    <w:rsid w:val="007C482F"/>
    <w:rsid w:val="007C4B7C"/>
    <w:rsid w:val="007C57DD"/>
    <w:rsid w:val="007C5D65"/>
    <w:rsid w:val="007C630E"/>
    <w:rsid w:val="007C6611"/>
    <w:rsid w:val="007C6DC3"/>
    <w:rsid w:val="007C6E89"/>
    <w:rsid w:val="007C78C7"/>
    <w:rsid w:val="007C7B54"/>
    <w:rsid w:val="007C7C41"/>
    <w:rsid w:val="007D0B89"/>
    <w:rsid w:val="007D1081"/>
    <w:rsid w:val="007D1342"/>
    <w:rsid w:val="007D14ED"/>
    <w:rsid w:val="007D2069"/>
    <w:rsid w:val="007D20C0"/>
    <w:rsid w:val="007D20DD"/>
    <w:rsid w:val="007D261F"/>
    <w:rsid w:val="007D2626"/>
    <w:rsid w:val="007D27DE"/>
    <w:rsid w:val="007D305A"/>
    <w:rsid w:val="007D311B"/>
    <w:rsid w:val="007D380B"/>
    <w:rsid w:val="007D4CD7"/>
    <w:rsid w:val="007D4D89"/>
    <w:rsid w:val="007D4E07"/>
    <w:rsid w:val="007D50F6"/>
    <w:rsid w:val="007D55D9"/>
    <w:rsid w:val="007D583B"/>
    <w:rsid w:val="007D5DF8"/>
    <w:rsid w:val="007D60FC"/>
    <w:rsid w:val="007D64D7"/>
    <w:rsid w:val="007D6FB4"/>
    <w:rsid w:val="007D6FF2"/>
    <w:rsid w:val="007D7D99"/>
    <w:rsid w:val="007E0E99"/>
    <w:rsid w:val="007E0FCF"/>
    <w:rsid w:val="007E12B7"/>
    <w:rsid w:val="007E1414"/>
    <w:rsid w:val="007E16B9"/>
    <w:rsid w:val="007E16BF"/>
    <w:rsid w:val="007E1A6F"/>
    <w:rsid w:val="007E28F1"/>
    <w:rsid w:val="007E2A10"/>
    <w:rsid w:val="007E2F6A"/>
    <w:rsid w:val="007E30D8"/>
    <w:rsid w:val="007E33FD"/>
    <w:rsid w:val="007E39E5"/>
    <w:rsid w:val="007E43DE"/>
    <w:rsid w:val="007E4482"/>
    <w:rsid w:val="007E4484"/>
    <w:rsid w:val="007E474E"/>
    <w:rsid w:val="007E48F1"/>
    <w:rsid w:val="007E5ABC"/>
    <w:rsid w:val="007E5BE5"/>
    <w:rsid w:val="007E5F26"/>
    <w:rsid w:val="007E60A3"/>
    <w:rsid w:val="007E6238"/>
    <w:rsid w:val="007E62FA"/>
    <w:rsid w:val="007E68D7"/>
    <w:rsid w:val="007E6C28"/>
    <w:rsid w:val="007E6E93"/>
    <w:rsid w:val="007E7933"/>
    <w:rsid w:val="007E7A10"/>
    <w:rsid w:val="007E7F3E"/>
    <w:rsid w:val="007E7FE9"/>
    <w:rsid w:val="007F0E23"/>
    <w:rsid w:val="007F1CD1"/>
    <w:rsid w:val="007F2078"/>
    <w:rsid w:val="007F225E"/>
    <w:rsid w:val="007F25F6"/>
    <w:rsid w:val="007F2788"/>
    <w:rsid w:val="007F2DE8"/>
    <w:rsid w:val="007F335A"/>
    <w:rsid w:val="007F3636"/>
    <w:rsid w:val="007F3766"/>
    <w:rsid w:val="007F39A0"/>
    <w:rsid w:val="007F3A36"/>
    <w:rsid w:val="007F3AA6"/>
    <w:rsid w:val="007F3B7F"/>
    <w:rsid w:val="007F3CB6"/>
    <w:rsid w:val="007F3D6D"/>
    <w:rsid w:val="007F3E6A"/>
    <w:rsid w:val="007F46F3"/>
    <w:rsid w:val="007F4B45"/>
    <w:rsid w:val="007F4CD3"/>
    <w:rsid w:val="007F5588"/>
    <w:rsid w:val="007F57E2"/>
    <w:rsid w:val="007F597E"/>
    <w:rsid w:val="007F5DF5"/>
    <w:rsid w:val="007F67DA"/>
    <w:rsid w:val="007F6BE0"/>
    <w:rsid w:val="007F77FA"/>
    <w:rsid w:val="0080027C"/>
    <w:rsid w:val="00800359"/>
    <w:rsid w:val="00800903"/>
    <w:rsid w:val="00800BD7"/>
    <w:rsid w:val="00800DE1"/>
    <w:rsid w:val="00801725"/>
    <w:rsid w:val="008023D6"/>
    <w:rsid w:val="00802786"/>
    <w:rsid w:val="00802DE4"/>
    <w:rsid w:val="00803307"/>
    <w:rsid w:val="008035FB"/>
    <w:rsid w:val="00803CBE"/>
    <w:rsid w:val="008047A6"/>
    <w:rsid w:val="008047D3"/>
    <w:rsid w:val="008047F7"/>
    <w:rsid w:val="008049FD"/>
    <w:rsid w:val="00804ADD"/>
    <w:rsid w:val="00804B18"/>
    <w:rsid w:val="00804F3A"/>
    <w:rsid w:val="00805227"/>
    <w:rsid w:val="00805567"/>
    <w:rsid w:val="00805792"/>
    <w:rsid w:val="00806CE0"/>
    <w:rsid w:val="00806E11"/>
    <w:rsid w:val="0080746E"/>
    <w:rsid w:val="0081000E"/>
    <w:rsid w:val="008101D2"/>
    <w:rsid w:val="00810203"/>
    <w:rsid w:val="00810731"/>
    <w:rsid w:val="0081103D"/>
    <w:rsid w:val="0081127E"/>
    <w:rsid w:val="00811F6D"/>
    <w:rsid w:val="008120D1"/>
    <w:rsid w:val="00812222"/>
    <w:rsid w:val="0081322E"/>
    <w:rsid w:val="00813344"/>
    <w:rsid w:val="0081375F"/>
    <w:rsid w:val="00813B03"/>
    <w:rsid w:val="00814B78"/>
    <w:rsid w:val="00814DC6"/>
    <w:rsid w:val="008153C3"/>
    <w:rsid w:val="008153CB"/>
    <w:rsid w:val="0081642A"/>
    <w:rsid w:val="00816491"/>
    <w:rsid w:val="0081677F"/>
    <w:rsid w:val="00817E7B"/>
    <w:rsid w:val="00817EC8"/>
    <w:rsid w:val="0082014B"/>
    <w:rsid w:val="008205BB"/>
    <w:rsid w:val="008205DE"/>
    <w:rsid w:val="008209D7"/>
    <w:rsid w:val="00820A7C"/>
    <w:rsid w:val="00820C24"/>
    <w:rsid w:val="00821426"/>
    <w:rsid w:val="008217D0"/>
    <w:rsid w:val="00821BD1"/>
    <w:rsid w:val="00821DC4"/>
    <w:rsid w:val="0082208E"/>
    <w:rsid w:val="0082292A"/>
    <w:rsid w:val="00822B86"/>
    <w:rsid w:val="00822BEA"/>
    <w:rsid w:val="00822F3A"/>
    <w:rsid w:val="00822F6E"/>
    <w:rsid w:val="00823586"/>
    <w:rsid w:val="008237AC"/>
    <w:rsid w:val="00823E92"/>
    <w:rsid w:val="00823F6F"/>
    <w:rsid w:val="008249FA"/>
    <w:rsid w:val="00825107"/>
    <w:rsid w:val="00825345"/>
    <w:rsid w:val="0082580B"/>
    <w:rsid w:val="008258A9"/>
    <w:rsid w:val="00827B2A"/>
    <w:rsid w:val="00827D78"/>
    <w:rsid w:val="00827F2F"/>
    <w:rsid w:val="008304B5"/>
    <w:rsid w:val="008305BB"/>
    <w:rsid w:val="0083062C"/>
    <w:rsid w:val="00830A24"/>
    <w:rsid w:val="00830BF8"/>
    <w:rsid w:val="00830C21"/>
    <w:rsid w:val="00831364"/>
    <w:rsid w:val="00831421"/>
    <w:rsid w:val="0083143E"/>
    <w:rsid w:val="008317B4"/>
    <w:rsid w:val="00831E48"/>
    <w:rsid w:val="0083223C"/>
    <w:rsid w:val="00832EEB"/>
    <w:rsid w:val="008334B9"/>
    <w:rsid w:val="008335C8"/>
    <w:rsid w:val="00833AF4"/>
    <w:rsid w:val="00833CDF"/>
    <w:rsid w:val="00833E31"/>
    <w:rsid w:val="00833F1E"/>
    <w:rsid w:val="0083412D"/>
    <w:rsid w:val="00834A71"/>
    <w:rsid w:val="00834F55"/>
    <w:rsid w:val="00835482"/>
    <w:rsid w:val="00835B9E"/>
    <w:rsid w:val="0083610E"/>
    <w:rsid w:val="00836986"/>
    <w:rsid w:val="00836D1F"/>
    <w:rsid w:val="00836EC6"/>
    <w:rsid w:val="00837F12"/>
    <w:rsid w:val="00840339"/>
    <w:rsid w:val="0084097C"/>
    <w:rsid w:val="00840EC4"/>
    <w:rsid w:val="0084203D"/>
    <w:rsid w:val="00842111"/>
    <w:rsid w:val="008421E2"/>
    <w:rsid w:val="00842358"/>
    <w:rsid w:val="00842840"/>
    <w:rsid w:val="00842A4A"/>
    <w:rsid w:val="008432B4"/>
    <w:rsid w:val="00843639"/>
    <w:rsid w:val="0084389D"/>
    <w:rsid w:val="00843D50"/>
    <w:rsid w:val="00843D7E"/>
    <w:rsid w:val="00843DA8"/>
    <w:rsid w:val="00843DFD"/>
    <w:rsid w:val="00844520"/>
    <w:rsid w:val="00844630"/>
    <w:rsid w:val="008449C4"/>
    <w:rsid w:val="0084519D"/>
    <w:rsid w:val="008454F2"/>
    <w:rsid w:val="008457FA"/>
    <w:rsid w:val="0084591D"/>
    <w:rsid w:val="00845F10"/>
    <w:rsid w:val="008460F3"/>
    <w:rsid w:val="00846170"/>
    <w:rsid w:val="00846253"/>
    <w:rsid w:val="00846F64"/>
    <w:rsid w:val="00847711"/>
    <w:rsid w:val="00850029"/>
    <w:rsid w:val="0085003B"/>
    <w:rsid w:val="00850363"/>
    <w:rsid w:val="00850ABA"/>
    <w:rsid w:val="00850BCB"/>
    <w:rsid w:val="00850DA6"/>
    <w:rsid w:val="00850EB9"/>
    <w:rsid w:val="00851AFD"/>
    <w:rsid w:val="00851BC4"/>
    <w:rsid w:val="008521DD"/>
    <w:rsid w:val="008528BD"/>
    <w:rsid w:val="0085290F"/>
    <w:rsid w:val="008535D3"/>
    <w:rsid w:val="008537E9"/>
    <w:rsid w:val="008546FA"/>
    <w:rsid w:val="00854D19"/>
    <w:rsid w:val="00855604"/>
    <w:rsid w:val="00855AAC"/>
    <w:rsid w:val="00855C16"/>
    <w:rsid w:val="00855CE7"/>
    <w:rsid w:val="008561B8"/>
    <w:rsid w:val="0085622C"/>
    <w:rsid w:val="0085655C"/>
    <w:rsid w:val="0085693C"/>
    <w:rsid w:val="00856CE5"/>
    <w:rsid w:val="00857131"/>
    <w:rsid w:val="00857496"/>
    <w:rsid w:val="0085763C"/>
    <w:rsid w:val="008578F9"/>
    <w:rsid w:val="00860AC1"/>
    <w:rsid w:val="0086116A"/>
    <w:rsid w:val="0086196B"/>
    <w:rsid w:val="00861A24"/>
    <w:rsid w:val="00861C0D"/>
    <w:rsid w:val="00861EE8"/>
    <w:rsid w:val="008629FD"/>
    <w:rsid w:val="00862A01"/>
    <w:rsid w:val="00862B11"/>
    <w:rsid w:val="00862F5D"/>
    <w:rsid w:val="008636CE"/>
    <w:rsid w:val="00863BE0"/>
    <w:rsid w:val="00863E12"/>
    <w:rsid w:val="00863E6E"/>
    <w:rsid w:val="00864315"/>
    <w:rsid w:val="008644D4"/>
    <w:rsid w:val="00864EA4"/>
    <w:rsid w:val="008656B3"/>
    <w:rsid w:val="00865F5B"/>
    <w:rsid w:val="008660DE"/>
    <w:rsid w:val="008660F4"/>
    <w:rsid w:val="008661EB"/>
    <w:rsid w:val="00866751"/>
    <w:rsid w:val="008669FB"/>
    <w:rsid w:val="00866F45"/>
    <w:rsid w:val="00866FF0"/>
    <w:rsid w:val="00867748"/>
    <w:rsid w:val="00867EAD"/>
    <w:rsid w:val="00867EE3"/>
    <w:rsid w:val="008702E6"/>
    <w:rsid w:val="0087054D"/>
    <w:rsid w:val="0087090C"/>
    <w:rsid w:val="00870F73"/>
    <w:rsid w:val="00872186"/>
    <w:rsid w:val="008725C1"/>
    <w:rsid w:val="00872A05"/>
    <w:rsid w:val="008731BB"/>
    <w:rsid w:val="008732D9"/>
    <w:rsid w:val="00873708"/>
    <w:rsid w:val="008737C0"/>
    <w:rsid w:val="008738E6"/>
    <w:rsid w:val="00873B22"/>
    <w:rsid w:val="00873B2A"/>
    <w:rsid w:val="00873EF0"/>
    <w:rsid w:val="00874AA8"/>
    <w:rsid w:val="00874B88"/>
    <w:rsid w:val="00874BE6"/>
    <w:rsid w:val="00874C16"/>
    <w:rsid w:val="008750D3"/>
    <w:rsid w:val="00875760"/>
    <w:rsid w:val="00875AFA"/>
    <w:rsid w:val="00875B6D"/>
    <w:rsid w:val="008763CB"/>
    <w:rsid w:val="008763D9"/>
    <w:rsid w:val="008767CB"/>
    <w:rsid w:val="00877C75"/>
    <w:rsid w:val="00877E1C"/>
    <w:rsid w:val="00880888"/>
    <w:rsid w:val="00880A6A"/>
    <w:rsid w:val="00880D8F"/>
    <w:rsid w:val="00880F25"/>
    <w:rsid w:val="008816DF"/>
    <w:rsid w:val="008828A9"/>
    <w:rsid w:val="00883D58"/>
    <w:rsid w:val="00883E7F"/>
    <w:rsid w:val="00883EA9"/>
    <w:rsid w:val="00884086"/>
    <w:rsid w:val="008847AF"/>
    <w:rsid w:val="00884C83"/>
    <w:rsid w:val="008851B5"/>
    <w:rsid w:val="00885B08"/>
    <w:rsid w:val="00885B94"/>
    <w:rsid w:val="00885C63"/>
    <w:rsid w:val="00885DA7"/>
    <w:rsid w:val="00886A18"/>
    <w:rsid w:val="00886A6F"/>
    <w:rsid w:val="00886D70"/>
    <w:rsid w:val="00890377"/>
    <w:rsid w:val="0089046A"/>
    <w:rsid w:val="008907BA"/>
    <w:rsid w:val="00890BAD"/>
    <w:rsid w:val="00890EF0"/>
    <w:rsid w:val="008913BE"/>
    <w:rsid w:val="00891C02"/>
    <w:rsid w:val="00891C1B"/>
    <w:rsid w:val="00892166"/>
    <w:rsid w:val="00892784"/>
    <w:rsid w:val="008927C1"/>
    <w:rsid w:val="00892FEA"/>
    <w:rsid w:val="008932D4"/>
    <w:rsid w:val="008933A5"/>
    <w:rsid w:val="0089423F"/>
    <w:rsid w:val="00894421"/>
    <w:rsid w:val="00894A0D"/>
    <w:rsid w:val="00894D26"/>
    <w:rsid w:val="00894F1D"/>
    <w:rsid w:val="008961F8"/>
    <w:rsid w:val="00896AE9"/>
    <w:rsid w:val="008A0004"/>
    <w:rsid w:val="008A02F8"/>
    <w:rsid w:val="008A15E7"/>
    <w:rsid w:val="008A15ED"/>
    <w:rsid w:val="008A19E2"/>
    <w:rsid w:val="008A1A89"/>
    <w:rsid w:val="008A23D0"/>
    <w:rsid w:val="008A2487"/>
    <w:rsid w:val="008A25E5"/>
    <w:rsid w:val="008A2951"/>
    <w:rsid w:val="008A2C4E"/>
    <w:rsid w:val="008A2C6F"/>
    <w:rsid w:val="008A2E3A"/>
    <w:rsid w:val="008A3113"/>
    <w:rsid w:val="008A40BC"/>
    <w:rsid w:val="008A42BA"/>
    <w:rsid w:val="008A4E32"/>
    <w:rsid w:val="008A4F72"/>
    <w:rsid w:val="008A52C7"/>
    <w:rsid w:val="008A5B30"/>
    <w:rsid w:val="008A5DBC"/>
    <w:rsid w:val="008A5E51"/>
    <w:rsid w:val="008A69D1"/>
    <w:rsid w:val="008A6FD7"/>
    <w:rsid w:val="008A7DC2"/>
    <w:rsid w:val="008B043F"/>
    <w:rsid w:val="008B07A0"/>
    <w:rsid w:val="008B09FC"/>
    <w:rsid w:val="008B0B2D"/>
    <w:rsid w:val="008B20D0"/>
    <w:rsid w:val="008B24F2"/>
    <w:rsid w:val="008B3167"/>
    <w:rsid w:val="008B3893"/>
    <w:rsid w:val="008B3A05"/>
    <w:rsid w:val="008B3B77"/>
    <w:rsid w:val="008B4343"/>
    <w:rsid w:val="008B4581"/>
    <w:rsid w:val="008B4714"/>
    <w:rsid w:val="008B47CF"/>
    <w:rsid w:val="008B4884"/>
    <w:rsid w:val="008B4C2D"/>
    <w:rsid w:val="008B4D91"/>
    <w:rsid w:val="008B508A"/>
    <w:rsid w:val="008B5765"/>
    <w:rsid w:val="008B59B8"/>
    <w:rsid w:val="008B5DB5"/>
    <w:rsid w:val="008B5F2F"/>
    <w:rsid w:val="008B6766"/>
    <w:rsid w:val="008B6EEB"/>
    <w:rsid w:val="008B7093"/>
    <w:rsid w:val="008B716C"/>
    <w:rsid w:val="008B77F6"/>
    <w:rsid w:val="008B78AE"/>
    <w:rsid w:val="008B7A7B"/>
    <w:rsid w:val="008B7B4B"/>
    <w:rsid w:val="008B7DE4"/>
    <w:rsid w:val="008B7E24"/>
    <w:rsid w:val="008C0294"/>
    <w:rsid w:val="008C03D1"/>
    <w:rsid w:val="008C07FA"/>
    <w:rsid w:val="008C09E5"/>
    <w:rsid w:val="008C0CCA"/>
    <w:rsid w:val="008C0D7D"/>
    <w:rsid w:val="008C1148"/>
    <w:rsid w:val="008C125F"/>
    <w:rsid w:val="008C15D6"/>
    <w:rsid w:val="008C1EE8"/>
    <w:rsid w:val="008C1F08"/>
    <w:rsid w:val="008C1F53"/>
    <w:rsid w:val="008C22EA"/>
    <w:rsid w:val="008C279B"/>
    <w:rsid w:val="008C2942"/>
    <w:rsid w:val="008C2943"/>
    <w:rsid w:val="008C2993"/>
    <w:rsid w:val="008C2AE3"/>
    <w:rsid w:val="008C2B09"/>
    <w:rsid w:val="008C2BA6"/>
    <w:rsid w:val="008C2C66"/>
    <w:rsid w:val="008C2CCE"/>
    <w:rsid w:val="008C2D5A"/>
    <w:rsid w:val="008C3A57"/>
    <w:rsid w:val="008C3A8C"/>
    <w:rsid w:val="008C4102"/>
    <w:rsid w:val="008C4351"/>
    <w:rsid w:val="008C5273"/>
    <w:rsid w:val="008C55CF"/>
    <w:rsid w:val="008C5A75"/>
    <w:rsid w:val="008C6181"/>
    <w:rsid w:val="008C61BD"/>
    <w:rsid w:val="008C6499"/>
    <w:rsid w:val="008C6566"/>
    <w:rsid w:val="008C6B0E"/>
    <w:rsid w:val="008C7724"/>
    <w:rsid w:val="008C78DA"/>
    <w:rsid w:val="008C7990"/>
    <w:rsid w:val="008C7D2B"/>
    <w:rsid w:val="008D07EF"/>
    <w:rsid w:val="008D09D1"/>
    <w:rsid w:val="008D0C35"/>
    <w:rsid w:val="008D1592"/>
    <w:rsid w:val="008D172A"/>
    <w:rsid w:val="008D1891"/>
    <w:rsid w:val="008D1975"/>
    <w:rsid w:val="008D228C"/>
    <w:rsid w:val="008D22D9"/>
    <w:rsid w:val="008D2C87"/>
    <w:rsid w:val="008D3BD3"/>
    <w:rsid w:val="008D43ED"/>
    <w:rsid w:val="008D4AA5"/>
    <w:rsid w:val="008D5A33"/>
    <w:rsid w:val="008D5DAF"/>
    <w:rsid w:val="008D6B80"/>
    <w:rsid w:val="008D6BDD"/>
    <w:rsid w:val="008D6CDE"/>
    <w:rsid w:val="008D6CF3"/>
    <w:rsid w:val="008D7089"/>
    <w:rsid w:val="008D71A0"/>
    <w:rsid w:val="008D72C5"/>
    <w:rsid w:val="008D797D"/>
    <w:rsid w:val="008E0041"/>
    <w:rsid w:val="008E0125"/>
    <w:rsid w:val="008E03C9"/>
    <w:rsid w:val="008E05DC"/>
    <w:rsid w:val="008E0A70"/>
    <w:rsid w:val="008E0D2F"/>
    <w:rsid w:val="008E18B3"/>
    <w:rsid w:val="008E19A0"/>
    <w:rsid w:val="008E1A26"/>
    <w:rsid w:val="008E1DEA"/>
    <w:rsid w:val="008E292B"/>
    <w:rsid w:val="008E2BB3"/>
    <w:rsid w:val="008E2F73"/>
    <w:rsid w:val="008E34B3"/>
    <w:rsid w:val="008E35A3"/>
    <w:rsid w:val="008E3B12"/>
    <w:rsid w:val="008E3DEE"/>
    <w:rsid w:val="008E428E"/>
    <w:rsid w:val="008E4430"/>
    <w:rsid w:val="008E4BB1"/>
    <w:rsid w:val="008E539F"/>
    <w:rsid w:val="008E54B9"/>
    <w:rsid w:val="008E54E1"/>
    <w:rsid w:val="008E5B09"/>
    <w:rsid w:val="008E5F06"/>
    <w:rsid w:val="008E64A6"/>
    <w:rsid w:val="008E687A"/>
    <w:rsid w:val="008E6A75"/>
    <w:rsid w:val="008E6A86"/>
    <w:rsid w:val="008E7254"/>
    <w:rsid w:val="008E7959"/>
    <w:rsid w:val="008E7C6D"/>
    <w:rsid w:val="008E7FC2"/>
    <w:rsid w:val="008F0095"/>
    <w:rsid w:val="008F0822"/>
    <w:rsid w:val="008F0F4B"/>
    <w:rsid w:val="008F1394"/>
    <w:rsid w:val="008F1623"/>
    <w:rsid w:val="008F17DA"/>
    <w:rsid w:val="008F1A35"/>
    <w:rsid w:val="008F1C10"/>
    <w:rsid w:val="008F1DEB"/>
    <w:rsid w:val="008F20FB"/>
    <w:rsid w:val="008F225D"/>
    <w:rsid w:val="008F2B21"/>
    <w:rsid w:val="008F2E5D"/>
    <w:rsid w:val="008F2F1B"/>
    <w:rsid w:val="008F304C"/>
    <w:rsid w:val="008F48D8"/>
    <w:rsid w:val="008F51E7"/>
    <w:rsid w:val="008F53B9"/>
    <w:rsid w:val="008F53CB"/>
    <w:rsid w:val="008F587D"/>
    <w:rsid w:val="008F5FD0"/>
    <w:rsid w:val="008F622E"/>
    <w:rsid w:val="008F66CD"/>
    <w:rsid w:val="008F6990"/>
    <w:rsid w:val="008F7358"/>
    <w:rsid w:val="008F7391"/>
    <w:rsid w:val="008F7471"/>
    <w:rsid w:val="008F7E0F"/>
    <w:rsid w:val="009005DC"/>
    <w:rsid w:val="00900F2D"/>
    <w:rsid w:val="00901068"/>
    <w:rsid w:val="0090146A"/>
    <w:rsid w:val="009020FF"/>
    <w:rsid w:val="0090299D"/>
    <w:rsid w:val="00902A51"/>
    <w:rsid w:val="00902B55"/>
    <w:rsid w:val="00903405"/>
    <w:rsid w:val="00903A82"/>
    <w:rsid w:val="00903DC1"/>
    <w:rsid w:val="00904189"/>
    <w:rsid w:val="00904A87"/>
    <w:rsid w:val="00904BDD"/>
    <w:rsid w:val="00905159"/>
    <w:rsid w:val="009056A5"/>
    <w:rsid w:val="00906A3C"/>
    <w:rsid w:val="009073CF"/>
    <w:rsid w:val="009075B3"/>
    <w:rsid w:val="009075BB"/>
    <w:rsid w:val="009075BC"/>
    <w:rsid w:val="009079DC"/>
    <w:rsid w:val="00907A1B"/>
    <w:rsid w:val="00907C62"/>
    <w:rsid w:val="009110B0"/>
    <w:rsid w:val="00911340"/>
    <w:rsid w:val="009113C7"/>
    <w:rsid w:val="00911826"/>
    <w:rsid w:val="00911B1C"/>
    <w:rsid w:val="00911BA7"/>
    <w:rsid w:val="009130EF"/>
    <w:rsid w:val="009132F0"/>
    <w:rsid w:val="00913377"/>
    <w:rsid w:val="00913488"/>
    <w:rsid w:val="00913AF9"/>
    <w:rsid w:val="009141F3"/>
    <w:rsid w:val="009148D4"/>
    <w:rsid w:val="009156D9"/>
    <w:rsid w:val="00915717"/>
    <w:rsid w:val="0091594F"/>
    <w:rsid w:val="00915AE4"/>
    <w:rsid w:val="0091627E"/>
    <w:rsid w:val="009163A8"/>
    <w:rsid w:val="00916CED"/>
    <w:rsid w:val="00916DF2"/>
    <w:rsid w:val="009170E0"/>
    <w:rsid w:val="00920142"/>
    <w:rsid w:val="009203AE"/>
    <w:rsid w:val="009212A6"/>
    <w:rsid w:val="009215FE"/>
    <w:rsid w:val="0092169C"/>
    <w:rsid w:val="00921754"/>
    <w:rsid w:val="009218AB"/>
    <w:rsid w:val="0092298E"/>
    <w:rsid w:val="00922BCF"/>
    <w:rsid w:val="0092320F"/>
    <w:rsid w:val="0092360A"/>
    <w:rsid w:val="00923BAA"/>
    <w:rsid w:val="00923D9F"/>
    <w:rsid w:val="009241F5"/>
    <w:rsid w:val="00924F2A"/>
    <w:rsid w:val="009250C2"/>
    <w:rsid w:val="009251C0"/>
    <w:rsid w:val="00925430"/>
    <w:rsid w:val="0092565D"/>
    <w:rsid w:val="00925726"/>
    <w:rsid w:val="00925828"/>
    <w:rsid w:val="0092597F"/>
    <w:rsid w:val="009259D3"/>
    <w:rsid w:val="0092627C"/>
    <w:rsid w:val="00926536"/>
    <w:rsid w:val="009267BD"/>
    <w:rsid w:val="00926A9B"/>
    <w:rsid w:val="00926AA2"/>
    <w:rsid w:val="009271F2"/>
    <w:rsid w:val="00927215"/>
    <w:rsid w:val="0092721D"/>
    <w:rsid w:val="0092774E"/>
    <w:rsid w:val="00927C52"/>
    <w:rsid w:val="00927CDE"/>
    <w:rsid w:val="00930190"/>
    <w:rsid w:val="00930272"/>
    <w:rsid w:val="00930E04"/>
    <w:rsid w:val="00931138"/>
    <w:rsid w:val="00931612"/>
    <w:rsid w:val="00931714"/>
    <w:rsid w:val="00931844"/>
    <w:rsid w:val="00931D59"/>
    <w:rsid w:val="00932183"/>
    <w:rsid w:val="009322E5"/>
    <w:rsid w:val="00932824"/>
    <w:rsid w:val="00932D17"/>
    <w:rsid w:val="00933197"/>
    <w:rsid w:val="00933DD2"/>
    <w:rsid w:val="0093420E"/>
    <w:rsid w:val="00934814"/>
    <w:rsid w:val="0093525C"/>
    <w:rsid w:val="00935D00"/>
    <w:rsid w:val="00936045"/>
    <w:rsid w:val="0093647A"/>
    <w:rsid w:val="00936C52"/>
    <w:rsid w:val="00937221"/>
    <w:rsid w:val="009372BF"/>
    <w:rsid w:val="0093744D"/>
    <w:rsid w:val="00937B2F"/>
    <w:rsid w:val="00940156"/>
    <w:rsid w:val="00940229"/>
    <w:rsid w:val="00940C72"/>
    <w:rsid w:val="00941F21"/>
    <w:rsid w:val="0094240F"/>
    <w:rsid w:val="009424DB"/>
    <w:rsid w:val="0094280A"/>
    <w:rsid w:val="00942855"/>
    <w:rsid w:val="00942B91"/>
    <w:rsid w:val="00943297"/>
    <w:rsid w:val="00943309"/>
    <w:rsid w:val="0094330C"/>
    <w:rsid w:val="00944273"/>
    <w:rsid w:val="0094429F"/>
    <w:rsid w:val="0094446F"/>
    <w:rsid w:val="00944580"/>
    <w:rsid w:val="00945D23"/>
    <w:rsid w:val="00946501"/>
    <w:rsid w:val="00946984"/>
    <w:rsid w:val="00947452"/>
    <w:rsid w:val="0095037C"/>
    <w:rsid w:val="009503F8"/>
    <w:rsid w:val="00950613"/>
    <w:rsid w:val="009506F0"/>
    <w:rsid w:val="00951654"/>
    <w:rsid w:val="0095167A"/>
    <w:rsid w:val="00952457"/>
    <w:rsid w:val="00952A03"/>
    <w:rsid w:val="00952C4F"/>
    <w:rsid w:val="00952EE4"/>
    <w:rsid w:val="00953209"/>
    <w:rsid w:val="0095330D"/>
    <w:rsid w:val="00953460"/>
    <w:rsid w:val="0095384F"/>
    <w:rsid w:val="009538AE"/>
    <w:rsid w:val="00953D8E"/>
    <w:rsid w:val="009543B7"/>
    <w:rsid w:val="00955470"/>
    <w:rsid w:val="00955CEC"/>
    <w:rsid w:val="009561AB"/>
    <w:rsid w:val="009561C2"/>
    <w:rsid w:val="009566A3"/>
    <w:rsid w:val="00956BF4"/>
    <w:rsid w:val="00957163"/>
    <w:rsid w:val="009571BD"/>
    <w:rsid w:val="00957349"/>
    <w:rsid w:val="00957A1A"/>
    <w:rsid w:val="0096068B"/>
    <w:rsid w:val="009608EE"/>
    <w:rsid w:val="00961C8D"/>
    <w:rsid w:val="00961EBD"/>
    <w:rsid w:val="00961FF3"/>
    <w:rsid w:val="00962218"/>
    <w:rsid w:val="0096225B"/>
    <w:rsid w:val="00962550"/>
    <w:rsid w:val="00963009"/>
    <w:rsid w:val="009640D0"/>
    <w:rsid w:val="0096445B"/>
    <w:rsid w:val="0096483B"/>
    <w:rsid w:val="00964A13"/>
    <w:rsid w:val="00964A95"/>
    <w:rsid w:val="00964FA5"/>
    <w:rsid w:val="0096507F"/>
    <w:rsid w:val="009654F0"/>
    <w:rsid w:val="009668B8"/>
    <w:rsid w:val="0096712A"/>
    <w:rsid w:val="00967346"/>
    <w:rsid w:val="00967C5D"/>
    <w:rsid w:val="009705E7"/>
    <w:rsid w:val="00970ADB"/>
    <w:rsid w:val="00970B79"/>
    <w:rsid w:val="00970CA5"/>
    <w:rsid w:val="00970CBA"/>
    <w:rsid w:val="0097167D"/>
    <w:rsid w:val="009725B3"/>
    <w:rsid w:val="00972D79"/>
    <w:rsid w:val="009731B6"/>
    <w:rsid w:val="0097324E"/>
    <w:rsid w:val="009739BD"/>
    <w:rsid w:val="00973BFB"/>
    <w:rsid w:val="00974D6F"/>
    <w:rsid w:val="00975FA0"/>
    <w:rsid w:val="009765B1"/>
    <w:rsid w:val="00977226"/>
    <w:rsid w:val="00977322"/>
    <w:rsid w:val="009778D5"/>
    <w:rsid w:val="00980285"/>
    <w:rsid w:val="00980519"/>
    <w:rsid w:val="00980A2F"/>
    <w:rsid w:val="00980C0E"/>
    <w:rsid w:val="00980FD3"/>
    <w:rsid w:val="00981017"/>
    <w:rsid w:val="009824B2"/>
    <w:rsid w:val="00982641"/>
    <w:rsid w:val="00982849"/>
    <w:rsid w:val="00982961"/>
    <w:rsid w:val="00983B0B"/>
    <w:rsid w:val="00984147"/>
    <w:rsid w:val="009849D1"/>
    <w:rsid w:val="00984E42"/>
    <w:rsid w:val="00985119"/>
    <w:rsid w:val="0098561C"/>
    <w:rsid w:val="0098597F"/>
    <w:rsid w:val="00985A24"/>
    <w:rsid w:val="00985E0F"/>
    <w:rsid w:val="00985E1A"/>
    <w:rsid w:val="00985EBE"/>
    <w:rsid w:val="00986060"/>
    <w:rsid w:val="00986582"/>
    <w:rsid w:val="00986EC2"/>
    <w:rsid w:val="00987435"/>
    <w:rsid w:val="00987584"/>
    <w:rsid w:val="00987ADF"/>
    <w:rsid w:val="00987CF3"/>
    <w:rsid w:val="00990AB8"/>
    <w:rsid w:val="00990C52"/>
    <w:rsid w:val="00990FE1"/>
    <w:rsid w:val="009911A2"/>
    <w:rsid w:val="0099174F"/>
    <w:rsid w:val="00992293"/>
    <w:rsid w:val="00992A56"/>
    <w:rsid w:val="00992E35"/>
    <w:rsid w:val="00992E39"/>
    <w:rsid w:val="00992EBE"/>
    <w:rsid w:val="0099386C"/>
    <w:rsid w:val="00993E9A"/>
    <w:rsid w:val="00994F87"/>
    <w:rsid w:val="009951B8"/>
    <w:rsid w:val="009951CB"/>
    <w:rsid w:val="00995309"/>
    <w:rsid w:val="0099544C"/>
    <w:rsid w:val="009962F0"/>
    <w:rsid w:val="0099635C"/>
    <w:rsid w:val="00996417"/>
    <w:rsid w:val="009969C3"/>
    <w:rsid w:val="00996E67"/>
    <w:rsid w:val="0099767C"/>
    <w:rsid w:val="00997CAB"/>
    <w:rsid w:val="00997CAF"/>
    <w:rsid w:val="009A0409"/>
    <w:rsid w:val="009A0475"/>
    <w:rsid w:val="009A0668"/>
    <w:rsid w:val="009A0B78"/>
    <w:rsid w:val="009A0DA5"/>
    <w:rsid w:val="009A2550"/>
    <w:rsid w:val="009A2D13"/>
    <w:rsid w:val="009A3483"/>
    <w:rsid w:val="009A36D5"/>
    <w:rsid w:val="009A3921"/>
    <w:rsid w:val="009A3F79"/>
    <w:rsid w:val="009A4085"/>
    <w:rsid w:val="009A40CF"/>
    <w:rsid w:val="009A4167"/>
    <w:rsid w:val="009A4CDF"/>
    <w:rsid w:val="009A53F3"/>
    <w:rsid w:val="009A55C5"/>
    <w:rsid w:val="009A5DE1"/>
    <w:rsid w:val="009A661A"/>
    <w:rsid w:val="009A670C"/>
    <w:rsid w:val="009A6C92"/>
    <w:rsid w:val="009A6EC8"/>
    <w:rsid w:val="009B005B"/>
    <w:rsid w:val="009B0129"/>
    <w:rsid w:val="009B04B7"/>
    <w:rsid w:val="009B0C48"/>
    <w:rsid w:val="009B0C56"/>
    <w:rsid w:val="009B0CD3"/>
    <w:rsid w:val="009B0E4F"/>
    <w:rsid w:val="009B1393"/>
    <w:rsid w:val="009B1AC5"/>
    <w:rsid w:val="009B1E3B"/>
    <w:rsid w:val="009B2352"/>
    <w:rsid w:val="009B2C3D"/>
    <w:rsid w:val="009B2C86"/>
    <w:rsid w:val="009B2EF7"/>
    <w:rsid w:val="009B2F47"/>
    <w:rsid w:val="009B344C"/>
    <w:rsid w:val="009B3705"/>
    <w:rsid w:val="009B3CEF"/>
    <w:rsid w:val="009B4580"/>
    <w:rsid w:val="009B4AD8"/>
    <w:rsid w:val="009B4DA5"/>
    <w:rsid w:val="009B50DF"/>
    <w:rsid w:val="009B50F6"/>
    <w:rsid w:val="009B56C2"/>
    <w:rsid w:val="009B5995"/>
    <w:rsid w:val="009B59FD"/>
    <w:rsid w:val="009B5E13"/>
    <w:rsid w:val="009B6307"/>
    <w:rsid w:val="009B7A73"/>
    <w:rsid w:val="009B7B7F"/>
    <w:rsid w:val="009B7C9C"/>
    <w:rsid w:val="009B7FC9"/>
    <w:rsid w:val="009C001F"/>
    <w:rsid w:val="009C00F1"/>
    <w:rsid w:val="009C01EE"/>
    <w:rsid w:val="009C0683"/>
    <w:rsid w:val="009C09D6"/>
    <w:rsid w:val="009C0FD4"/>
    <w:rsid w:val="009C1355"/>
    <w:rsid w:val="009C135D"/>
    <w:rsid w:val="009C1A59"/>
    <w:rsid w:val="009C1B42"/>
    <w:rsid w:val="009C1DC2"/>
    <w:rsid w:val="009C2620"/>
    <w:rsid w:val="009C3C8F"/>
    <w:rsid w:val="009C3E51"/>
    <w:rsid w:val="009C45AC"/>
    <w:rsid w:val="009C47CE"/>
    <w:rsid w:val="009C497B"/>
    <w:rsid w:val="009C4CDE"/>
    <w:rsid w:val="009C567D"/>
    <w:rsid w:val="009C573A"/>
    <w:rsid w:val="009C66CF"/>
    <w:rsid w:val="009C6AB1"/>
    <w:rsid w:val="009C70C0"/>
    <w:rsid w:val="009C783D"/>
    <w:rsid w:val="009C78F8"/>
    <w:rsid w:val="009D0077"/>
    <w:rsid w:val="009D02DB"/>
    <w:rsid w:val="009D048D"/>
    <w:rsid w:val="009D0707"/>
    <w:rsid w:val="009D1012"/>
    <w:rsid w:val="009D15E2"/>
    <w:rsid w:val="009D1A72"/>
    <w:rsid w:val="009D1FDC"/>
    <w:rsid w:val="009D2235"/>
    <w:rsid w:val="009D28E0"/>
    <w:rsid w:val="009D2ABD"/>
    <w:rsid w:val="009D2F04"/>
    <w:rsid w:val="009D3663"/>
    <w:rsid w:val="009D3998"/>
    <w:rsid w:val="009D3EA0"/>
    <w:rsid w:val="009D41A3"/>
    <w:rsid w:val="009D41BA"/>
    <w:rsid w:val="009D4351"/>
    <w:rsid w:val="009D4780"/>
    <w:rsid w:val="009D479D"/>
    <w:rsid w:val="009D4A3B"/>
    <w:rsid w:val="009D4B95"/>
    <w:rsid w:val="009D4BD3"/>
    <w:rsid w:val="009D4FD8"/>
    <w:rsid w:val="009D590A"/>
    <w:rsid w:val="009D5D4B"/>
    <w:rsid w:val="009D5D54"/>
    <w:rsid w:val="009D612A"/>
    <w:rsid w:val="009D6552"/>
    <w:rsid w:val="009D6E3C"/>
    <w:rsid w:val="009D7237"/>
    <w:rsid w:val="009D74B3"/>
    <w:rsid w:val="009D7628"/>
    <w:rsid w:val="009D7A4B"/>
    <w:rsid w:val="009D7AA5"/>
    <w:rsid w:val="009E00AD"/>
    <w:rsid w:val="009E0114"/>
    <w:rsid w:val="009E0182"/>
    <w:rsid w:val="009E066F"/>
    <w:rsid w:val="009E06AF"/>
    <w:rsid w:val="009E0BFB"/>
    <w:rsid w:val="009E0D47"/>
    <w:rsid w:val="009E0E84"/>
    <w:rsid w:val="009E1271"/>
    <w:rsid w:val="009E12B9"/>
    <w:rsid w:val="009E14B2"/>
    <w:rsid w:val="009E16B0"/>
    <w:rsid w:val="009E2001"/>
    <w:rsid w:val="009E2238"/>
    <w:rsid w:val="009E2563"/>
    <w:rsid w:val="009E264C"/>
    <w:rsid w:val="009E2718"/>
    <w:rsid w:val="009E2756"/>
    <w:rsid w:val="009E2AD6"/>
    <w:rsid w:val="009E2E59"/>
    <w:rsid w:val="009E2EF0"/>
    <w:rsid w:val="009E39D5"/>
    <w:rsid w:val="009E3D2C"/>
    <w:rsid w:val="009E3E13"/>
    <w:rsid w:val="009E3F14"/>
    <w:rsid w:val="009E425E"/>
    <w:rsid w:val="009E49DF"/>
    <w:rsid w:val="009E4A9E"/>
    <w:rsid w:val="009E5ABC"/>
    <w:rsid w:val="009E5B0A"/>
    <w:rsid w:val="009E608D"/>
    <w:rsid w:val="009E797C"/>
    <w:rsid w:val="009E7BCA"/>
    <w:rsid w:val="009F00BB"/>
    <w:rsid w:val="009F0437"/>
    <w:rsid w:val="009F0558"/>
    <w:rsid w:val="009F062C"/>
    <w:rsid w:val="009F08D9"/>
    <w:rsid w:val="009F0AF8"/>
    <w:rsid w:val="009F0E98"/>
    <w:rsid w:val="009F1646"/>
    <w:rsid w:val="009F1CE5"/>
    <w:rsid w:val="009F2CD4"/>
    <w:rsid w:val="009F364C"/>
    <w:rsid w:val="009F3661"/>
    <w:rsid w:val="009F3D9A"/>
    <w:rsid w:val="009F4877"/>
    <w:rsid w:val="009F488F"/>
    <w:rsid w:val="009F4BE2"/>
    <w:rsid w:val="009F4C29"/>
    <w:rsid w:val="009F4D3B"/>
    <w:rsid w:val="009F57A8"/>
    <w:rsid w:val="009F5EC9"/>
    <w:rsid w:val="009F6367"/>
    <w:rsid w:val="009F6633"/>
    <w:rsid w:val="009F68CC"/>
    <w:rsid w:val="009F7EF5"/>
    <w:rsid w:val="00A00A75"/>
    <w:rsid w:val="00A00C27"/>
    <w:rsid w:val="00A00CDB"/>
    <w:rsid w:val="00A02594"/>
    <w:rsid w:val="00A0284F"/>
    <w:rsid w:val="00A02FB2"/>
    <w:rsid w:val="00A03A6C"/>
    <w:rsid w:val="00A04486"/>
    <w:rsid w:val="00A055C0"/>
    <w:rsid w:val="00A05B34"/>
    <w:rsid w:val="00A06C2C"/>
    <w:rsid w:val="00A06C97"/>
    <w:rsid w:val="00A06C9E"/>
    <w:rsid w:val="00A070C2"/>
    <w:rsid w:val="00A077A7"/>
    <w:rsid w:val="00A07964"/>
    <w:rsid w:val="00A07D54"/>
    <w:rsid w:val="00A101FB"/>
    <w:rsid w:val="00A10324"/>
    <w:rsid w:val="00A10BA8"/>
    <w:rsid w:val="00A11D7C"/>
    <w:rsid w:val="00A1246E"/>
    <w:rsid w:val="00A12B49"/>
    <w:rsid w:val="00A12D34"/>
    <w:rsid w:val="00A12D4D"/>
    <w:rsid w:val="00A13261"/>
    <w:rsid w:val="00A13379"/>
    <w:rsid w:val="00A13D0A"/>
    <w:rsid w:val="00A1454E"/>
    <w:rsid w:val="00A14744"/>
    <w:rsid w:val="00A14CDE"/>
    <w:rsid w:val="00A1564E"/>
    <w:rsid w:val="00A15F55"/>
    <w:rsid w:val="00A1604E"/>
    <w:rsid w:val="00A1628F"/>
    <w:rsid w:val="00A167DA"/>
    <w:rsid w:val="00A17248"/>
    <w:rsid w:val="00A1749D"/>
    <w:rsid w:val="00A17591"/>
    <w:rsid w:val="00A17947"/>
    <w:rsid w:val="00A17CD4"/>
    <w:rsid w:val="00A17DB5"/>
    <w:rsid w:val="00A201A5"/>
    <w:rsid w:val="00A21267"/>
    <w:rsid w:val="00A21559"/>
    <w:rsid w:val="00A21680"/>
    <w:rsid w:val="00A2198A"/>
    <w:rsid w:val="00A21C84"/>
    <w:rsid w:val="00A21CCC"/>
    <w:rsid w:val="00A22091"/>
    <w:rsid w:val="00A2212A"/>
    <w:rsid w:val="00A22177"/>
    <w:rsid w:val="00A236A4"/>
    <w:rsid w:val="00A23A9D"/>
    <w:rsid w:val="00A23C42"/>
    <w:rsid w:val="00A2412B"/>
    <w:rsid w:val="00A242BE"/>
    <w:rsid w:val="00A24E4E"/>
    <w:rsid w:val="00A259F1"/>
    <w:rsid w:val="00A25F62"/>
    <w:rsid w:val="00A264DE"/>
    <w:rsid w:val="00A2656A"/>
    <w:rsid w:val="00A26AA8"/>
    <w:rsid w:val="00A26D5A"/>
    <w:rsid w:val="00A26EDD"/>
    <w:rsid w:val="00A27BAB"/>
    <w:rsid w:val="00A3048F"/>
    <w:rsid w:val="00A30D62"/>
    <w:rsid w:val="00A3120A"/>
    <w:rsid w:val="00A312EB"/>
    <w:rsid w:val="00A317F4"/>
    <w:rsid w:val="00A31845"/>
    <w:rsid w:val="00A31C48"/>
    <w:rsid w:val="00A31E2E"/>
    <w:rsid w:val="00A33683"/>
    <w:rsid w:val="00A33734"/>
    <w:rsid w:val="00A33EFE"/>
    <w:rsid w:val="00A33F26"/>
    <w:rsid w:val="00A33F33"/>
    <w:rsid w:val="00A34232"/>
    <w:rsid w:val="00A34DE5"/>
    <w:rsid w:val="00A354EE"/>
    <w:rsid w:val="00A35FFF"/>
    <w:rsid w:val="00A363F4"/>
    <w:rsid w:val="00A364CC"/>
    <w:rsid w:val="00A3680F"/>
    <w:rsid w:val="00A370B1"/>
    <w:rsid w:val="00A371EF"/>
    <w:rsid w:val="00A37AEF"/>
    <w:rsid w:val="00A37D58"/>
    <w:rsid w:val="00A37E11"/>
    <w:rsid w:val="00A40CC3"/>
    <w:rsid w:val="00A417D1"/>
    <w:rsid w:val="00A41AD8"/>
    <w:rsid w:val="00A41B65"/>
    <w:rsid w:val="00A41C3C"/>
    <w:rsid w:val="00A41EE4"/>
    <w:rsid w:val="00A42B08"/>
    <w:rsid w:val="00A42B11"/>
    <w:rsid w:val="00A42C9D"/>
    <w:rsid w:val="00A4304B"/>
    <w:rsid w:val="00A434DF"/>
    <w:rsid w:val="00A435E2"/>
    <w:rsid w:val="00A43F8B"/>
    <w:rsid w:val="00A44F02"/>
    <w:rsid w:val="00A459FF"/>
    <w:rsid w:val="00A45F20"/>
    <w:rsid w:val="00A46139"/>
    <w:rsid w:val="00A462BE"/>
    <w:rsid w:val="00A4638B"/>
    <w:rsid w:val="00A465D2"/>
    <w:rsid w:val="00A46926"/>
    <w:rsid w:val="00A4723F"/>
    <w:rsid w:val="00A47DAB"/>
    <w:rsid w:val="00A47FA5"/>
    <w:rsid w:val="00A509F5"/>
    <w:rsid w:val="00A50A02"/>
    <w:rsid w:val="00A51834"/>
    <w:rsid w:val="00A519DC"/>
    <w:rsid w:val="00A51C5A"/>
    <w:rsid w:val="00A52A17"/>
    <w:rsid w:val="00A53574"/>
    <w:rsid w:val="00A53718"/>
    <w:rsid w:val="00A5390B"/>
    <w:rsid w:val="00A53961"/>
    <w:rsid w:val="00A53BE0"/>
    <w:rsid w:val="00A53C14"/>
    <w:rsid w:val="00A53E42"/>
    <w:rsid w:val="00A544EC"/>
    <w:rsid w:val="00A54B98"/>
    <w:rsid w:val="00A54E16"/>
    <w:rsid w:val="00A54E8C"/>
    <w:rsid w:val="00A550F5"/>
    <w:rsid w:val="00A55249"/>
    <w:rsid w:val="00A555D9"/>
    <w:rsid w:val="00A563B6"/>
    <w:rsid w:val="00A5660D"/>
    <w:rsid w:val="00A569DE"/>
    <w:rsid w:val="00A57262"/>
    <w:rsid w:val="00A57752"/>
    <w:rsid w:val="00A57D52"/>
    <w:rsid w:val="00A57FA0"/>
    <w:rsid w:val="00A60527"/>
    <w:rsid w:val="00A61328"/>
    <w:rsid w:val="00A613AF"/>
    <w:rsid w:val="00A613EF"/>
    <w:rsid w:val="00A62385"/>
    <w:rsid w:val="00A62B4B"/>
    <w:rsid w:val="00A6347C"/>
    <w:rsid w:val="00A63659"/>
    <w:rsid w:val="00A6369D"/>
    <w:rsid w:val="00A63CC1"/>
    <w:rsid w:val="00A63E0A"/>
    <w:rsid w:val="00A642D9"/>
    <w:rsid w:val="00A64E73"/>
    <w:rsid w:val="00A652B1"/>
    <w:rsid w:val="00A65A5A"/>
    <w:rsid w:val="00A65DDF"/>
    <w:rsid w:val="00A65E33"/>
    <w:rsid w:val="00A6623C"/>
    <w:rsid w:val="00A6642B"/>
    <w:rsid w:val="00A66A57"/>
    <w:rsid w:val="00A66FFD"/>
    <w:rsid w:val="00A67530"/>
    <w:rsid w:val="00A6792A"/>
    <w:rsid w:val="00A703B9"/>
    <w:rsid w:val="00A7056F"/>
    <w:rsid w:val="00A707BC"/>
    <w:rsid w:val="00A710D0"/>
    <w:rsid w:val="00A71203"/>
    <w:rsid w:val="00A715DA"/>
    <w:rsid w:val="00A71C04"/>
    <w:rsid w:val="00A71F29"/>
    <w:rsid w:val="00A73651"/>
    <w:rsid w:val="00A737B4"/>
    <w:rsid w:val="00A73CBF"/>
    <w:rsid w:val="00A73D5B"/>
    <w:rsid w:val="00A74530"/>
    <w:rsid w:val="00A74861"/>
    <w:rsid w:val="00A748ED"/>
    <w:rsid w:val="00A751E9"/>
    <w:rsid w:val="00A75325"/>
    <w:rsid w:val="00A75424"/>
    <w:rsid w:val="00A76673"/>
    <w:rsid w:val="00A76685"/>
    <w:rsid w:val="00A76D45"/>
    <w:rsid w:val="00A76E89"/>
    <w:rsid w:val="00A77061"/>
    <w:rsid w:val="00A771F6"/>
    <w:rsid w:val="00A77E53"/>
    <w:rsid w:val="00A77E98"/>
    <w:rsid w:val="00A800F5"/>
    <w:rsid w:val="00A8012B"/>
    <w:rsid w:val="00A80347"/>
    <w:rsid w:val="00A80AD7"/>
    <w:rsid w:val="00A80CDE"/>
    <w:rsid w:val="00A8100E"/>
    <w:rsid w:val="00A814C4"/>
    <w:rsid w:val="00A816CE"/>
    <w:rsid w:val="00A819B7"/>
    <w:rsid w:val="00A81DD0"/>
    <w:rsid w:val="00A81E89"/>
    <w:rsid w:val="00A82459"/>
    <w:rsid w:val="00A82D0E"/>
    <w:rsid w:val="00A82E0C"/>
    <w:rsid w:val="00A83458"/>
    <w:rsid w:val="00A839A9"/>
    <w:rsid w:val="00A83B38"/>
    <w:rsid w:val="00A84193"/>
    <w:rsid w:val="00A843A0"/>
    <w:rsid w:val="00A845ED"/>
    <w:rsid w:val="00A84925"/>
    <w:rsid w:val="00A852AA"/>
    <w:rsid w:val="00A8558B"/>
    <w:rsid w:val="00A865CB"/>
    <w:rsid w:val="00A867A9"/>
    <w:rsid w:val="00A86D70"/>
    <w:rsid w:val="00A879F6"/>
    <w:rsid w:val="00A900ED"/>
    <w:rsid w:val="00A90C2A"/>
    <w:rsid w:val="00A90DA1"/>
    <w:rsid w:val="00A910FE"/>
    <w:rsid w:val="00A91F11"/>
    <w:rsid w:val="00A9221E"/>
    <w:rsid w:val="00A92B61"/>
    <w:rsid w:val="00A92DC4"/>
    <w:rsid w:val="00A92EC3"/>
    <w:rsid w:val="00A92FB7"/>
    <w:rsid w:val="00A9310F"/>
    <w:rsid w:val="00A9317C"/>
    <w:rsid w:val="00A93799"/>
    <w:rsid w:val="00A953A4"/>
    <w:rsid w:val="00A95DAA"/>
    <w:rsid w:val="00A96140"/>
    <w:rsid w:val="00A962A4"/>
    <w:rsid w:val="00A964A6"/>
    <w:rsid w:val="00A968FD"/>
    <w:rsid w:val="00A96B0E"/>
    <w:rsid w:val="00A96B5C"/>
    <w:rsid w:val="00A97160"/>
    <w:rsid w:val="00A97F5D"/>
    <w:rsid w:val="00AA1559"/>
    <w:rsid w:val="00AA1B59"/>
    <w:rsid w:val="00AA1B6E"/>
    <w:rsid w:val="00AA2376"/>
    <w:rsid w:val="00AA3147"/>
    <w:rsid w:val="00AA35AD"/>
    <w:rsid w:val="00AA3A97"/>
    <w:rsid w:val="00AA3BCB"/>
    <w:rsid w:val="00AA3CE6"/>
    <w:rsid w:val="00AA402D"/>
    <w:rsid w:val="00AA40E0"/>
    <w:rsid w:val="00AA4337"/>
    <w:rsid w:val="00AA43BA"/>
    <w:rsid w:val="00AA4498"/>
    <w:rsid w:val="00AA4AC3"/>
    <w:rsid w:val="00AA4E11"/>
    <w:rsid w:val="00AA4E9A"/>
    <w:rsid w:val="00AA5461"/>
    <w:rsid w:val="00AA5FAA"/>
    <w:rsid w:val="00AA6546"/>
    <w:rsid w:val="00AA6921"/>
    <w:rsid w:val="00AA6F43"/>
    <w:rsid w:val="00AA7398"/>
    <w:rsid w:val="00AA762C"/>
    <w:rsid w:val="00AA76A4"/>
    <w:rsid w:val="00AA7867"/>
    <w:rsid w:val="00AA78B8"/>
    <w:rsid w:val="00AA792C"/>
    <w:rsid w:val="00AA7CE5"/>
    <w:rsid w:val="00AB0297"/>
    <w:rsid w:val="00AB04B2"/>
    <w:rsid w:val="00AB06A7"/>
    <w:rsid w:val="00AB0A14"/>
    <w:rsid w:val="00AB0AC3"/>
    <w:rsid w:val="00AB1214"/>
    <w:rsid w:val="00AB1934"/>
    <w:rsid w:val="00AB21DB"/>
    <w:rsid w:val="00AB244C"/>
    <w:rsid w:val="00AB2E7B"/>
    <w:rsid w:val="00AB3040"/>
    <w:rsid w:val="00AB3293"/>
    <w:rsid w:val="00AB357D"/>
    <w:rsid w:val="00AB375E"/>
    <w:rsid w:val="00AB3925"/>
    <w:rsid w:val="00AB3FC3"/>
    <w:rsid w:val="00AB4427"/>
    <w:rsid w:val="00AB4959"/>
    <w:rsid w:val="00AB4AC2"/>
    <w:rsid w:val="00AB57EC"/>
    <w:rsid w:val="00AB57F3"/>
    <w:rsid w:val="00AB5B72"/>
    <w:rsid w:val="00AB6402"/>
    <w:rsid w:val="00AB6C9B"/>
    <w:rsid w:val="00AB779B"/>
    <w:rsid w:val="00AB79A6"/>
    <w:rsid w:val="00AB7CE1"/>
    <w:rsid w:val="00AC033B"/>
    <w:rsid w:val="00AC08E1"/>
    <w:rsid w:val="00AC0955"/>
    <w:rsid w:val="00AC0FF1"/>
    <w:rsid w:val="00AC125C"/>
    <w:rsid w:val="00AC193C"/>
    <w:rsid w:val="00AC1C25"/>
    <w:rsid w:val="00AC1FBF"/>
    <w:rsid w:val="00AC25B8"/>
    <w:rsid w:val="00AC27B3"/>
    <w:rsid w:val="00AC2CB5"/>
    <w:rsid w:val="00AC35CC"/>
    <w:rsid w:val="00AC362C"/>
    <w:rsid w:val="00AC439F"/>
    <w:rsid w:val="00AC46F6"/>
    <w:rsid w:val="00AC4741"/>
    <w:rsid w:val="00AC48BC"/>
    <w:rsid w:val="00AC4C4C"/>
    <w:rsid w:val="00AC4C87"/>
    <w:rsid w:val="00AC5A0C"/>
    <w:rsid w:val="00AC5A1E"/>
    <w:rsid w:val="00AC6457"/>
    <w:rsid w:val="00AC6579"/>
    <w:rsid w:val="00AC6DB8"/>
    <w:rsid w:val="00AC7592"/>
    <w:rsid w:val="00AC7687"/>
    <w:rsid w:val="00AC7C72"/>
    <w:rsid w:val="00AD019F"/>
    <w:rsid w:val="00AD024B"/>
    <w:rsid w:val="00AD08FC"/>
    <w:rsid w:val="00AD098F"/>
    <w:rsid w:val="00AD14E3"/>
    <w:rsid w:val="00AD17E3"/>
    <w:rsid w:val="00AD181F"/>
    <w:rsid w:val="00AD1FFA"/>
    <w:rsid w:val="00AD2272"/>
    <w:rsid w:val="00AD2414"/>
    <w:rsid w:val="00AD2EE6"/>
    <w:rsid w:val="00AD2F56"/>
    <w:rsid w:val="00AD3350"/>
    <w:rsid w:val="00AD34A1"/>
    <w:rsid w:val="00AD35A2"/>
    <w:rsid w:val="00AD3696"/>
    <w:rsid w:val="00AD3A91"/>
    <w:rsid w:val="00AD452C"/>
    <w:rsid w:val="00AD4552"/>
    <w:rsid w:val="00AD4BA1"/>
    <w:rsid w:val="00AD4C2B"/>
    <w:rsid w:val="00AD4D6C"/>
    <w:rsid w:val="00AD51A4"/>
    <w:rsid w:val="00AD534C"/>
    <w:rsid w:val="00AD5422"/>
    <w:rsid w:val="00AD5794"/>
    <w:rsid w:val="00AD591D"/>
    <w:rsid w:val="00AD5B09"/>
    <w:rsid w:val="00AD6F93"/>
    <w:rsid w:val="00AD7456"/>
    <w:rsid w:val="00AE0880"/>
    <w:rsid w:val="00AE0D1B"/>
    <w:rsid w:val="00AE1B8D"/>
    <w:rsid w:val="00AE2040"/>
    <w:rsid w:val="00AE2051"/>
    <w:rsid w:val="00AE2750"/>
    <w:rsid w:val="00AE3606"/>
    <w:rsid w:val="00AE3877"/>
    <w:rsid w:val="00AE436D"/>
    <w:rsid w:val="00AE47C6"/>
    <w:rsid w:val="00AE47E4"/>
    <w:rsid w:val="00AE4A7A"/>
    <w:rsid w:val="00AE4CD3"/>
    <w:rsid w:val="00AE4D56"/>
    <w:rsid w:val="00AE4FC2"/>
    <w:rsid w:val="00AE5110"/>
    <w:rsid w:val="00AE54AC"/>
    <w:rsid w:val="00AE5822"/>
    <w:rsid w:val="00AE59B4"/>
    <w:rsid w:val="00AE5BA4"/>
    <w:rsid w:val="00AE6329"/>
    <w:rsid w:val="00AE658A"/>
    <w:rsid w:val="00AE67B7"/>
    <w:rsid w:val="00AE6903"/>
    <w:rsid w:val="00AE6AE3"/>
    <w:rsid w:val="00AE6E07"/>
    <w:rsid w:val="00AE72C5"/>
    <w:rsid w:val="00AE7302"/>
    <w:rsid w:val="00AE7C76"/>
    <w:rsid w:val="00AE7CF9"/>
    <w:rsid w:val="00AE7E5B"/>
    <w:rsid w:val="00AF006C"/>
    <w:rsid w:val="00AF0797"/>
    <w:rsid w:val="00AF0977"/>
    <w:rsid w:val="00AF0B58"/>
    <w:rsid w:val="00AF0FA3"/>
    <w:rsid w:val="00AF1702"/>
    <w:rsid w:val="00AF18F4"/>
    <w:rsid w:val="00AF1AE1"/>
    <w:rsid w:val="00AF1BDE"/>
    <w:rsid w:val="00AF1DDA"/>
    <w:rsid w:val="00AF1E93"/>
    <w:rsid w:val="00AF2223"/>
    <w:rsid w:val="00AF2278"/>
    <w:rsid w:val="00AF2640"/>
    <w:rsid w:val="00AF2771"/>
    <w:rsid w:val="00AF2E08"/>
    <w:rsid w:val="00AF2E4E"/>
    <w:rsid w:val="00AF2ED9"/>
    <w:rsid w:val="00AF2F38"/>
    <w:rsid w:val="00AF330D"/>
    <w:rsid w:val="00AF337B"/>
    <w:rsid w:val="00AF3424"/>
    <w:rsid w:val="00AF38F6"/>
    <w:rsid w:val="00AF4100"/>
    <w:rsid w:val="00AF4304"/>
    <w:rsid w:val="00AF4405"/>
    <w:rsid w:val="00AF44BD"/>
    <w:rsid w:val="00AF4843"/>
    <w:rsid w:val="00AF4F19"/>
    <w:rsid w:val="00AF5043"/>
    <w:rsid w:val="00AF5185"/>
    <w:rsid w:val="00AF5336"/>
    <w:rsid w:val="00AF53FA"/>
    <w:rsid w:val="00AF55D0"/>
    <w:rsid w:val="00AF5606"/>
    <w:rsid w:val="00AF56B6"/>
    <w:rsid w:val="00AF5974"/>
    <w:rsid w:val="00AF65DB"/>
    <w:rsid w:val="00AF6768"/>
    <w:rsid w:val="00AF67BB"/>
    <w:rsid w:val="00AF70C7"/>
    <w:rsid w:val="00AF713F"/>
    <w:rsid w:val="00AF77CD"/>
    <w:rsid w:val="00AF7918"/>
    <w:rsid w:val="00B00AA8"/>
    <w:rsid w:val="00B00FA7"/>
    <w:rsid w:val="00B01145"/>
    <w:rsid w:val="00B01B5B"/>
    <w:rsid w:val="00B01DFD"/>
    <w:rsid w:val="00B029EB"/>
    <w:rsid w:val="00B03514"/>
    <w:rsid w:val="00B03579"/>
    <w:rsid w:val="00B035EB"/>
    <w:rsid w:val="00B03699"/>
    <w:rsid w:val="00B03A39"/>
    <w:rsid w:val="00B03B00"/>
    <w:rsid w:val="00B03BA1"/>
    <w:rsid w:val="00B03F92"/>
    <w:rsid w:val="00B04047"/>
    <w:rsid w:val="00B04D2B"/>
    <w:rsid w:val="00B04D59"/>
    <w:rsid w:val="00B04D8D"/>
    <w:rsid w:val="00B04EE2"/>
    <w:rsid w:val="00B04F84"/>
    <w:rsid w:val="00B0543C"/>
    <w:rsid w:val="00B0561C"/>
    <w:rsid w:val="00B05732"/>
    <w:rsid w:val="00B057E7"/>
    <w:rsid w:val="00B0678E"/>
    <w:rsid w:val="00B068A1"/>
    <w:rsid w:val="00B06E9E"/>
    <w:rsid w:val="00B07307"/>
    <w:rsid w:val="00B07E07"/>
    <w:rsid w:val="00B10282"/>
    <w:rsid w:val="00B1039C"/>
    <w:rsid w:val="00B104A6"/>
    <w:rsid w:val="00B10738"/>
    <w:rsid w:val="00B10AEE"/>
    <w:rsid w:val="00B11003"/>
    <w:rsid w:val="00B12265"/>
    <w:rsid w:val="00B1329F"/>
    <w:rsid w:val="00B13364"/>
    <w:rsid w:val="00B136CF"/>
    <w:rsid w:val="00B14CFC"/>
    <w:rsid w:val="00B15450"/>
    <w:rsid w:val="00B157CA"/>
    <w:rsid w:val="00B15AB1"/>
    <w:rsid w:val="00B160E2"/>
    <w:rsid w:val="00B17064"/>
    <w:rsid w:val="00B176EA"/>
    <w:rsid w:val="00B17BA1"/>
    <w:rsid w:val="00B20C8D"/>
    <w:rsid w:val="00B20CB1"/>
    <w:rsid w:val="00B20E11"/>
    <w:rsid w:val="00B217EF"/>
    <w:rsid w:val="00B21E71"/>
    <w:rsid w:val="00B22084"/>
    <w:rsid w:val="00B22938"/>
    <w:rsid w:val="00B22E6E"/>
    <w:rsid w:val="00B2308F"/>
    <w:rsid w:val="00B23201"/>
    <w:rsid w:val="00B23D5F"/>
    <w:rsid w:val="00B23ED9"/>
    <w:rsid w:val="00B24DC5"/>
    <w:rsid w:val="00B25971"/>
    <w:rsid w:val="00B259E7"/>
    <w:rsid w:val="00B25ECF"/>
    <w:rsid w:val="00B26FEE"/>
    <w:rsid w:val="00B27610"/>
    <w:rsid w:val="00B27DEF"/>
    <w:rsid w:val="00B30004"/>
    <w:rsid w:val="00B3030C"/>
    <w:rsid w:val="00B30680"/>
    <w:rsid w:val="00B3085F"/>
    <w:rsid w:val="00B30ABD"/>
    <w:rsid w:val="00B30E4B"/>
    <w:rsid w:val="00B30F29"/>
    <w:rsid w:val="00B31A37"/>
    <w:rsid w:val="00B31B08"/>
    <w:rsid w:val="00B32152"/>
    <w:rsid w:val="00B329CE"/>
    <w:rsid w:val="00B330DF"/>
    <w:rsid w:val="00B33920"/>
    <w:rsid w:val="00B33AAA"/>
    <w:rsid w:val="00B3437E"/>
    <w:rsid w:val="00B34609"/>
    <w:rsid w:val="00B34810"/>
    <w:rsid w:val="00B34C43"/>
    <w:rsid w:val="00B34EF6"/>
    <w:rsid w:val="00B35B0D"/>
    <w:rsid w:val="00B35C1A"/>
    <w:rsid w:val="00B363AB"/>
    <w:rsid w:val="00B365D3"/>
    <w:rsid w:val="00B36630"/>
    <w:rsid w:val="00B36BAE"/>
    <w:rsid w:val="00B3754A"/>
    <w:rsid w:val="00B377AC"/>
    <w:rsid w:val="00B37ABE"/>
    <w:rsid w:val="00B37D70"/>
    <w:rsid w:val="00B4007C"/>
    <w:rsid w:val="00B407CA"/>
    <w:rsid w:val="00B41408"/>
    <w:rsid w:val="00B41AE5"/>
    <w:rsid w:val="00B41B5F"/>
    <w:rsid w:val="00B41B89"/>
    <w:rsid w:val="00B41DE9"/>
    <w:rsid w:val="00B422AA"/>
    <w:rsid w:val="00B424AD"/>
    <w:rsid w:val="00B42F36"/>
    <w:rsid w:val="00B430DE"/>
    <w:rsid w:val="00B432BD"/>
    <w:rsid w:val="00B43673"/>
    <w:rsid w:val="00B43981"/>
    <w:rsid w:val="00B43B70"/>
    <w:rsid w:val="00B43B7E"/>
    <w:rsid w:val="00B43E28"/>
    <w:rsid w:val="00B43FBB"/>
    <w:rsid w:val="00B444DC"/>
    <w:rsid w:val="00B449F1"/>
    <w:rsid w:val="00B44D30"/>
    <w:rsid w:val="00B45C51"/>
    <w:rsid w:val="00B465A9"/>
    <w:rsid w:val="00B46D49"/>
    <w:rsid w:val="00B47DE0"/>
    <w:rsid w:val="00B47F29"/>
    <w:rsid w:val="00B50343"/>
    <w:rsid w:val="00B509BF"/>
    <w:rsid w:val="00B50D35"/>
    <w:rsid w:val="00B50F35"/>
    <w:rsid w:val="00B51547"/>
    <w:rsid w:val="00B51DCD"/>
    <w:rsid w:val="00B5221A"/>
    <w:rsid w:val="00B5253A"/>
    <w:rsid w:val="00B52666"/>
    <w:rsid w:val="00B52B74"/>
    <w:rsid w:val="00B52C76"/>
    <w:rsid w:val="00B52F09"/>
    <w:rsid w:val="00B531A2"/>
    <w:rsid w:val="00B531D3"/>
    <w:rsid w:val="00B53632"/>
    <w:rsid w:val="00B5402D"/>
    <w:rsid w:val="00B54077"/>
    <w:rsid w:val="00B54263"/>
    <w:rsid w:val="00B54B46"/>
    <w:rsid w:val="00B54D46"/>
    <w:rsid w:val="00B551EA"/>
    <w:rsid w:val="00B5530F"/>
    <w:rsid w:val="00B55948"/>
    <w:rsid w:val="00B5594F"/>
    <w:rsid w:val="00B5600E"/>
    <w:rsid w:val="00B56B44"/>
    <w:rsid w:val="00B5717E"/>
    <w:rsid w:val="00B5773B"/>
    <w:rsid w:val="00B5791B"/>
    <w:rsid w:val="00B57FB2"/>
    <w:rsid w:val="00B57FC2"/>
    <w:rsid w:val="00B6030B"/>
    <w:rsid w:val="00B60784"/>
    <w:rsid w:val="00B60923"/>
    <w:rsid w:val="00B60A76"/>
    <w:rsid w:val="00B60CAA"/>
    <w:rsid w:val="00B61716"/>
    <w:rsid w:val="00B61877"/>
    <w:rsid w:val="00B61C87"/>
    <w:rsid w:val="00B62147"/>
    <w:rsid w:val="00B62368"/>
    <w:rsid w:val="00B62EE3"/>
    <w:rsid w:val="00B62F6B"/>
    <w:rsid w:val="00B6310E"/>
    <w:rsid w:val="00B63473"/>
    <w:rsid w:val="00B63640"/>
    <w:rsid w:val="00B639DA"/>
    <w:rsid w:val="00B63A68"/>
    <w:rsid w:val="00B647BD"/>
    <w:rsid w:val="00B64876"/>
    <w:rsid w:val="00B64D58"/>
    <w:rsid w:val="00B64E40"/>
    <w:rsid w:val="00B65560"/>
    <w:rsid w:val="00B665F2"/>
    <w:rsid w:val="00B67721"/>
    <w:rsid w:val="00B67744"/>
    <w:rsid w:val="00B67A4F"/>
    <w:rsid w:val="00B67DAB"/>
    <w:rsid w:val="00B71278"/>
    <w:rsid w:val="00B71A85"/>
    <w:rsid w:val="00B71AC4"/>
    <w:rsid w:val="00B71F31"/>
    <w:rsid w:val="00B71F43"/>
    <w:rsid w:val="00B7276C"/>
    <w:rsid w:val="00B72882"/>
    <w:rsid w:val="00B7341E"/>
    <w:rsid w:val="00B73424"/>
    <w:rsid w:val="00B738D0"/>
    <w:rsid w:val="00B7397B"/>
    <w:rsid w:val="00B739A0"/>
    <w:rsid w:val="00B73CBE"/>
    <w:rsid w:val="00B741D2"/>
    <w:rsid w:val="00B7450D"/>
    <w:rsid w:val="00B74E5E"/>
    <w:rsid w:val="00B750A8"/>
    <w:rsid w:val="00B7526B"/>
    <w:rsid w:val="00B75335"/>
    <w:rsid w:val="00B7555B"/>
    <w:rsid w:val="00B75669"/>
    <w:rsid w:val="00B75C6E"/>
    <w:rsid w:val="00B75CB9"/>
    <w:rsid w:val="00B75F0B"/>
    <w:rsid w:val="00B76AF9"/>
    <w:rsid w:val="00B76BEF"/>
    <w:rsid w:val="00B76F5E"/>
    <w:rsid w:val="00B7752D"/>
    <w:rsid w:val="00B77E72"/>
    <w:rsid w:val="00B77E85"/>
    <w:rsid w:val="00B77FCA"/>
    <w:rsid w:val="00B800C9"/>
    <w:rsid w:val="00B8026A"/>
    <w:rsid w:val="00B80359"/>
    <w:rsid w:val="00B80683"/>
    <w:rsid w:val="00B80868"/>
    <w:rsid w:val="00B80938"/>
    <w:rsid w:val="00B80977"/>
    <w:rsid w:val="00B80BEB"/>
    <w:rsid w:val="00B80D14"/>
    <w:rsid w:val="00B81094"/>
    <w:rsid w:val="00B81178"/>
    <w:rsid w:val="00B8117C"/>
    <w:rsid w:val="00B81264"/>
    <w:rsid w:val="00B821B6"/>
    <w:rsid w:val="00B823D4"/>
    <w:rsid w:val="00B8271B"/>
    <w:rsid w:val="00B8362D"/>
    <w:rsid w:val="00B83706"/>
    <w:rsid w:val="00B83A54"/>
    <w:rsid w:val="00B83AA4"/>
    <w:rsid w:val="00B83B59"/>
    <w:rsid w:val="00B84033"/>
    <w:rsid w:val="00B8457F"/>
    <w:rsid w:val="00B8516F"/>
    <w:rsid w:val="00B853C4"/>
    <w:rsid w:val="00B853EB"/>
    <w:rsid w:val="00B85762"/>
    <w:rsid w:val="00B86151"/>
    <w:rsid w:val="00B862E5"/>
    <w:rsid w:val="00B87424"/>
    <w:rsid w:val="00B87A83"/>
    <w:rsid w:val="00B87AB1"/>
    <w:rsid w:val="00B901DA"/>
    <w:rsid w:val="00B90880"/>
    <w:rsid w:val="00B90892"/>
    <w:rsid w:val="00B917E0"/>
    <w:rsid w:val="00B91F24"/>
    <w:rsid w:val="00B9248E"/>
    <w:rsid w:val="00B92B4A"/>
    <w:rsid w:val="00B93028"/>
    <w:rsid w:val="00B93858"/>
    <w:rsid w:val="00B93DAC"/>
    <w:rsid w:val="00B93F3A"/>
    <w:rsid w:val="00B94358"/>
    <w:rsid w:val="00B94CBC"/>
    <w:rsid w:val="00B94D1D"/>
    <w:rsid w:val="00B94D24"/>
    <w:rsid w:val="00B96D19"/>
    <w:rsid w:val="00BA008F"/>
    <w:rsid w:val="00BA11AB"/>
    <w:rsid w:val="00BA12BA"/>
    <w:rsid w:val="00BA1569"/>
    <w:rsid w:val="00BA1972"/>
    <w:rsid w:val="00BA19BF"/>
    <w:rsid w:val="00BA1A7F"/>
    <w:rsid w:val="00BA1C38"/>
    <w:rsid w:val="00BA1CED"/>
    <w:rsid w:val="00BA20D4"/>
    <w:rsid w:val="00BA22D6"/>
    <w:rsid w:val="00BA2D8B"/>
    <w:rsid w:val="00BA2DC5"/>
    <w:rsid w:val="00BA2E32"/>
    <w:rsid w:val="00BA327B"/>
    <w:rsid w:val="00BA348E"/>
    <w:rsid w:val="00BA3A41"/>
    <w:rsid w:val="00BA440F"/>
    <w:rsid w:val="00BA455E"/>
    <w:rsid w:val="00BA45D1"/>
    <w:rsid w:val="00BA5106"/>
    <w:rsid w:val="00BA5228"/>
    <w:rsid w:val="00BA56EA"/>
    <w:rsid w:val="00BA5D90"/>
    <w:rsid w:val="00BA68C2"/>
    <w:rsid w:val="00BA6ACA"/>
    <w:rsid w:val="00BA6B5B"/>
    <w:rsid w:val="00BA6B91"/>
    <w:rsid w:val="00BA7C49"/>
    <w:rsid w:val="00BB01E8"/>
    <w:rsid w:val="00BB111D"/>
    <w:rsid w:val="00BB12C2"/>
    <w:rsid w:val="00BB14B7"/>
    <w:rsid w:val="00BB1A6B"/>
    <w:rsid w:val="00BB1B48"/>
    <w:rsid w:val="00BB1ED5"/>
    <w:rsid w:val="00BB21E7"/>
    <w:rsid w:val="00BB2265"/>
    <w:rsid w:val="00BB22CB"/>
    <w:rsid w:val="00BB2737"/>
    <w:rsid w:val="00BB315F"/>
    <w:rsid w:val="00BB378F"/>
    <w:rsid w:val="00BB3C4B"/>
    <w:rsid w:val="00BB3D6B"/>
    <w:rsid w:val="00BB4745"/>
    <w:rsid w:val="00BB4C42"/>
    <w:rsid w:val="00BB5025"/>
    <w:rsid w:val="00BB605B"/>
    <w:rsid w:val="00BB6159"/>
    <w:rsid w:val="00BB673D"/>
    <w:rsid w:val="00BB6A91"/>
    <w:rsid w:val="00BB71C0"/>
    <w:rsid w:val="00BB762E"/>
    <w:rsid w:val="00BB7778"/>
    <w:rsid w:val="00BB78B2"/>
    <w:rsid w:val="00BC044C"/>
    <w:rsid w:val="00BC0D3F"/>
    <w:rsid w:val="00BC11FC"/>
    <w:rsid w:val="00BC132B"/>
    <w:rsid w:val="00BC21E5"/>
    <w:rsid w:val="00BC2987"/>
    <w:rsid w:val="00BC2C0C"/>
    <w:rsid w:val="00BC2C7B"/>
    <w:rsid w:val="00BC314C"/>
    <w:rsid w:val="00BC34F2"/>
    <w:rsid w:val="00BC3E32"/>
    <w:rsid w:val="00BC3F16"/>
    <w:rsid w:val="00BC4BDE"/>
    <w:rsid w:val="00BC4D75"/>
    <w:rsid w:val="00BC4D81"/>
    <w:rsid w:val="00BC51F4"/>
    <w:rsid w:val="00BC5AA2"/>
    <w:rsid w:val="00BC5CCC"/>
    <w:rsid w:val="00BC62BF"/>
    <w:rsid w:val="00BC660C"/>
    <w:rsid w:val="00BC7141"/>
    <w:rsid w:val="00BC7288"/>
    <w:rsid w:val="00BC728D"/>
    <w:rsid w:val="00BD0653"/>
    <w:rsid w:val="00BD0C25"/>
    <w:rsid w:val="00BD1EC1"/>
    <w:rsid w:val="00BD1EDB"/>
    <w:rsid w:val="00BD2403"/>
    <w:rsid w:val="00BD34A6"/>
    <w:rsid w:val="00BD3A51"/>
    <w:rsid w:val="00BD528B"/>
    <w:rsid w:val="00BD5626"/>
    <w:rsid w:val="00BD5679"/>
    <w:rsid w:val="00BD5936"/>
    <w:rsid w:val="00BD5D3E"/>
    <w:rsid w:val="00BD5E30"/>
    <w:rsid w:val="00BD60D8"/>
    <w:rsid w:val="00BD7068"/>
    <w:rsid w:val="00BD7255"/>
    <w:rsid w:val="00BD79AF"/>
    <w:rsid w:val="00BD7ABB"/>
    <w:rsid w:val="00BE054E"/>
    <w:rsid w:val="00BE1426"/>
    <w:rsid w:val="00BE1518"/>
    <w:rsid w:val="00BE16F7"/>
    <w:rsid w:val="00BE18D9"/>
    <w:rsid w:val="00BE1C0A"/>
    <w:rsid w:val="00BE2A93"/>
    <w:rsid w:val="00BE35F0"/>
    <w:rsid w:val="00BE3BBA"/>
    <w:rsid w:val="00BE4344"/>
    <w:rsid w:val="00BE43DF"/>
    <w:rsid w:val="00BE4D05"/>
    <w:rsid w:val="00BE51F1"/>
    <w:rsid w:val="00BE52C8"/>
    <w:rsid w:val="00BE53EA"/>
    <w:rsid w:val="00BE55A9"/>
    <w:rsid w:val="00BE56A5"/>
    <w:rsid w:val="00BE6542"/>
    <w:rsid w:val="00BE6623"/>
    <w:rsid w:val="00BE696E"/>
    <w:rsid w:val="00BE6AD7"/>
    <w:rsid w:val="00BE6D5F"/>
    <w:rsid w:val="00BE6D95"/>
    <w:rsid w:val="00BE719A"/>
    <w:rsid w:val="00BE71C0"/>
    <w:rsid w:val="00BE7227"/>
    <w:rsid w:val="00BE74AD"/>
    <w:rsid w:val="00BE76E3"/>
    <w:rsid w:val="00BE79C6"/>
    <w:rsid w:val="00BE7CA8"/>
    <w:rsid w:val="00BE7F44"/>
    <w:rsid w:val="00BF074E"/>
    <w:rsid w:val="00BF093F"/>
    <w:rsid w:val="00BF10FD"/>
    <w:rsid w:val="00BF1535"/>
    <w:rsid w:val="00BF1DF8"/>
    <w:rsid w:val="00BF2135"/>
    <w:rsid w:val="00BF2612"/>
    <w:rsid w:val="00BF29E2"/>
    <w:rsid w:val="00BF2B47"/>
    <w:rsid w:val="00BF34A7"/>
    <w:rsid w:val="00BF3628"/>
    <w:rsid w:val="00BF3A9B"/>
    <w:rsid w:val="00BF49B6"/>
    <w:rsid w:val="00BF4C75"/>
    <w:rsid w:val="00BF4F7A"/>
    <w:rsid w:val="00BF4F83"/>
    <w:rsid w:val="00BF5687"/>
    <w:rsid w:val="00BF61D5"/>
    <w:rsid w:val="00BF62FB"/>
    <w:rsid w:val="00BF69B1"/>
    <w:rsid w:val="00BF6A5C"/>
    <w:rsid w:val="00BF6E35"/>
    <w:rsid w:val="00BF7101"/>
    <w:rsid w:val="00BF7AEE"/>
    <w:rsid w:val="00BF7D8E"/>
    <w:rsid w:val="00BF7EDC"/>
    <w:rsid w:val="00C000B6"/>
    <w:rsid w:val="00C011DB"/>
    <w:rsid w:val="00C0170D"/>
    <w:rsid w:val="00C0275E"/>
    <w:rsid w:val="00C02765"/>
    <w:rsid w:val="00C03870"/>
    <w:rsid w:val="00C040BF"/>
    <w:rsid w:val="00C043DD"/>
    <w:rsid w:val="00C04E08"/>
    <w:rsid w:val="00C04FF2"/>
    <w:rsid w:val="00C05C46"/>
    <w:rsid w:val="00C05D6D"/>
    <w:rsid w:val="00C05E1B"/>
    <w:rsid w:val="00C06175"/>
    <w:rsid w:val="00C06F25"/>
    <w:rsid w:val="00C071D6"/>
    <w:rsid w:val="00C10856"/>
    <w:rsid w:val="00C10ACB"/>
    <w:rsid w:val="00C10D43"/>
    <w:rsid w:val="00C10DC7"/>
    <w:rsid w:val="00C11813"/>
    <w:rsid w:val="00C11963"/>
    <w:rsid w:val="00C11BED"/>
    <w:rsid w:val="00C11CAC"/>
    <w:rsid w:val="00C1279F"/>
    <w:rsid w:val="00C12A97"/>
    <w:rsid w:val="00C13279"/>
    <w:rsid w:val="00C13678"/>
    <w:rsid w:val="00C14653"/>
    <w:rsid w:val="00C14CF7"/>
    <w:rsid w:val="00C15036"/>
    <w:rsid w:val="00C1530C"/>
    <w:rsid w:val="00C15903"/>
    <w:rsid w:val="00C15937"/>
    <w:rsid w:val="00C16363"/>
    <w:rsid w:val="00C168CF"/>
    <w:rsid w:val="00C16A7F"/>
    <w:rsid w:val="00C16CCC"/>
    <w:rsid w:val="00C170E6"/>
    <w:rsid w:val="00C1732E"/>
    <w:rsid w:val="00C17B4A"/>
    <w:rsid w:val="00C201BD"/>
    <w:rsid w:val="00C201E1"/>
    <w:rsid w:val="00C20FB7"/>
    <w:rsid w:val="00C21504"/>
    <w:rsid w:val="00C21507"/>
    <w:rsid w:val="00C21D30"/>
    <w:rsid w:val="00C21DDD"/>
    <w:rsid w:val="00C21E2D"/>
    <w:rsid w:val="00C2278E"/>
    <w:rsid w:val="00C23E51"/>
    <w:rsid w:val="00C24170"/>
    <w:rsid w:val="00C2473E"/>
    <w:rsid w:val="00C2534D"/>
    <w:rsid w:val="00C258C2"/>
    <w:rsid w:val="00C25F27"/>
    <w:rsid w:val="00C2621E"/>
    <w:rsid w:val="00C2631E"/>
    <w:rsid w:val="00C26911"/>
    <w:rsid w:val="00C27A90"/>
    <w:rsid w:val="00C27D48"/>
    <w:rsid w:val="00C30757"/>
    <w:rsid w:val="00C308D7"/>
    <w:rsid w:val="00C30B21"/>
    <w:rsid w:val="00C31008"/>
    <w:rsid w:val="00C3117D"/>
    <w:rsid w:val="00C314AE"/>
    <w:rsid w:val="00C314FE"/>
    <w:rsid w:val="00C32DCD"/>
    <w:rsid w:val="00C332AF"/>
    <w:rsid w:val="00C33482"/>
    <w:rsid w:val="00C33968"/>
    <w:rsid w:val="00C33B3D"/>
    <w:rsid w:val="00C33C91"/>
    <w:rsid w:val="00C3410E"/>
    <w:rsid w:val="00C34304"/>
    <w:rsid w:val="00C3436D"/>
    <w:rsid w:val="00C344FF"/>
    <w:rsid w:val="00C346B4"/>
    <w:rsid w:val="00C349F2"/>
    <w:rsid w:val="00C34B1F"/>
    <w:rsid w:val="00C34DAD"/>
    <w:rsid w:val="00C35073"/>
    <w:rsid w:val="00C35870"/>
    <w:rsid w:val="00C358F6"/>
    <w:rsid w:val="00C35AAC"/>
    <w:rsid w:val="00C362DF"/>
    <w:rsid w:val="00C363EE"/>
    <w:rsid w:val="00C36A4B"/>
    <w:rsid w:val="00C36C27"/>
    <w:rsid w:val="00C37AFA"/>
    <w:rsid w:val="00C37E57"/>
    <w:rsid w:val="00C37FD9"/>
    <w:rsid w:val="00C40573"/>
    <w:rsid w:val="00C40C9A"/>
    <w:rsid w:val="00C410D5"/>
    <w:rsid w:val="00C410E9"/>
    <w:rsid w:val="00C417FA"/>
    <w:rsid w:val="00C41D52"/>
    <w:rsid w:val="00C425B5"/>
    <w:rsid w:val="00C42839"/>
    <w:rsid w:val="00C42B0F"/>
    <w:rsid w:val="00C42D3C"/>
    <w:rsid w:val="00C44047"/>
    <w:rsid w:val="00C44549"/>
    <w:rsid w:val="00C447A4"/>
    <w:rsid w:val="00C44C66"/>
    <w:rsid w:val="00C45326"/>
    <w:rsid w:val="00C45331"/>
    <w:rsid w:val="00C453AE"/>
    <w:rsid w:val="00C4556D"/>
    <w:rsid w:val="00C45583"/>
    <w:rsid w:val="00C461B3"/>
    <w:rsid w:val="00C4698A"/>
    <w:rsid w:val="00C46DB5"/>
    <w:rsid w:val="00C47BB9"/>
    <w:rsid w:val="00C47F8F"/>
    <w:rsid w:val="00C50041"/>
    <w:rsid w:val="00C5041E"/>
    <w:rsid w:val="00C50EAD"/>
    <w:rsid w:val="00C515C3"/>
    <w:rsid w:val="00C521C6"/>
    <w:rsid w:val="00C527A5"/>
    <w:rsid w:val="00C52A25"/>
    <w:rsid w:val="00C52D33"/>
    <w:rsid w:val="00C52E6E"/>
    <w:rsid w:val="00C53695"/>
    <w:rsid w:val="00C53888"/>
    <w:rsid w:val="00C541C5"/>
    <w:rsid w:val="00C54B94"/>
    <w:rsid w:val="00C54B98"/>
    <w:rsid w:val="00C54F98"/>
    <w:rsid w:val="00C55089"/>
    <w:rsid w:val="00C5590F"/>
    <w:rsid w:val="00C55BD4"/>
    <w:rsid w:val="00C55CC7"/>
    <w:rsid w:val="00C55D2B"/>
    <w:rsid w:val="00C55DE4"/>
    <w:rsid w:val="00C5644E"/>
    <w:rsid w:val="00C5660F"/>
    <w:rsid w:val="00C567B3"/>
    <w:rsid w:val="00C570C6"/>
    <w:rsid w:val="00C575BE"/>
    <w:rsid w:val="00C57B79"/>
    <w:rsid w:val="00C57FDF"/>
    <w:rsid w:val="00C60FA0"/>
    <w:rsid w:val="00C60FE9"/>
    <w:rsid w:val="00C61A04"/>
    <w:rsid w:val="00C61AFA"/>
    <w:rsid w:val="00C61C44"/>
    <w:rsid w:val="00C62296"/>
    <w:rsid w:val="00C62558"/>
    <w:rsid w:val="00C62EA3"/>
    <w:rsid w:val="00C6381D"/>
    <w:rsid w:val="00C6422B"/>
    <w:rsid w:val="00C6437F"/>
    <w:rsid w:val="00C64851"/>
    <w:rsid w:val="00C64BC3"/>
    <w:rsid w:val="00C65129"/>
    <w:rsid w:val="00C651E8"/>
    <w:rsid w:val="00C65309"/>
    <w:rsid w:val="00C65506"/>
    <w:rsid w:val="00C65721"/>
    <w:rsid w:val="00C6580C"/>
    <w:rsid w:val="00C6646C"/>
    <w:rsid w:val="00C670B1"/>
    <w:rsid w:val="00C67208"/>
    <w:rsid w:val="00C67480"/>
    <w:rsid w:val="00C67BA5"/>
    <w:rsid w:val="00C67DE5"/>
    <w:rsid w:val="00C707D8"/>
    <w:rsid w:val="00C70809"/>
    <w:rsid w:val="00C71940"/>
    <w:rsid w:val="00C71C7D"/>
    <w:rsid w:val="00C72824"/>
    <w:rsid w:val="00C7282C"/>
    <w:rsid w:val="00C72BE5"/>
    <w:rsid w:val="00C72DB5"/>
    <w:rsid w:val="00C73623"/>
    <w:rsid w:val="00C737E1"/>
    <w:rsid w:val="00C7415E"/>
    <w:rsid w:val="00C7436D"/>
    <w:rsid w:val="00C7437C"/>
    <w:rsid w:val="00C743AF"/>
    <w:rsid w:val="00C74512"/>
    <w:rsid w:val="00C74BC4"/>
    <w:rsid w:val="00C74C97"/>
    <w:rsid w:val="00C74CE3"/>
    <w:rsid w:val="00C74FAE"/>
    <w:rsid w:val="00C7661A"/>
    <w:rsid w:val="00C76979"/>
    <w:rsid w:val="00C77204"/>
    <w:rsid w:val="00C77306"/>
    <w:rsid w:val="00C7735C"/>
    <w:rsid w:val="00C77526"/>
    <w:rsid w:val="00C8034A"/>
    <w:rsid w:val="00C80A54"/>
    <w:rsid w:val="00C80CF7"/>
    <w:rsid w:val="00C81DA2"/>
    <w:rsid w:val="00C820B6"/>
    <w:rsid w:val="00C822A5"/>
    <w:rsid w:val="00C8256D"/>
    <w:rsid w:val="00C825FC"/>
    <w:rsid w:val="00C82A16"/>
    <w:rsid w:val="00C83C36"/>
    <w:rsid w:val="00C843BB"/>
    <w:rsid w:val="00C84695"/>
    <w:rsid w:val="00C84EAF"/>
    <w:rsid w:val="00C85327"/>
    <w:rsid w:val="00C857B7"/>
    <w:rsid w:val="00C857E2"/>
    <w:rsid w:val="00C85BDF"/>
    <w:rsid w:val="00C86160"/>
    <w:rsid w:val="00C8729F"/>
    <w:rsid w:val="00C90B57"/>
    <w:rsid w:val="00C90E11"/>
    <w:rsid w:val="00C911A9"/>
    <w:rsid w:val="00C914B2"/>
    <w:rsid w:val="00C9181F"/>
    <w:rsid w:val="00C91B03"/>
    <w:rsid w:val="00C933D6"/>
    <w:rsid w:val="00C93B51"/>
    <w:rsid w:val="00C94259"/>
    <w:rsid w:val="00C94ADC"/>
    <w:rsid w:val="00C952D5"/>
    <w:rsid w:val="00C95412"/>
    <w:rsid w:val="00C959FF"/>
    <w:rsid w:val="00C96AD1"/>
    <w:rsid w:val="00C96D2B"/>
    <w:rsid w:val="00C97062"/>
    <w:rsid w:val="00C97714"/>
    <w:rsid w:val="00C97AA9"/>
    <w:rsid w:val="00C97B8C"/>
    <w:rsid w:val="00C97D31"/>
    <w:rsid w:val="00CA06EF"/>
    <w:rsid w:val="00CA0BFE"/>
    <w:rsid w:val="00CA0EA9"/>
    <w:rsid w:val="00CA15D6"/>
    <w:rsid w:val="00CA19A3"/>
    <w:rsid w:val="00CA19CC"/>
    <w:rsid w:val="00CA1F1A"/>
    <w:rsid w:val="00CA2BC3"/>
    <w:rsid w:val="00CA2C2E"/>
    <w:rsid w:val="00CA2CAF"/>
    <w:rsid w:val="00CA405E"/>
    <w:rsid w:val="00CA48B5"/>
    <w:rsid w:val="00CA4B85"/>
    <w:rsid w:val="00CA4C14"/>
    <w:rsid w:val="00CA4E09"/>
    <w:rsid w:val="00CA5006"/>
    <w:rsid w:val="00CA54A4"/>
    <w:rsid w:val="00CA58CC"/>
    <w:rsid w:val="00CA5CF0"/>
    <w:rsid w:val="00CA5D98"/>
    <w:rsid w:val="00CA6744"/>
    <w:rsid w:val="00CA6B3A"/>
    <w:rsid w:val="00CA6F15"/>
    <w:rsid w:val="00CA7368"/>
    <w:rsid w:val="00CA798E"/>
    <w:rsid w:val="00CA7B52"/>
    <w:rsid w:val="00CA84A9"/>
    <w:rsid w:val="00CB0007"/>
    <w:rsid w:val="00CB0551"/>
    <w:rsid w:val="00CB06A1"/>
    <w:rsid w:val="00CB13C0"/>
    <w:rsid w:val="00CB17EC"/>
    <w:rsid w:val="00CB19B3"/>
    <w:rsid w:val="00CB1A00"/>
    <w:rsid w:val="00CB2472"/>
    <w:rsid w:val="00CB2B80"/>
    <w:rsid w:val="00CB2B8C"/>
    <w:rsid w:val="00CB305E"/>
    <w:rsid w:val="00CB3320"/>
    <w:rsid w:val="00CB3B93"/>
    <w:rsid w:val="00CB3D30"/>
    <w:rsid w:val="00CB3EC3"/>
    <w:rsid w:val="00CB4A9A"/>
    <w:rsid w:val="00CB4E68"/>
    <w:rsid w:val="00CB4EA6"/>
    <w:rsid w:val="00CB503D"/>
    <w:rsid w:val="00CB5D1C"/>
    <w:rsid w:val="00CB5D5F"/>
    <w:rsid w:val="00CB60A7"/>
    <w:rsid w:val="00CB6111"/>
    <w:rsid w:val="00CB6353"/>
    <w:rsid w:val="00CB694A"/>
    <w:rsid w:val="00CB6BAB"/>
    <w:rsid w:val="00CB70DB"/>
    <w:rsid w:val="00CB7607"/>
    <w:rsid w:val="00CB777C"/>
    <w:rsid w:val="00CB7C0B"/>
    <w:rsid w:val="00CB7C2D"/>
    <w:rsid w:val="00CC08FA"/>
    <w:rsid w:val="00CC0D4C"/>
    <w:rsid w:val="00CC1B13"/>
    <w:rsid w:val="00CC20EE"/>
    <w:rsid w:val="00CC2555"/>
    <w:rsid w:val="00CC2984"/>
    <w:rsid w:val="00CC2C0D"/>
    <w:rsid w:val="00CC2D8F"/>
    <w:rsid w:val="00CC3457"/>
    <w:rsid w:val="00CC3907"/>
    <w:rsid w:val="00CC390B"/>
    <w:rsid w:val="00CC3946"/>
    <w:rsid w:val="00CC394D"/>
    <w:rsid w:val="00CC3FDC"/>
    <w:rsid w:val="00CC40A6"/>
    <w:rsid w:val="00CC4270"/>
    <w:rsid w:val="00CC4367"/>
    <w:rsid w:val="00CC47C6"/>
    <w:rsid w:val="00CC4A13"/>
    <w:rsid w:val="00CC4E31"/>
    <w:rsid w:val="00CC55CA"/>
    <w:rsid w:val="00CC5FAD"/>
    <w:rsid w:val="00CC6090"/>
    <w:rsid w:val="00CC637A"/>
    <w:rsid w:val="00CC6385"/>
    <w:rsid w:val="00CC6897"/>
    <w:rsid w:val="00CC6959"/>
    <w:rsid w:val="00CC6E25"/>
    <w:rsid w:val="00CC70A9"/>
    <w:rsid w:val="00CC76AF"/>
    <w:rsid w:val="00CC7BAA"/>
    <w:rsid w:val="00CC7D6A"/>
    <w:rsid w:val="00CD0097"/>
    <w:rsid w:val="00CD0DB1"/>
    <w:rsid w:val="00CD0F54"/>
    <w:rsid w:val="00CD27DC"/>
    <w:rsid w:val="00CD29D9"/>
    <w:rsid w:val="00CD2A38"/>
    <w:rsid w:val="00CD3073"/>
    <w:rsid w:val="00CD3565"/>
    <w:rsid w:val="00CD3CE3"/>
    <w:rsid w:val="00CD42AC"/>
    <w:rsid w:val="00CD442F"/>
    <w:rsid w:val="00CD47B3"/>
    <w:rsid w:val="00CD4D9D"/>
    <w:rsid w:val="00CD4E35"/>
    <w:rsid w:val="00CD524C"/>
    <w:rsid w:val="00CD54C4"/>
    <w:rsid w:val="00CD5663"/>
    <w:rsid w:val="00CD5C2D"/>
    <w:rsid w:val="00CD6390"/>
    <w:rsid w:val="00CD713A"/>
    <w:rsid w:val="00CD7715"/>
    <w:rsid w:val="00CD7920"/>
    <w:rsid w:val="00CD7BD1"/>
    <w:rsid w:val="00CD7E1A"/>
    <w:rsid w:val="00CE05C0"/>
    <w:rsid w:val="00CE1C39"/>
    <w:rsid w:val="00CE1E4F"/>
    <w:rsid w:val="00CE2499"/>
    <w:rsid w:val="00CE28BC"/>
    <w:rsid w:val="00CE28E1"/>
    <w:rsid w:val="00CE2922"/>
    <w:rsid w:val="00CE2B62"/>
    <w:rsid w:val="00CE38AF"/>
    <w:rsid w:val="00CE3C3E"/>
    <w:rsid w:val="00CE431C"/>
    <w:rsid w:val="00CE4410"/>
    <w:rsid w:val="00CE4837"/>
    <w:rsid w:val="00CE4D06"/>
    <w:rsid w:val="00CE4EBB"/>
    <w:rsid w:val="00CE5D28"/>
    <w:rsid w:val="00CE5E27"/>
    <w:rsid w:val="00CE5E63"/>
    <w:rsid w:val="00CE5ECD"/>
    <w:rsid w:val="00CE5F04"/>
    <w:rsid w:val="00CE657C"/>
    <w:rsid w:val="00CE65D8"/>
    <w:rsid w:val="00CE6F02"/>
    <w:rsid w:val="00CE71B0"/>
    <w:rsid w:val="00CE7D41"/>
    <w:rsid w:val="00CF0030"/>
    <w:rsid w:val="00CF01A4"/>
    <w:rsid w:val="00CF0BF0"/>
    <w:rsid w:val="00CF0F1E"/>
    <w:rsid w:val="00CF13D2"/>
    <w:rsid w:val="00CF1BD3"/>
    <w:rsid w:val="00CF1CF6"/>
    <w:rsid w:val="00CF28C0"/>
    <w:rsid w:val="00CF2AF9"/>
    <w:rsid w:val="00CF2BF7"/>
    <w:rsid w:val="00CF2EE1"/>
    <w:rsid w:val="00CF3392"/>
    <w:rsid w:val="00CF39BC"/>
    <w:rsid w:val="00CF46D9"/>
    <w:rsid w:val="00CF4B08"/>
    <w:rsid w:val="00CF4E93"/>
    <w:rsid w:val="00CF4EBE"/>
    <w:rsid w:val="00CF5382"/>
    <w:rsid w:val="00CF5D22"/>
    <w:rsid w:val="00CF6373"/>
    <w:rsid w:val="00CF6C0F"/>
    <w:rsid w:val="00CF701B"/>
    <w:rsid w:val="00CF7216"/>
    <w:rsid w:val="00CF72DC"/>
    <w:rsid w:val="00CF7B54"/>
    <w:rsid w:val="00CF7D8D"/>
    <w:rsid w:val="00D00277"/>
    <w:rsid w:val="00D00B0B"/>
    <w:rsid w:val="00D010F3"/>
    <w:rsid w:val="00D0157B"/>
    <w:rsid w:val="00D01E9E"/>
    <w:rsid w:val="00D028DA"/>
    <w:rsid w:val="00D02AC6"/>
    <w:rsid w:val="00D02F4F"/>
    <w:rsid w:val="00D03447"/>
    <w:rsid w:val="00D03458"/>
    <w:rsid w:val="00D036AE"/>
    <w:rsid w:val="00D036E6"/>
    <w:rsid w:val="00D04128"/>
    <w:rsid w:val="00D0425F"/>
    <w:rsid w:val="00D04BF3"/>
    <w:rsid w:val="00D04BF7"/>
    <w:rsid w:val="00D04FF2"/>
    <w:rsid w:val="00D05BD1"/>
    <w:rsid w:val="00D05F43"/>
    <w:rsid w:val="00D0603C"/>
    <w:rsid w:val="00D0608E"/>
    <w:rsid w:val="00D0608F"/>
    <w:rsid w:val="00D061A9"/>
    <w:rsid w:val="00D06298"/>
    <w:rsid w:val="00D062FD"/>
    <w:rsid w:val="00D063D3"/>
    <w:rsid w:val="00D06769"/>
    <w:rsid w:val="00D06C6F"/>
    <w:rsid w:val="00D076BF"/>
    <w:rsid w:val="00D07B55"/>
    <w:rsid w:val="00D07D2E"/>
    <w:rsid w:val="00D07D3B"/>
    <w:rsid w:val="00D1003A"/>
    <w:rsid w:val="00D101D7"/>
    <w:rsid w:val="00D10E90"/>
    <w:rsid w:val="00D10FC5"/>
    <w:rsid w:val="00D111C7"/>
    <w:rsid w:val="00D11A68"/>
    <w:rsid w:val="00D11BAF"/>
    <w:rsid w:val="00D11E56"/>
    <w:rsid w:val="00D1233E"/>
    <w:rsid w:val="00D12642"/>
    <w:rsid w:val="00D127EA"/>
    <w:rsid w:val="00D128A1"/>
    <w:rsid w:val="00D13F70"/>
    <w:rsid w:val="00D14E56"/>
    <w:rsid w:val="00D1550D"/>
    <w:rsid w:val="00D156A4"/>
    <w:rsid w:val="00D15968"/>
    <w:rsid w:val="00D16332"/>
    <w:rsid w:val="00D16338"/>
    <w:rsid w:val="00D17332"/>
    <w:rsid w:val="00D17569"/>
    <w:rsid w:val="00D17C71"/>
    <w:rsid w:val="00D2005D"/>
    <w:rsid w:val="00D2101E"/>
    <w:rsid w:val="00D21187"/>
    <w:rsid w:val="00D211A7"/>
    <w:rsid w:val="00D213AE"/>
    <w:rsid w:val="00D2175B"/>
    <w:rsid w:val="00D22010"/>
    <w:rsid w:val="00D221B1"/>
    <w:rsid w:val="00D223B9"/>
    <w:rsid w:val="00D225DD"/>
    <w:rsid w:val="00D227FA"/>
    <w:rsid w:val="00D228D0"/>
    <w:rsid w:val="00D22B78"/>
    <w:rsid w:val="00D22C1F"/>
    <w:rsid w:val="00D22DC8"/>
    <w:rsid w:val="00D22F48"/>
    <w:rsid w:val="00D23FEB"/>
    <w:rsid w:val="00D24252"/>
    <w:rsid w:val="00D24847"/>
    <w:rsid w:val="00D24F1E"/>
    <w:rsid w:val="00D2533A"/>
    <w:rsid w:val="00D256FC"/>
    <w:rsid w:val="00D261D1"/>
    <w:rsid w:val="00D27355"/>
    <w:rsid w:val="00D27464"/>
    <w:rsid w:val="00D2770E"/>
    <w:rsid w:val="00D27F7C"/>
    <w:rsid w:val="00D30282"/>
    <w:rsid w:val="00D304D4"/>
    <w:rsid w:val="00D311FA"/>
    <w:rsid w:val="00D31CD3"/>
    <w:rsid w:val="00D320EF"/>
    <w:rsid w:val="00D324B5"/>
    <w:rsid w:val="00D32669"/>
    <w:rsid w:val="00D329C1"/>
    <w:rsid w:val="00D32CE7"/>
    <w:rsid w:val="00D33334"/>
    <w:rsid w:val="00D33BC8"/>
    <w:rsid w:val="00D33E97"/>
    <w:rsid w:val="00D3459B"/>
    <w:rsid w:val="00D34976"/>
    <w:rsid w:val="00D3541B"/>
    <w:rsid w:val="00D354E4"/>
    <w:rsid w:val="00D357D9"/>
    <w:rsid w:val="00D35CCB"/>
    <w:rsid w:val="00D3640C"/>
    <w:rsid w:val="00D365C5"/>
    <w:rsid w:val="00D3687F"/>
    <w:rsid w:val="00D368EE"/>
    <w:rsid w:val="00D36E50"/>
    <w:rsid w:val="00D370F3"/>
    <w:rsid w:val="00D37DAD"/>
    <w:rsid w:val="00D37DD5"/>
    <w:rsid w:val="00D37F2B"/>
    <w:rsid w:val="00D4016E"/>
    <w:rsid w:val="00D40373"/>
    <w:rsid w:val="00D40587"/>
    <w:rsid w:val="00D40BEA"/>
    <w:rsid w:val="00D40F90"/>
    <w:rsid w:val="00D410BC"/>
    <w:rsid w:val="00D411B7"/>
    <w:rsid w:val="00D41A13"/>
    <w:rsid w:val="00D41B47"/>
    <w:rsid w:val="00D420CC"/>
    <w:rsid w:val="00D423DD"/>
    <w:rsid w:val="00D427CE"/>
    <w:rsid w:val="00D42B4D"/>
    <w:rsid w:val="00D43189"/>
    <w:rsid w:val="00D434B4"/>
    <w:rsid w:val="00D438C4"/>
    <w:rsid w:val="00D439CE"/>
    <w:rsid w:val="00D43DE4"/>
    <w:rsid w:val="00D43FB2"/>
    <w:rsid w:val="00D445B2"/>
    <w:rsid w:val="00D44A19"/>
    <w:rsid w:val="00D45130"/>
    <w:rsid w:val="00D453D6"/>
    <w:rsid w:val="00D46D0E"/>
    <w:rsid w:val="00D46D96"/>
    <w:rsid w:val="00D46E07"/>
    <w:rsid w:val="00D46E6F"/>
    <w:rsid w:val="00D472DB"/>
    <w:rsid w:val="00D47327"/>
    <w:rsid w:val="00D479E3"/>
    <w:rsid w:val="00D47A4E"/>
    <w:rsid w:val="00D47A6C"/>
    <w:rsid w:val="00D47C49"/>
    <w:rsid w:val="00D47DDB"/>
    <w:rsid w:val="00D47F40"/>
    <w:rsid w:val="00D50105"/>
    <w:rsid w:val="00D50159"/>
    <w:rsid w:val="00D50317"/>
    <w:rsid w:val="00D503B6"/>
    <w:rsid w:val="00D50670"/>
    <w:rsid w:val="00D50835"/>
    <w:rsid w:val="00D510DC"/>
    <w:rsid w:val="00D513F6"/>
    <w:rsid w:val="00D51457"/>
    <w:rsid w:val="00D51789"/>
    <w:rsid w:val="00D51B4D"/>
    <w:rsid w:val="00D51D01"/>
    <w:rsid w:val="00D5279F"/>
    <w:rsid w:val="00D52D8D"/>
    <w:rsid w:val="00D5322D"/>
    <w:rsid w:val="00D532CB"/>
    <w:rsid w:val="00D54342"/>
    <w:rsid w:val="00D546A4"/>
    <w:rsid w:val="00D54D73"/>
    <w:rsid w:val="00D55416"/>
    <w:rsid w:val="00D557EF"/>
    <w:rsid w:val="00D5605A"/>
    <w:rsid w:val="00D5669E"/>
    <w:rsid w:val="00D57286"/>
    <w:rsid w:val="00D57366"/>
    <w:rsid w:val="00D579CE"/>
    <w:rsid w:val="00D57B33"/>
    <w:rsid w:val="00D57BB3"/>
    <w:rsid w:val="00D57F6B"/>
    <w:rsid w:val="00D57F6C"/>
    <w:rsid w:val="00D60490"/>
    <w:rsid w:val="00D605BF"/>
    <w:rsid w:val="00D6090D"/>
    <w:rsid w:val="00D60B01"/>
    <w:rsid w:val="00D613B7"/>
    <w:rsid w:val="00D61891"/>
    <w:rsid w:val="00D62B07"/>
    <w:rsid w:val="00D62F20"/>
    <w:rsid w:val="00D62F5B"/>
    <w:rsid w:val="00D634F8"/>
    <w:rsid w:val="00D63691"/>
    <w:rsid w:val="00D64256"/>
    <w:rsid w:val="00D647DD"/>
    <w:rsid w:val="00D6513A"/>
    <w:rsid w:val="00D6589D"/>
    <w:rsid w:val="00D658B5"/>
    <w:rsid w:val="00D659CE"/>
    <w:rsid w:val="00D65A57"/>
    <w:rsid w:val="00D65B50"/>
    <w:rsid w:val="00D65E96"/>
    <w:rsid w:val="00D660DE"/>
    <w:rsid w:val="00D675F5"/>
    <w:rsid w:val="00D678B2"/>
    <w:rsid w:val="00D678B6"/>
    <w:rsid w:val="00D67AA7"/>
    <w:rsid w:val="00D67DAB"/>
    <w:rsid w:val="00D7012D"/>
    <w:rsid w:val="00D70335"/>
    <w:rsid w:val="00D70916"/>
    <w:rsid w:val="00D70AA3"/>
    <w:rsid w:val="00D71437"/>
    <w:rsid w:val="00D729AE"/>
    <w:rsid w:val="00D73457"/>
    <w:rsid w:val="00D73988"/>
    <w:rsid w:val="00D7489B"/>
    <w:rsid w:val="00D750F6"/>
    <w:rsid w:val="00D75481"/>
    <w:rsid w:val="00D75D93"/>
    <w:rsid w:val="00D76300"/>
    <w:rsid w:val="00D76764"/>
    <w:rsid w:val="00D7683C"/>
    <w:rsid w:val="00D76C00"/>
    <w:rsid w:val="00D77239"/>
    <w:rsid w:val="00D774E5"/>
    <w:rsid w:val="00D77C80"/>
    <w:rsid w:val="00D800E2"/>
    <w:rsid w:val="00D800F5"/>
    <w:rsid w:val="00D8051A"/>
    <w:rsid w:val="00D80627"/>
    <w:rsid w:val="00D806DF"/>
    <w:rsid w:val="00D80797"/>
    <w:rsid w:val="00D80A07"/>
    <w:rsid w:val="00D811F2"/>
    <w:rsid w:val="00D81F0C"/>
    <w:rsid w:val="00D81F53"/>
    <w:rsid w:val="00D820AF"/>
    <w:rsid w:val="00D82190"/>
    <w:rsid w:val="00D8260A"/>
    <w:rsid w:val="00D8274D"/>
    <w:rsid w:val="00D83637"/>
    <w:rsid w:val="00D836F1"/>
    <w:rsid w:val="00D83F1A"/>
    <w:rsid w:val="00D84276"/>
    <w:rsid w:val="00D84377"/>
    <w:rsid w:val="00D84BAA"/>
    <w:rsid w:val="00D84C64"/>
    <w:rsid w:val="00D85381"/>
    <w:rsid w:val="00D855E6"/>
    <w:rsid w:val="00D858C9"/>
    <w:rsid w:val="00D85B0B"/>
    <w:rsid w:val="00D85D89"/>
    <w:rsid w:val="00D861E2"/>
    <w:rsid w:val="00D866AC"/>
    <w:rsid w:val="00D8674D"/>
    <w:rsid w:val="00D867CC"/>
    <w:rsid w:val="00D86AA9"/>
    <w:rsid w:val="00D86CE7"/>
    <w:rsid w:val="00D86D68"/>
    <w:rsid w:val="00D87047"/>
    <w:rsid w:val="00D87175"/>
    <w:rsid w:val="00D8788D"/>
    <w:rsid w:val="00D878BF"/>
    <w:rsid w:val="00D87DCB"/>
    <w:rsid w:val="00D90239"/>
    <w:rsid w:val="00D902F0"/>
    <w:rsid w:val="00D91A04"/>
    <w:rsid w:val="00D925EC"/>
    <w:rsid w:val="00D92A27"/>
    <w:rsid w:val="00D93C5E"/>
    <w:rsid w:val="00D947B4"/>
    <w:rsid w:val="00D94882"/>
    <w:rsid w:val="00D957D6"/>
    <w:rsid w:val="00D9596C"/>
    <w:rsid w:val="00D95B02"/>
    <w:rsid w:val="00D95D50"/>
    <w:rsid w:val="00D95E15"/>
    <w:rsid w:val="00D95F50"/>
    <w:rsid w:val="00D95FCF"/>
    <w:rsid w:val="00D9688A"/>
    <w:rsid w:val="00D968BB"/>
    <w:rsid w:val="00D96B46"/>
    <w:rsid w:val="00D96EEC"/>
    <w:rsid w:val="00D97ED6"/>
    <w:rsid w:val="00DA0792"/>
    <w:rsid w:val="00DA08FE"/>
    <w:rsid w:val="00DA0ACE"/>
    <w:rsid w:val="00DA1902"/>
    <w:rsid w:val="00DA1968"/>
    <w:rsid w:val="00DA1D73"/>
    <w:rsid w:val="00DA1F19"/>
    <w:rsid w:val="00DA211F"/>
    <w:rsid w:val="00DA2ACE"/>
    <w:rsid w:val="00DA2CD4"/>
    <w:rsid w:val="00DA362B"/>
    <w:rsid w:val="00DA368B"/>
    <w:rsid w:val="00DA39CA"/>
    <w:rsid w:val="00DA46A5"/>
    <w:rsid w:val="00DA4857"/>
    <w:rsid w:val="00DA4AE0"/>
    <w:rsid w:val="00DA4FC8"/>
    <w:rsid w:val="00DA5482"/>
    <w:rsid w:val="00DA61A7"/>
    <w:rsid w:val="00DA61DA"/>
    <w:rsid w:val="00DA6321"/>
    <w:rsid w:val="00DA671D"/>
    <w:rsid w:val="00DA6B4F"/>
    <w:rsid w:val="00DA6F26"/>
    <w:rsid w:val="00DA70E7"/>
    <w:rsid w:val="00DA71AC"/>
    <w:rsid w:val="00DA7321"/>
    <w:rsid w:val="00DA73E4"/>
    <w:rsid w:val="00DA74F6"/>
    <w:rsid w:val="00DA7A55"/>
    <w:rsid w:val="00DA7E4E"/>
    <w:rsid w:val="00DB02D7"/>
    <w:rsid w:val="00DB058E"/>
    <w:rsid w:val="00DB0BBE"/>
    <w:rsid w:val="00DB0C0D"/>
    <w:rsid w:val="00DB133C"/>
    <w:rsid w:val="00DB14AB"/>
    <w:rsid w:val="00DB14BB"/>
    <w:rsid w:val="00DB15EA"/>
    <w:rsid w:val="00DB17A3"/>
    <w:rsid w:val="00DB1E44"/>
    <w:rsid w:val="00DB29AC"/>
    <w:rsid w:val="00DB322F"/>
    <w:rsid w:val="00DB34A9"/>
    <w:rsid w:val="00DB3BF7"/>
    <w:rsid w:val="00DB425D"/>
    <w:rsid w:val="00DB51E2"/>
    <w:rsid w:val="00DB54FA"/>
    <w:rsid w:val="00DB5A4C"/>
    <w:rsid w:val="00DB6139"/>
    <w:rsid w:val="00DB7C49"/>
    <w:rsid w:val="00DB7CAD"/>
    <w:rsid w:val="00DC00F7"/>
    <w:rsid w:val="00DC072A"/>
    <w:rsid w:val="00DC083F"/>
    <w:rsid w:val="00DC09EB"/>
    <w:rsid w:val="00DC10B4"/>
    <w:rsid w:val="00DC2661"/>
    <w:rsid w:val="00DC26C3"/>
    <w:rsid w:val="00DC3830"/>
    <w:rsid w:val="00DC3BBB"/>
    <w:rsid w:val="00DC3D8F"/>
    <w:rsid w:val="00DC403C"/>
    <w:rsid w:val="00DC431C"/>
    <w:rsid w:val="00DC47EC"/>
    <w:rsid w:val="00DC4825"/>
    <w:rsid w:val="00DC4E0C"/>
    <w:rsid w:val="00DC5450"/>
    <w:rsid w:val="00DC583F"/>
    <w:rsid w:val="00DC5BE4"/>
    <w:rsid w:val="00DC5D37"/>
    <w:rsid w:val="00DC6297"/>
    <w:rsid w:val="00DC6408"/>
    <w:rsid w:val="00DC6658"/>
    <w:rsid w:val="00DC6728"/>
    <w:rsid w:val="00DC6911"/>
    <w:rsid w:val="00DC6B24"/>
    <w:rsid w:val="00DD0763"/>
    <w:rsid w:val="00DD0EAE"/>
    <w:rsid w:val="00DD11F5"/>
    <w:rsid w:val="00DD1975"/>
    <w:rsid w:val="00DD1A15"/>
    <w:rsid w:val="00DD1A7C"/>
    <w:rsid w:val="00DD1AD2"/>
    <w:rsid w:val="00DD1C0D"/>
    <w:rsid w:val="00DD1E0F"/>
    <w:rsid w:val="00DD2625"/>
    <w:rsid w:val="00DD30CB"/>
    <w:rsid w:val="00DD33ED"/>
    <w:rsid w:val="00DD3E0D"/>
    <w:rsid w:val="00DD3EE9"/>
    <w:rsid w:val="00DD41F4"/>
    <w:rsid w:val="00DD420B"/>
    <w:rsid w:val="00DD4472"/>
    <w:rsid w:val="00DD512B"/>
    <w:rsid w:val="00DD5300"/>
    <w:rsid w:val="00DD530E"/>
    <w:rsid w:val="00DD56B4"/>
    <w:rsid w:val="00DD573D"/>
    <w:rsid w:val="00DD5B98"/>
    <w:rsid w:val="00DD61F3"/>
    <w:rsid w:val="00DD6AA1"/>
    <w:rsid w:val="00DD6DD4"/>
    <w:rsid w:val="00DD7308"/>
    <w:rsid w:val="00DD7601"/>
    <w:rsid w:val="00DD7625"/>
    <w:rsid w:val="00DD7AED"/>
    <w:rsid w:val="00DE06EA"/>
    <w:rsid w:val="00DE0960"/>
    <w:rsid w:val="00DE0B56"/>
    <w:rsid w:val="00DE0E03"/>
    <w:rsid w:val="00DE10E7"/>
    <w:rsid w:val="00DE1C66"/>
    <w:rsid w:val="00DE2F35"/>
    <w:rsid w:val="00DE3436"/>
    <w:rsid w:val="00DE3790"/>
    <w:rsid w:val="00DE40A6"/>
    <w:rsid w:val="00DE447C"/>
    <w:rsid w:val="00DE4C6C"/>
    <w:rsid w:val="00DE5A1B"/>
    <w:rsid w:val="00DE664D"/>
    <w:rsid w:val="00DE6DB4"/>
    <w:rsid w:val="00DE745F"/>
    <w:rsid w:val="00DE77C1"/>
    <w:rsid w:val="00DE7CBD"/>
    <w:rsid w:val="00DE7F02"/>
    <w:rsid w:val="00DF0C3E"/>
    <w:rsid w:val="00DF1CF0"/>
    <w:rsid w:val="00DF26E3"/>
    <w:rsid w:val="00DF2A72"/>
    <w:rsid w:val="00DF2BA1"/>
    <w:rsid w:val="00DF2E77"/>
    <w:rsid w:val="00DF3386"/>
    <w:rsid w:val="00DF3B0D"/>
    <w:rsid w:val="00DF3D3C"/>
    <w:rsid w:val="00DF41CC"/>
    <w:rsid w:val="00DF4B59"/>
    <w:rsid w:val="00DF5033"/>
    <w:rsid w:val="00DF5673"/>
    <w:rsid w:val="00DF582F"/>
    <w:rsid w:val="00DF5F55"/>
    <w:rsid w:val="00DF61B7"/>
    <w:rsid w:val="00DF6276"/>
    <w:rsid w:val="00DF6413"/>
    <w:rsid w:val="00DF6590"/>
    <w:rsid w:val="00DF661F"/>
    <w:rsid w:val="00DF6673"/>
    <w:rsid w:val="00DF6C2F"/>
    <w:rsid w:val="00DF6FE0"/>
    <w:rsid w:val="00DF7283"/>
    <w:rsid w:val="00DF7E98"/>
    <w:rsid w:val="00E0024F"/>
    <w:rsid w:val="00E005A4"/>
    <w:rsid w:val="00E00700"/>
    <w:rsid w:val="00E00C6B"/>
    <w:rsid w:val="00E01282"/>
    <w:rsid w:val="00E01A0B"/>
    <w:rsid w:val="00E01A81"/>
    <w:rsid w:val="00E01CD3"/>
    <w:rsid w:val="00E01D4F"/>
    <w:rsid w:val="00E03008"/>
    <w:rsid w:val="00E03213"/>
    <w:rsid w:val="00E03343"/>
    <w:rsid w:val="00E03425"/>
    <w:rsid w:val="00E037E8"/>
    <w:rsid w:val="00E04CF1"/>
    <w:rsid w:val="00E04F68"/>
    <w:rsid w:val="00E04FD3"/>
    <w:rsid w:val="00E054C8"/>
    <w:rsid w:val="00E05BD3"/>
    <w:rsid w:val="00E0608B"/>
    <w:rsid w:val="00E06273"/>
    <w:rsid w:val="00E06314"/>
    <w:rsid w:val="00E063F9"/>
    <w:rsid w:val="00E06FB1"/>
    <w:rsid w:val="00E0709F"/>
    <w:rsid w:val="00E0764A"/>
    <w:rsid w:val="00E07BAB"/>
    <w:rsid w:val="00E07DDC"/>
    <w:rsid w:val="00E1030C"/>
    <w:rsid w:val="00E10602"/>
    <w:rsid w:val="00E107BB"/>
    <w:rsid w:val="00E10EB4"/>
    <w:rsid w:val="00E1170A"/>
    <w:rsid w:val="00E11F59"/>
    <w:rsid w:val="00E1280D"/>
    <w:rsid w:val="00E12A59"/>
    <w:rsid w:val="00E12F45"/>
    <w:rsid w:val="00E13247"/>
    <w:rsid w:val="00E14CD3"/>
    <w:rsid w:val="00E15F6F"/>
    <w:rsid w:val="00E164D3"/>
    <w:rsid w:val="00E167CF"/>
    <w:rsid w:val="00E16DF0"/>
    <w:rsid w:val="00E1703F"/>
    <w:rsid w:val="00E170E7"/>
    <w:rsid w:val="00E171D8"/>
    <w:rsid w:val="00E17A0D"/>
    <w:rsid w:val="00E2087C"/>
    <w:rsid w:val="00E20B07"/>
    <w:rsid w:val="00E21213"/>
    <w:rsid w:val="00E21221"/>
    <w:rsid w:val="00E21344"/>
    <w:rsid w:val="00E21495"/>
    <w:rsid w:val="00E2149D"/>
    <w:rsid w:val="00E21D26"/>
    <w:rsid w:val="00E21EF4"/>
    <w:rsid w:val="00E22569"/>
    <w:rsid w:val="00E22A60"/>
    <w:rsid w:val="00E22D08"/>
    <w:rsid w:val="00E22F35"/>
    <w:rsid w:val="00E23A21"/>
    <w:rsid w:val="00E23A40"/>
    <w:rsid w:val="00E24A9A"/>
    <w:rsid w:val="00E260E0"/>
    <w:rsid w:val="00E261A6"/>
    <w:rsid w:val="00E27540"/>
    <w:rsid w:val="00E2767A"/>
    <w:rsid w:val="00E27723"/>
    <w:rsid w:val="00E27A78"/>
    <w:rsid w:val="00E27BEE"/>
    <w:rsid w:val="00E3044B"/>
    <w:rsid w:val="00E30886"/>
    <w:rsid w:val="00E30D9B"/>
    <w:rsid w:val="00E3147A"/>
    <w:rsid w:val="00E31B72"/>
    <w:rsid w:val="00E31C4F"/>
    <w:rsid w:val="00E31EE6"/>
    <w:rsid w:val="00E32305"/>
    <w:rsid w:val="00E325AE"/>
    <w:rsid w:val="00E32609"/>
    <w:rsid w:val="00E3299C"/>
    <w:rsid w:val="00E33498"/>
    <w:rsid w:val="00E336DC"/>
    <w:rsid w:val="00E33779"/>
    <w:rsid w:val="00E33DC2"/>
    <w:rsid w:val="00E3412B"/>
    <w:rsid w:val="00E34A70"/>
    <w:rsid w:val="00E357D8"/>
    <w:rsid w:val="00E35AF2"/>
    <w:rsid w:val="00E35CF0"/>
    <w:rsid w:val="00E35ED8"/>
    <w:rsid w:val="00E367C9"/>
    <w:rsid w:val="00E3698A"/>
    <w:rsid w:val="00E36EB2"/>
    <w:rsid w:val="00E36FEA"/>
    <w:rsid w:val="00E370DF"/>
    <w:rsid w:val="00E3719C"/>
    <w:rsid w:val="00E3783B"/>
    <w:rsid w:val="00E37B4C"/>
    <w:rsid w:val="00E37BBE"/>
    <w:rsid w:val="00E40442"/>
    <w:rsid w:val="00E404C4"/>
    <w:rsid w:val="00E40A52"/>
    <w:rsid w:val="00E40A7F"/>
    <w:rsid w:val="00E41399"/>
    <w:rsid w:val="00E4178E"/>
    <w:rsid w:val="00E41AF3"/>
    <w:rsid w:val="00E420B5"/>
    <w:rsid w:val="00E42340"/>
    <w:rsid w:val="00E4250D"/>
    <w:rsid w:val="00E4270F"/>
    <w:rsid w:val="00E427A2"/>
    <w:rsid w:val="00E43283"/>
    <w:rsid w:val="00E43D04"/>
    <w:rsid w:val="00E4403D"/>
    <w:rsid w:val="00E445EF"/>
    <w:rsid w:val="00E4508C"/>
    <w:rsid w:val="00E45273"/>
    <w:rsid w:val="00E45ABC"/>
    <w:rsid w:val="00E45C4E"/>
    <w:rsid w:val="00E461D9"/>
    <w:rsid w:val="00E46208"/>
    <w:rsid w:val="00E46442"/>
    <w:rsid w:val="00E46BB4"/>
    <w:rsid w:val="00E46BE2"/>
    <w:rsid w:val="00E47010"/>
    <w:rsid w:val="00E50FB4"/>
    <w:rsid w:val="00E51470"/>
    <w:rsid w:val="00E516BE"/>
    <w:rsid w:val="00E51739"/>
    <w:rsid w:val="00E520C6"/>
    <w:rsid w:val="00E52711"/>
    <w:rsid w:val="00E52B97"/>
    <w:rsid w:val="00E52FAD"/>
    <w:rsid w:val="00E531E4"/>
    <w:rsid w:val="00E534A9"/>
    <w:rsid w:val="00E54388"/>
    <w:rsid w:val="00E54903"/>
    <w:rsid w:val="00E54B78"/>
    <w:rsid w:val="00E54E24"/>
    <w:rsid w:val="00E54FF6"/>
    <w:rsid w:val="00E55594"/>
    <w:rsid w:val="00E557CD"/>
    <w:rsid w:val="00E557F7"/>
    <w:rsid w:val="00E55896"/>
    <w:rsid w:val="00E559B8"/>
    <w:rsid w:val="00E55E32"/>
    <w:rsid w:val="00E5609C"/>
    <w:rsid w:val="00E560DD"/>
    <w:rsid w:val="00E56506"/>
    <w:rsid w:val="00E56685"/>
    <w:rsid w:val="00E56E75"/>
    <w:rsid w:val="00E577E3"/>
    <w:rsid w:val="00E60D66"/>
    <w:rsid w:val="00E61595"/>
    <w:rsid w:val="00E6181B"/>
    <w:rsid w:val="00E6196B"/>
    <w:rsid w:val="00E61A2A"/>
    <w:rsid w:val="00E621B2"/>
    <w:rsid w:val="00E62327"/>
    <w:rsid w:val="00E6346E"/>
    <w:rsid w:val="00E639C4"/>
    <w:rsid w:val="00E63C17"/>
    <w:rsid w:val="00E63C6E"/>
    <w:rsid w:val="00E64070"/>
    <w:rsid w:val="00E6415A"/>
    <w:rsid w:val="00E6453E"/>
    <w:rsid w:val="00E64C59"/>
    <w:rsid w:val="00E65545"/>
    <w:rsid w:val="00E6563E"/>
    <w:rsid w:val="00E6685A"/>
    <w:rsid w:val="00E66ABC"/>
    <w:rsid w:val="00E66B78"/>
    <w:rsid w:val="00E66D47"/>
    <w:rsid w:val="00E66E4A"/>
    <w:rsid w:val="00E66FBB"/>
    <w:rsid w:val="00E676DA"/>
    <w:rsid w:val="00E67B86"/>
    <w:rsid w:val="00E7002A"/>
    <w:rsid w:val="00E702DE"/>
    <w:rsid w:val="00E703BA"/>
    <w:rsid w:val="00E703EB"/>
    <w:rsid w:val="00E70614"/>
    <w:rsid w:val="00E70841"/>
    <w:rsid w:val="00E7090B"/>
    <w:rsid w:val="00E70FFD"/>
    <w:rsid w:val="00E7107B"/>
    <w:rsid w:val="00E71606"/>
    <w:rsid w:val="00E716A3"/>
    <w:rsid w:val="00E718CC"/>
    <w:rsid w:val="00E721AF"/>
    <w:rsid w:val="00E722F8"/>
    <w:rsid w:val="00E72ADB"/>
    <w:rsid w:val="00E735B3"/>
    <w:rsid w:val="00E73756"/>
    <w:rsid w:val="00E737FE"/>
    <w:rsid w:val="00E73BA0"/>
    <w:rsid w:val="00E73BA4"/>
    <w:rsid w:val="00E73D46"/>
    <w:rsid w:val="00E742BC"/>
    <w:rsid w:val="00E74704"/>
    <w:rsid w:val="00E74870"/>
    <w:rsid w:val="00E74997"/>
    <w:rsid w:val="00E7505D"/>
    <w:rsid w:val="00E75254"/>
    <w:rsid w:val="00E75C71"/>
    <w:rsid w:val="00E75D3C"/>
    <w:rsid w:val="00E7614C"/>
    <w:rsid w:val="00E76A86"/>
    <w:rsid w:val="00E76C17"/>
    <w:rsid w:val="00E7773B"/>
    <w:rsid w:val="00E77949"/>
    <w:rsid w:val="00E77D84"/>
    <w:rsid w:val="00E77F5C"/>
    <w:rsid w:val="00E80784"/>
    <w:rsid w:val="00E80D07"/>
    <w:rsid w:val="00E80E9C"/>
    <w:rsid w:val="00E811CA"/>
    <w:rsid w:val="00E812C0"/>
    <w:rsid w:val="00E81627"/>
    <w:rsid w:val="00E82573"/>
    <w:rsid w:val="00E82C08"/>
    <w:rsid w:val="00E82EA5"/>
    <w:rsid w:val="00E839B8"/>
    <w:rsid w:val="00E83BBD"/>
    <w:rsid w:val="00E84C1C"/>
    <w:rsid w:val="00E84F5E"/>
    <w:rsid w:val="00E85CD2"/>
    <w:rsid w:val="00E87A1F"/>
    <w:rsid w:val="00E87D93"/>
    <w:rsid w:val="00E90899"/>
    <w:rsid w:val="00E90F3E"/>
    <w:rsid w:val="00E9188A"/>
    <w:rsid w:val="00E92548"/>
    <w:rsid w:val="00E92556"/>
    <w:rsid w:val="00E942BA"/>
    <w:rsid w:val="00E943BF"/>
    <w:rsid w:val="00E943EA"/>
    <w:rsid w:val="00E95111"/>
    <w:rsid w:val="00E9556E"/>
    <w:rsid w:val="00E956A1"/>
    <w:rsid w:val="00E9584A"/>
    <w:rsid w:val="00E95A59"/>
    <w:rsid w:val="00E95BAA"/>
    <w:rsid w:val="00E95C58"/>
    <w:rsid w:val="00E965C7"/>
    <w:rsid w:val="00E96DF4"/>
    <w:rsid w:val="00E96E62"/>
    <w:rsid w:val="00E96EEB"/>
    <w:rsid w:val="00E979E4"/>
    <w:rsid w:val="00EA043D"/>
    <w:rsid w:val="00EA09E6"/>
    <w:rsid w:val="00EA0E76"/>
    <w:rsid w:val="00EA1181"/>
    <w:rsid w:val="00EA277D"/>
    <w:rsid w:val="00EA28BF"/>
    <w:rsid w:val="00EA290C"/>
    <w:rsid w:val="00EA2F8A"/>
    <w:rsid w:val="00EA34BE"/>
    <w:rsid w:val="00EA3815"/>
    <w:rsid w:val="00EA3DDA"/>
    <w:rsid w:val="00EA3E2B"/>
    <w:rsid w:val="00EA3FFA"/>
    <w:rsid w:val="00EA4452"/>
    <w:rsid w:val="00EA473D"/>
    <w:rsid w:val="00EA4A8C"/>
    <w:rsid w:val="00EA52B4"/>
    <w:rsid w:val="00EA54EC"/>
    <w:rsid w:val="00EA5B52"/>
    <w:rsid w:val="00EA5BAF"/>
    <w:rsid w:val="00EA5CB4"/>
    <w:rsid w:val="00EA77C8"/>
    <w:rsid w:val="00EA78B1"/>
    <w:rsid w:val="00EB0EB8"/>
    <w:rsid w:val="00EB0EEE"/>
    <w:rsid w:val="00EB10BA"/>
    <w:rsid w:val="00EB13BF"/>
    <w:rsid w:val="00EB1582"/>
    <w:rsid w:val="00EB1CE9"/>
    <w:rsid w:val="00EB2329"/>
    <w:rsid w:val="00EB272B"/>
    <w:rsid w:val="00EB2933"/>
    <w:rsid w:val="00EB2E8E"/>
    <w:rsid w:val="00EB3078"/>
    <w:rsid w:val="00EB3947"/>
    <w:rsid w:val="00EB3DBB"/>
    <w:rsid w:val="00EB3E12"/>
    <w:rsid w:val="00EB4163"/>
    <w:rsid w:val="00EB441E"/>
    <w:rsid w:val="00EB465E"/>
    <w:rsid w:val="00EB4B2C"/>
    <w:rsid w:val="00EB52D6"/>
    <w:rsid w:val="00EB65B7"/>
    <w:rsid w:val="00EB6F7C"/>
    <w:rsid w:val="00EB721C"/>
    <w:rsid w:val="00EB780F"/>
    <w:rsid w:val="00EB7E4F"/>
    <w:rsid w:val="00EC00E5"/>
    <w:rsid w:val="00EC09B4"/>
    <w:rsid w:val="00EC0AEF"/>
    <w:rsid w:val="00EC1182"/>
    <w:rsid w:val="00EC19CA"/>
    <w:rsid w:val="00EC2015"/>
    <w:rsid w:val="00EC23C0"/>
    <w:rsid w:val="00EC247E"/>
    <w:rsid w:val="00EC257F"/>
    <w:rsid w:val="00EC311B"/>
    <w:rsid w:val="00EC34E2"/>
    <w:rsid w:val="00EC3DD3"/>
    <w:rsid w:val="00EC4047"/>
    <w:rsid w:val="00EC42B4"/>
    <w:rsid w:val="00EC46D8"/>
    <w:rsid w:val="00EC49F0"/>
    <w:rsid w:val="00EC4F79"/>
    <w:rsid w:val="00EC5063"/>
    <w:rsid w:val="00EC51CF"/>
    <w:rsid w:val="00EC554D"/>
    <w:rsid w:val="00EC56E0"/>
    <w:rsid w:val="00EC5C14"/>
    <w:rsid w:val="00EC5CE5"/>
    <w:rsid w:val="00EC5EE0"/>
    <w:rsid w:val="00EC6F9C"/>
    <w:rsid w:val="00ED020F"/>
    <w:rsid w:val="00ED093F"/>
    <w:rsid w:val="00ED15FF"/>
    <w:rsid w:val="00ED196E"/>
    <w:rsid w:val="00ED2057"/>
    <w:rsid w:val="00ED227E"/>
    <w:rsid w:val="00ED393F"/>
    <w:rsid w:val="00ED3FA3"/>
    <w:rsid w:val="00ED45E0"/>
    <w:rsid w:val="00ED534A"/>
    <w:rsid w:val="00ED5D71"/>
    <w:rsid w:val="00ED5D91"/>
    <w:rsid w:val="00ED673C"/>
    <w:rsid w:val="00ED6B34"/>
    <w:rsid w:val="00ED748A"/>
    <w:rsid w:val="00ED78F2"/>
    <w:rsid w:val="00ED7CCC"/>
    <w:rsid w:val="00ED7D6D"/>
    <w:rsid w:val="00EE02CF"/>
    <w:rsid w:val="00EE0624"/>
    <w:rsid w:val="00EE0811"/>
    <w:rsid w:val="00EE11B4"/>
    <w:rsid w:val="00EE16EA"/>
    <w:rsid w:val="00EE1E1C"/>
    <w:rsid w:val="00EE253A"/>
    <w:rsid w:val="00EE2544"/>
    <w:rsid w:val="00EE2DBC"/>
    <w:rsid w:val="00EE354B"/>
    <w:rsid w:val="00EE410D"/>
    <w:rsid w:val="00EE413B"/>
    <w:rsid w:val="00EE4545"/>
    <w:rsid w:val="00EE4DFE"/>
    <w:rsid w:val="00EE5175"/>
    <w:rsid w:val="00EE5245"/>
    <w:rsid w:val="00EE59B0"/>
    <w:rsid w:val="00EE5DAA"/>
    <w:rsid w:val="00EE5E0D"/>
    <w:rsid w:val="00EE5EBF"/>
    <w:rsid w:val="00EE5F17"/>
    <w:rsid w:val="00EE62F6"/>
    <w:rsid w:val="00EE641D"/>
    <w:rsid w:val="00EE6459"/>
    <w:rsid w:val="00EE671F"/>
    <w:rsid w:val="00EE7002"/>
    <w:rsid w:val="00EE702D"/>
    <w:rsid w:val="00EE7782"/>
    <w:rsid w:val="00EE7F7B"/>
    <w:rsid w:val="00EF0005"/>
    <w:rsid w:val="00EF01EF"/>
    <w:rsid w:val="00EF0450"/>
    <w:rsid w:val="00EF0742"/>
    <w:rsid w:val="00EF0A61"/>
    <w:rsid w:val="00EF15C8"/>
    <w:rsid w:val="00EF161E"/>
    <w:rsid w:val="00EF17A4"/>
    <w:rsid w:val="00EF1817"/>
    <w:rsid w:val="00EF1F79"/>
    <w:rsid w:val="00EF1F7F"/>
    <w:rsid w:val="00EF2060"/>
    <w:rsid w:val="00EF208E"/>
    <w:rsid w:val="00EF26B6"/>
    <w:rsid w:val="00EF2B33"/>
    <w:rsid w:val="00EF2F74"/>
    <w:rsid w:val="00EF311F"/>
    <w:rsid w:val="00EF3193"/>
    <w:rsid w:val="00EF31A9"/>
    <w:rsid w:val="00EF51B1"/>
    <w:rsid w:val="00EF5739"/>
    <w:rsid w:val="00EF5A20"/>
    <w:rsid w:val="00EF5B4B"/>
    <w:rsid w:val="00EF6159"/>
    <w:rsid w:val="00EF6704"/>
    <w:rsid w:val="00EF6BCC"/>
    <w:rsid w:val="00EF6F95"/>
    <w:rsid w:val="00EF75E2"/>
    <w:rsid w:val="00EF7C62"/>
    <w:rsid w:val="00F0008F"/>
    <w:rsid w:val="00F00B74"/>
    <w:rsid w:val="00F00E3F"/>
    <w:rsid w:val="00F01195"/>
    <w:rsid w:val="00F01E7A"/>
    <w:rsid w:val="00F02541"/>
    <w:rsid w:val="00F0271D"/>
    <w:rsid w:val="00F02EE8"/>
    <w:rsid w:val="00F031FE"/>
    <w:rsid w:val="00F03AA2"/>
    <w:rsid w:val="00F03CC3"/>
    <w:rsid w:val="00F046C3"/>
    <w:rsid w:val="00F049EB"/>
    <w:rsid w:val="00F05266"/>
    <w:rsid w:val="00F05463"/>
    <w:rsid w:val="00F055A9"/>
    <w:rsid w:val="00F062D9"/>
    <w:rsid w:val="00F07380"/>
    <w:rsid w:val="00F0769B"/>
    <w:rsid w:val="00F10344"/>
    <w:rsid w:val="00F10393"/>
    <w:rsid w:val="00F10875"/>
    <w:rsid w:val="00F1097C"/>
    <w:rsid w:val="00F10E10"/>
    <w:rsid w:val="00F10F23"/>
    <w:rsid w:val="00F115AC"/>
    <w:rsid w:val="00F1198A"/>
    <w:rsid w:val="00F11BD0"/>
    <w:rsid w:val="00F11CB0"/>
    <w:rsid w:val="00F12431"/>
    <w:rsid w:val="00F1284E"/>
    <w:rsid w:val="00F12A52"/>
    <w:rsid w:val="00F12D8E"/>
    <w:rsid w:val="00F1308B"/>
    <w:rsid w:val="00F137AC"/>
    <w:rsid w:val="00F1396A"/>
    <w:rsid w:val="00F147FA"/>
    <w:rsid w:val="00F14829"/>
    <w:rsid w:val="00F14989"/>
    <w:rsid w:val="00F14F75"/>
    <w:rsid w:val="00F1500B"/>
    <w:rsid w:val="00F160CE"/>
    <w:rsid w:val="00F16FCA"/>
    <w:rsid w:val="00F17A9D"/>
    <w:rsid w:val="00F17EA6"/>
    <w:rsid w:val="00F20440"/>
    <w:rsid w:val="00F213F2"/>
    <w:rsid w:val="00F21781"/>
    <w:rsid w:val="00F2223A"/>
    <w:rsid w:val="00F23341"/>
    <w:rsid w:val="00F249CF"/>
    <w:rsid w:val="00F24A1C"/>
    <w:rsid w:val="00F2511E"/>
    <w:rsid w:val="00F251E6"/>
    <w:rsid w:val="00F253B1"/>
    <w:rsid w:val="00F25931"/>
    <w:rsid w:val="00F25EC1"/>
    <w:rsid w:val="00F260C9"/>
    <w:rsid w:val="00F261E2"/>
    <w:rsid w:val="00F2625D"/>
    <w:rsid w:val="00F26428"/>
    <w:rsid w:val="00F26D00"/>
    <w:rsid w:val="00F26DEF"/>
    <w:rsid w:val="00F26E65"/>
    <w:rsid w:val="00F27262"/>
    <w:rsid w:val="00F27628"/>
    <w:rsid w:val="00F3058F"/>
    <w:rsid w:val="00F309C5"/>
    <w:rsid w:val="00F30AC9"/>
    <w:rsid w:val="00F30D00"/>
    <w:rsid w:val="00F30DB9"/>
    <w:rsid w:val="00F31267"/>
    <w:rsid w:val="00F318E1"/>
    <w:rsid w:val="00F31964"/>
    <w:rsid w:val="00F31BBE"/>
    <w:rsid w:val="00F31CBA"/>
    <w:rsid w:val="00F31DBA"/>
    <w:rsid w:val="00F31E42"/>
    <w:rsid w:val="00F32353"/>
    <w:rsid w:val="00F3250E"/>
    <w:rsid w:val="00F3294E"/>
    <w:rsid w:val="00F32CA1"/>
    <w:rsid w:val="00F33B59"/>
    <w:rsid w:val="00F33D41"/>
    <w:rsid w:val="00F33EB0"/>
    <w:rsid w:val="00F33F40"/>
    <w:rsid w:val="00F344E0"/>
    <w:rsid w:val="00F34D37"/>
    <w:rsid w:val="00F34D6A"/>
    <w:rsid w:val="00F34D74"/>
    <w:rsid w:val="00F350EB"/>
    <w:rsid w:val="00F35436"/>
    <w:rsid w:val="00F35872"/>
    <w:rsid w:val="00F35AA5"/>
    <w:rsid w:val="00F36369"/>
    <w:rsid w:val="00F364AE"/>
    <w:rsid w:val="00F36BE1"/>
    <w:rsid w:val="00F36E3C"/>
    <w:rsid w:val="00F36EE3"/>
    <w:rsid w:val="00F37B48"/>
    <w:rsid w:val="00F4000B"/>
    <w:rsid w:val="00F4000D"/>
    <w:rsid w:val="00F40B13"/>
    <w:rsid w:val="00F40B4D"/>
    <w:rsid w:val="00F40FD3"/>
    <w:rsid w:val="00F4105E"/>
    <w:rsid w:val="00F416C4"/>
    <w:rsid w:val="00F4245C"/>
    <w:rsid w:val="00F42678"/>
    <w:rsid w:val="00F42798"/>
    <w:rsid w:val="00F42E8B"/>
    <w:rsid w:val="00F43046"/>
    <w:rsid w:val="00F43860"/>
    <w:rsid w:val="00F43B89"/>
    <w:rsid w:val="00F44406"/>
    <w:rsid w:val="00F4487D"/>
    <w:rsid w:val="00F44DD1"/>
    <w:rsid w:val="00F4524A"/>
    <w:rsid w:val="00F4534A"/>
    <w:rsid w:val="00F456F6"/>
    <w:rsid w:val="00F457C3"/>
    <w:rsid w:val="00F45CDD"/>
    <w:rsid w:val="00F4721D"/>
    <w:rsid w:val="00F478FF"/>
    <w:rsid w:val="00F47CF7"/>
    <w:rsid w:val="00F5076F"/>
    <w:rsid w:val="00F51203"/>
    <w:rsid w:val="00F51496"/>
    <w:rsid w:val="00F51D5D"/>
    <w:rsid w:val="00F52611"/>
    <w:rsid w:val="00F53388"/>
    <w:rsid w:val="00F544E8"/>
    <w:rsid w:val="00F54779"/>
    <w:rsid w:val="00F54DD1"/>
    <w:rsid w:val="00F5503D"/>
    <w:rsid w:val="00F55359"/>
    <w:rsid w:val="00F5537A"/>
    <w:rsid w:val="00F55E2D"/>
    <w:rsid w:val="00F567B0"/>
    <w:rsid w:val="00F56EFA"/>
    <w:rsid w:val="00F56F38"/>
    <w:rsid w:val="00F57CCA"/>
    <w:rsid w:val="00F60005"/>
    <w:rsid w:val="00F603CD"/>
    <w:rsid w:val="00F604C1"/>
    <w:rsid w:val="00F6131B"/>
    <w:rsid w:val="00F61341"/>
    <w:rsid w:val="00F61452"/>
    <w:rsid w:val="00F6147A"/>
    <w:rsid w:val="00F61E9E"/>
    <w:rsid w:val="00F61FB8"/>
    <w:rsid w:val="00F62450"/>
    <w:rsid w:val="00F62758"/>
    <w:rsid w:val="00F629EC"/>
    <w:rsid w:val="00F63DCD"/>
    <w:rsid w:val="00F6458F"/>
    <w:rsid w:val="00F64767"/>
    <w:rsid w:val="00F64B18"/>
    <w:rsid w:val="00F650F8"/>
    <w:rsid w:val="00F65497"/>
    <w:rsid w:val="00F65F02"/>
    <w:rsid w:val="00F66090"/>
    <w:rsid w:val="00F66382"/>
    <w:rsid w:val="00F665AE"/>
    <w:rsid w:val="00F66BBE"/>
    <w:rsid w:val="00F67625"/>
    <w:rsid w:val="00F67BDD"/>
    <w:rsid w:val="00F67FA4"/>
    <w:rsid w:val="00F700E4"/>
    <w:rsid w:val="00F70125"/>
    <w:rsid w:val="00F70665"/>
    <w:rsid w:val="00F70DAB"/>
    <w:rsid w:val="00F70E63"/>
    <w:rsid w:val="00F717A1"/>
    <w:rsid w:val="00F72181"/>
    <w:rsid w:val="00F72701"/>
    <w:rsid w:val="00F72979"/>
    <w:rsid w:val="00F72D82"/>
    <w:rsid w:val="00F73850"/>
    <w:rsid w:val="00F7464B"/>
    <w:rsid w:val="00F74FA7"/>
    <w:rsid w:val="00F75C70"/>
    <w:rsid w:val="00F76585"/>
    <w:rsid w:val="00F769B9"/>
    <w:rsid w:val="00F76D8A"/>
    <w:rsid w:val="00F76ED3"/>
    <w:rsid w:val="00F76FD4"/>
    <w:rsid w:val="00F77026"/>
    <w:rsid w:val="00F771B7"/>
    <w:rsid w:val="00F77273"/>
    <w:rsid w:val="00F773E1"/>
    <w:rsid w:val="00F77438"/>
    <w:rsid w:val="00F77452"/>
    <w:rsid w:val="00F77ADE"/>
    <w:rsid w:val="00F77D16"/>
    <w:rsid w:val="00F80857"/>
    <w:rsid w:val="00F80C35"/>
    <w:rsid w:val="00F8162C"/>
    <w:rsid w:val="00F81638"/>
    <w:rsid w:val="00F81EE2"/>
    <w:rsid w:val="00F82630"/>
    <w:rsid w:val="00F827A8"/>
    <w:rsid w:val="00F82A20"/>
    <w:rsid w:val="00F82DD2"/>
    <w:rsid w:val="00F82EAD"/>
    <w:rsid w:val="00F830B6"/>
    <w:rsid w:val="00F8311B"/>
    <w:rsid w:val="00F83DD6"/>
    <w:rsid w:val="00F84140"/>
    <w:rsid w:val="00F84BFD"/>
    <w:rsid w:val="00F84C9F"/>
    <w:rsid w:val="00F84E88"/>
    <w:rsid w:val="00F851A5"/>
    <w:rsid w:val="00F857E0"/>
    <w:rsid w:val="00F85AD9"/>
    <w:rsid w:val="00F85BA1"/>
    <w:rsid w:val="00F862DB"/>
    <w:rsid w:val="00F867B6"/>
    <w:rsid w:val="00F870B8"/>
    <w:rsid w:val="00F87BC4"/>
    <w:rsid w:val="00F87D20"/>
    <w:rsid w:val="00F90F7D"/>
    <w:rsid w:val="00F919A7"/>
    <w:rsid w:val="00F921EC"/>
    <w:rsid w:val="00F92215"/>
    <w:rsid w:val="00F9252A"/>
    <w:rsid w:val="00F9257F"/>
    <w:rsid w:val="00F92DE9"/>
    <w:rsid w:val="00F92EA3"/>
    <w:rsid w:val="00F93418"/>
    <w:rsid w:val="00F9399E"/>
    <w:rsid w:val="00F9416B"/>
    <w:rsid w:val="00F944A8"/>
    <w:rsid w:val="00F95265"/>
    <w:rsid w:val="00F95384"/>
    <w:rsid w:val="00F95F9E"/>
    <w:rsid w:val="00F970D1"/>
    <w:rsid w:val="00F97579"/>
    <w:rsid w:val="00F978C0"/>
    <w:rsid w:val="00F97CAC"/>
    <w:rsid w:val="00F97CE0"/>
    <w:rsid w:val="00F97D92"/>
    <w:rsid w:val="00FA008D"/>
    <w:rsid w:val="00FA0265"/>
    <w:rsid w:val="00FA0625"/>
    <w:rsid w:val="00FA0A3B"/>
    <w:rsid w:val="00FA115B"/>
    <w:rsid w:val="00FA1D1B"/>
    <w:rsid w:val="00FA1DF9"/>
    <w:rsid w:val="00FA1EFC"/>
    <w:rsid w:val="00FA20DC"/>
    <w:rsid w:val="00FA24E3"/>
    <w:rsid w:val="00FA2931"/>
    <w:rsid w:val="00FA2D7F"/>
    <w:rsid w:val="00FA2D8B"/>
    <w:rsid w:val="00FA3974"/>
    <w:rsid w:val="00FA4386"/>
    <w:rsid w:val="00FA45FB"/>
    <w:rsid w:val="00FA527B"/>
    <w:rsid w:val="00FA5F4C"/>
    <w:rsid w:val="00FA6385"/>
    <w:rsid w:val="00FA71C5"/>
    <w:rsid w:val="00FA73B3"/>
    <w:rsid w:val="00FA74F7"/>
    <w:rsid w:val="00FA76C0"/>
    <w:rsid w:val="00FA7AF1"/>
    <w:rsid w:val="00FA7CBA"/>
    <w:rsid w:val="00FB082B"/>
    <w:rsid w:val="00FB0D39"/>
    <w:rsid w:val="00FB0E21"/>
    <w:rsid w:val="00FB13A2"/>
    <w:rsid w:val="00FB140B"/>
    <w:rsid w:val="00FB18B9"/>
    <w:rsid w:val="00FB1C25"/>
    <w:rsid w:val="00FB25D8"/>
    <w:rsid w:val="00FB2B40"/>
    <w:rsid w:val="00FB33EB"/>
    <w:rsid w:val="00FB3EDC"/>
    <w:rsid w:val="00FB424D"/>
    <w:rsid w:val="00FB4937"/>
    <w:rsid w:val="00FB49BF"/>
    <w:rsid w:val="00FB555D"/>
    <w:rsid w:val="00FB654C"/>
    <w:rsid w:val="00FB674D"/>
    <w:rsid w:val="00FB68C1"/>
    <w:rsid w:val="00FB70C9"/>
    <w:rsid w:val="00FC057D"/>
    <w:rsid w:val="00FC08A6"/>
    <w:rsid w:val="00FC0FAF"/>
    <w:rsid w:val="00FC15F6"/>
    <w:rsid w:val="00FC1B4B"/>
    <w:rsid w:val="00FC2C4D"/>
    <w:rsid w:val="00FC3324"/>
    <w:rsid w:val="00FC33D5"/>
    <w:rsid w:val="00FC3C0B"/>
    <w:rsid w:val="00FC3C35"/>
    <w:rsid w:val="00FC45F8"/>
    <w:rsid w:val="00FC4873"/>
    <w:rsid w:val="00FC4A9F"/>
    <w:rsid w:val="00FC50AE"/>
    <w:rsid w:val="00FC5570"/>
    <w:rsid w:val="00FC5781"/>
    <w:rsid w:val="00FC588F"/>
    <w:rsid w:val="00FC5B5F"/>
    <w:rsid w:val="00FC5C37"/>
    <w:rsid w:val="00FC5F37"/>
    <w:rsid w:val="00FC5FF6"/>
    <w:rsid w:val="00FC6FDE"/>
    <w:rsid w:val="00FC74E5"/>
    <w:rsid w:val="00FC788C"/>
    <w:rsid w:val="00FC7949"/>
    <w:rsid w:val="00FC7EC5"/>
    <w:rsid w:val="00FC7F01"/>
    <w:rsid w:val="00FD05EE"/>
    <w:rsid w:val="00FD0AB9"/>
    <w:rsid w:val="00FD0FAF"/>
    <w:rsid w:val="00FD148A"/>
    <w:rsid w:val="00FD194E"/>
    <w:rsid w:val="00FD1988"/>
    <w:rsid w:val="00FD21B9"/>
    <w:rsid w:val="00FD244C"/>
    <w:rsid w:val="00FD26CB"/>
    <w:rsid w:val="00FD2EA0"/>
    <w:rsid w:val="00FD33D0"/>
    <w:rsid w:val="00FD35B9"/>
    <w:rsid w:val="00FD367C"/>
    <w:rsid w:val="00FD36F7"/>
    <w:rsid w:val="00FD3AB5"/>
    <w:rsid w:val="00FD3F63"/>
    <w:rsid w:val="00FD46D1"/>
    <w:rsid w:val="00FD488A"/>
    <w:rsid w:val="00FD5871"/>
    <w:rsid w:val="00FD6072"/>
    <w:rsid w:val="00FD770B"/>
    <w:rsid w:val="00FD7B72"/>
    <w:rsid w:val="00FE063C"/>
    <w:rsid w:val="00FE0C84"/>
    <w:rsid w:val="00FE0D3F"/>
    <w:rsid w:val="00FE1CED"/>
    <w:rsid w:val="00FE1CF7"/>
    <w:rsid w:val="00FE22F1"/>
    <w:rsid w:val="00FE2511"/>
    <w:rsid w:val="00FE268A"/>
    <w:rsid w:val="00FE26AA"/>
    <w:rsid w:val="00FE27C5"/>
    <w:rsid w:val="00FE27E0"/>
    <w:rsid w:val="00FE293B"/>
    <w:rsid w:val="00FE2BC2"/>
    <w:rsid w:val="00FE2CE7"/>
    <w:rsid w:val="00FE3757"/>
    <w:rsid w:val="00FE3910"/>
    <w:rsid w:val="00FE3D68"/>
    <w:rsid w:val="00FE45DB"/>
    <w:rsid w:val="00FE4BEE"/>
    <w:rsid w:val="00FE4F45"/>
    <w:rsid w:val="00FE5515"/>
    <w:rsid w:val="00FE6481"/>
    <w:rsid w:val="00FE6E2A"/>
    <w:rsid w:val="00FF0232"/>
    <w:rsid w:val="00FF0266"/>
    <w:rsid w:val="00FF0565"/>
    <w:rsid w:val="00FF05B0"/>
    <w:rsid w:val="00FF0C9C"/>
    <w:rsid w:val="00FF0CC1"/>
    <w:rsid w:val="00FF0F60"/>
    <w:rsid w:val="00FF120F"/>
    <w:rsid w:val="00FF129B"/>
    <w:rsid w:val="00FF131A"/>
    <w:rsid w:val="00FF1610"/>
    <w:rsid w:val="00FF2F6E"/>
    <w:rsid w:val="00FF37C5"/>
    <w:rsid w:val="00FF3D8C"/>
    <w:rsid w:val="00FF40A1"/>
    <w:rsid w:val="00FF42AD"/>
    <w:rsid w:val="00FF4AD0"/>
    <w:rsid w:val="00FF53FD"/>
    <w:rsid w:val="00FF541E"/>
    <w:rsid w:val="00FF5759"/>
    <w:rsid w:val="00FF59D7"/>
    <w:rsid w:val="00FF5B47"/>
    <w:rsid w:val="00FF5D8D"/>
    <w:rsid w:val="00FF62D5"/>
    <w:rsid w:val="00FF67B5"/>
    <w:rsid w:val="00FF6C51"/>
    <w:rsid w:val="00FF794F"/>
    <w:rsid w:val="00FF7DCD"/>
    <w:rsid w:val="0108DBC6"/>
    <w:rsid w:val="014C49B3"/>
    <w:rsid w:val="015A6E61"/>
    <w:rsid w:val="016D0BA6"/>
    <w:rsid w:val="01B0A5B6"/>
    <w:rsid w:val="01F4BD96"/>
    <w:rsid w:val="02045BC9"/>
    <w:rsid w:val="0228EFC3"/>
    <w:rsid w:val="022B8307"/>
    <w:rsid w:val="02651305"/>
    <w:rsid w:val="027888D7"/>
    <w:rsid w:val="02C50418"/>
    <w:rsid w:val="02CFF2AE"/>
    <w:rsid w:val="0350ED6C"/>
    <w:rsid w:val="036492DB"/>
    <w:rsid w:val="0381BADC"/>
    <w:rsid w:val="041B8427"/>
    <w:rsid w:val="04506521"/>
    <w:rsid w:val="04741FEA"/>
    <w:rsid w:val="048AFEA4"/>
    <w:rsid w:val="048B972B"/>
    <w:rsid w:val="04AC809F"/>
    <w:rsid w:val="04E98456"/>
    <w:rsid w:val="051CD830"/>
    <w:rsid w:val="053243D3"/>
    <w:rsid w:val="05CB13D1"/>
    <w:rsid w:val="05CCDB72"/>
    <w:rsid w:val="05F81B24"/>
    <w:rsid w:val="0609FF25"/>
    <w:rsid w:val="0678A712"/>
    <w:rsid w:val="06DE2382"/>
    <w:rsid w:val="0783A458"/>
    <w:rsid w:val="07A972FB"/>
    <w:rsid w:val="092EF6E5"/>
    <w:rsid w:val="0A410E65"/>
    <w:rsid w:val="0A602B7C"/>
    <w:rsid w:val="0A65B2BB"/>
    <w:rsid w:val="0A71BA43"/>
    <w:rsid w:val="0A803075"/>
    <w:rsid w:val="0AA0D3C0"/>
    <w:rsid w:val="0ABE8DE0"/>
    <w:rsid w:val="0B7EEECA"/>
    <w:rsid w:val="0B956D53"/>
    <w:rsid w:val="0B99C732"/>
    <w:rsid w:val="0BBFDAC3"/>
    <w:rsid w:val="0BDEF76D"/>
    <w:rsid w:val="0BF4AC79"/>
    <w:rsid w:val="0C1B6DB0"/>
    <w:rsid w:val="0C3E1067"/>
    <w:rsid w:val="0C44D6EE"/>
    <w:rsid w:val="0C4CF130"/>
    <w:rsid w:val="0C54ECA5"/>
    <w:rsid w:val="0C87270C"/>
    <w:rsid w:val="0CAA5FA6"/>
    <w:rsid w:val="0CBBD7E6"/>
    <w:rsid w:val="0D610C72"/>
    <w:rsid w:val="0D670B62"/>
    <w:rsid w:val="0DA7600A"/>
    <w:rsid w:val="0DD5DDB5"/>
    <w:rsid w:val="0DE55872"/>
    <w:rsid w:val="0E9158AC"/>
    <w:rsid w:val="0EF3E479"/>
    <w:rsid w:val="0F1C687C"/>
    <w:rsid w:val="0F1D3FAA"/>
    <w:rsid w:val="0F1E6615"/>
    <w:rsid w:val="0F4E53AA"/>
    <w:rsid w:val="0FC5B8E7"/>
    <w:rsid w:val="101A85CD"/>
    <w:rsid w:val="10ADC357"/>
    <w:rsid w:val="10B21D68"/>
    <w:rsid w:val="10DF4E15"/>
    <w:rsid w:val="10F05E85"/>
    <w:rsid w:val="110DB73D"/>
    <w:rsid w:val="116ACF8A"/>
    <w:rsid w:val="11936CAF"/>
    <w:rsid w:val="11EDB222"/>
    <w:rsid w:val="120EADBE"/>
    <w:rsid w:val="121D87BD"/>
    <w:rsid w:val="1241866A"/>
    <w:rsid w:val="12843BC3"/>
    <w:rsid w:val="12A721AB"/>
    <w:rsid w:val="130D4EA1"/>
    <w:rsid w:val="13529B26"/>
    <w:rsid w:val="138D1BB0"/>
    <w:rsid w:val="13B4FB45"/>
    <w:rsid w:val="13EB37A6"/>
    <w:rsid w:val="13F00C86"/>
    <w:rsid w:val="13F2C244"/>
    <w:rsid w:val="14203D23"/>
    <w:rsid w:val="144ABBA8"/>
    <w:rsid w:val="149703B7"/>
    <w:rsid w:val="14C6E9CB"/>
    <w:rsid w:val="14C77BFB"/>
    <w:rsid w:val="14D234A5"/>
    <w:rsid w:val="14EF9248"/>
    <w:rsid w:val="1507A5ED"/>
    <w:rsid w:val="1510E22B"/>
    <w:rsid w:val="1521EDB4"/>
    <w:rsid w:val="15B74030"/>
    <w:rsid w:val="15BB77DE"/>
    <w:rsid w:val="1618BCF1"/>
    <w:rsid w:val="16440C67"/>
    <w:rsid w:val="16CF1631"/>
    <w:rsid w:val="16D24A0A"/>
    <w:rsid w:val="16E52576"/>
    <w:rsid w:val="17277A61"/>
    <w:rsid w:val="17362154"/>
    <w:rsid w:val="17749607"/>
    <w:rsid w:val="17BA769A"/>
    <w:rsid w:val="181E560D"/>
    <w:rsid w:val="182E828D"/>
    <w:rsid w:val="182EEB51"/>
    <w:rsid w:val="18341A9A"/>
    <w:rsid w:val="1897A86D"/>
    <w:rsid w:val="18D6CC44"/>
    <w:rsid w:val="18E33870"/>
    <w:rsid w:val="190C0B05"/>
    <w:rsid w:val="193BCC33"/>
    <w:rsid w:val="1941DE03"/>
    <w:rsid w:val="195DD74E"/>
    <w:rsid w:val="196CB19B"/>
    <w:rsid w:val="196FBA51"/>
    <w:rsid w:val="19DC0241"/>
    <w:rsid w:val="19DCC8DA"/>
    <w:rsid w:val="19FDCFAC"/>
    <w:rsid w:val="19FE22A1"/>
    <w:rsid w:val="1A1D49E3"/>
    <w:rsid w:val="1A235B35"/>
    <w:rsid w:val="1B056784"/>
    <w:rsid w:val="1B12D3DB"/>
    <w:rsid w:val="1B1C038F"/>
    <w:rsid w:val="1B1D5117"/>
    <w:rsid w:val="1B47F856"/>
    <w:rsid w:val="1B5579CF"/>
    <w:rsid w:val="1B7E5B73"/>
    <w:rsid w:val="1B7EE276"/>
    <w:rsid w:val="1B920785"/>
    <w:rsid w:val="1B9D066E"/>
    <w:rsid w:val="1BADA803"/>
    <w:rsid w:val="1BB0D53F"/>
    <w:rsid w:val="1BBB85A6"/>
    <w:rsid w:val="1C40A12E"/>
    <w:rsid w:val="1C747382"/>
    <w:rsid w:val="1C8C225E"/>
    <w:rsid w:val="1C90E615"/>
    <w:rsid w:val="1CA75B13"/>
    <w:rsid w:val="1CB0FE26"/>
    <w:rsid w:val="1CC86411"/>
    <w:rsid w:val="1D26714C"/>
    <w:rsid w:val="1D4C8F4E"/>
    <w:rsid w:val="1EA025DC"/>
    <w:rsid w:val="1EA81299"/>
    <w:rsid w:val="1EAB9E6E"/>
    <w:rsid w:val="1EACA5D0"/>
    <w:rsid w:val="1F2A6CEA"/>
    <w:rsid w:val="1FBA04F9"/>
    <w:rsid w:val="1FDCEA69"/>
    <w:rsid w:val="2012266F"/>
    <w:rsid w:val="201BE748"/>
    <w:rsid w:val="203C9BBD"/>
    <w:rsid w:val="20439A01"/>
    <w:rsid w:val="20481515"/>
    <w:rsid w:val="20B0696A"/>
    <w:rsid w:val="20F3B938"/>
    <w:rsid w:val="21520951"/>
    <w:rsid w:val="2154C95E"/>
    <w:rsid w:val="2232BE88"/>
    <w:rsid w:val="2241E307"/>
    <w:rsid w:val="22524B08"/>
    <w:rsid w:val="22785B0F"/>
    <w:rsid w:val="227EFC09"/>
    <w:rsid w:val="22FA8D42"/>
    <w:rsid w:val="23097778"/>
    <w:rsid w:val="23E34D8F"/>
    <w:rsid w:val="24441E4A"/>
    <w:rsid w:val="245E127D"/>
    <w:rsid w:val="2517D56A"/>
    <w:rsid w:val="251FBEFD"/>
    <w:rsid w:val="252275F1"/>
    <w:rsid w:val="25265610"/>
    <w:rsid w:val="25E499AA"/>
    <w:rsid w:val="2610A2DC"/>
    <w:rsid w:val="265A3B95"/>
    <w:rsid w:val="265FB0FB"/>
    <w:rsid w:val="271F41A1"/>
    <w:rsid w:val="27AAE345"/>
    <w:rsid w:val="27EFB77B"/>
    <w:rsid w:val="284906E6"/>
    <w:rsid w:val="28607EFB"/>
    <w:rsid w:val="28A18151"/>
    <w:rsid w:val="28BF2888"/>
    <w:rsid w:val="28C3B22B"/>
    <w:rsid w:val="28CACF6E"/>
    <w:rsid w:val="28CB9B49"/>
    <w:rsid w:val="2908714A"/>
    <w:rsid w:val="2947F36F"/>
    <w:rsid w:val="29498996"/>
    <w:rsid w:val="296B9F2A"/>
    <w:rsid w:val="298B2078"/>
    <w:rsid w:val="299F43E1"/>
    <w:rsid w:val="299F755D"/>
    <w:rsid w:val="29A04943"/>
    <w:rsid w:val="29A0C747"/>
    <w:rsid w:val="29F53F23"/>
    <w:rsid w:val="2A2AFA12"/>
    <w:rsid w:val="2A304421"/>
    <w:rsid w:val="2A4010AB"/>
    <w:rsid w:val="2A6F2DAC"/>
    <w:rsid w:val="2A74A655"/>
    <w:rsid w:val="2A88547C"/>
    <w:rsid w:val="2A8C7318"/>
    <w:rsid w:val="2ACC34C1"/>
    <w:rsid w:val="2B14FB29"/>
    <w:rsid w:val="2B152CF6"/>
    <w:rsid w:val="2B1E3D02"/>
    <w:rsid w:val="2B6B997E"/>
    <w:rsid w:val="2BBE5333"/>
    <w:rsid w:val="2C1CC235"/>
    <w:rsid w:val="2C2FA6CE"/>
    <w:rsid w:val="2C9E66BF"/>
    <w:rsid w:val="2C9F558C"/>
    <w:rsid w:val="2CC35FCC"/>
    <w:rsid w:val="2CC3D8D7"/>
    <w:rsid w:val="2D553A35"/>
    <w:rsid w:val="2D7F9811"/>
    <w:rsid w:val="2DD664A3"/>
    <w:rsid w:val="2DE51D66"/>
    <w:rsid w:val="2E09C557"/>
    <w:rsid w:val="2E26F5E6"/>
    <w:rsid w:val="2E2C7D04"/>
    <w:rsid w:val="2E55CCBE"/>
    <w:rsid w:val="2E5A6E4E"/>
    <w:rsid w:val="2EEF0B41"/>
    <w:rsid w:val="2F192615"/>
    <w:rsid w:val="2F5E8A71"/>
    <w:rsid w:val="2F7C61D0"/>
    <w:rsid w:val="2F8D1D5C"/>
    <w:rsid w:val="2F9311A9"/>
    <w:rsid w:val="2F9DB2FC"/>
    <w:rsid w:val="2FB11171"/>
    <w:rsid w:val="2FD3FF5A"/>
    <w:rsid w:val="2FF4CC5C"/>
    <w:rsid w:val="30052C81"/>
    <w:rsid w:val="30313A0E"/>
    <w:rsid w:val="30620BB0"/>
    <w:rsid w:val="30D5E153"/>
    <w:rsid w:val="30F6B485"/>
    <w:rsid w:val="3128875A"/>
    <w:rsid w:val="314A31F6"/>
    <w:rsid w:val="322A9A7D"/>
    <w:rsid w:val="32498E3E"/>
    <w:rsid w:val="32A05EE7"/>
    <w:rsid w:val="32C8ECBE"/>
    <w:rsid w:val="334B39A9"/>
    <w:rsid w:val="3371F8A9"/>
    <w:rsid w:val="33AD3CE5"/>
    <w:rsid w:val="33DB2276"/>
    <w:rsid w:val="3410BE13"/>
    <w:rsid w:val="3446E924"/>
    <w:rsid w:val="344AF76B"/>
    <w:rsid w:val="34E24F92"/>
    <w:rsid w:val="352B8072"/>
    <w:rsid w:val="35A5AE74"/>
    <w:rsid w:val="35C2762A"/>
    <w:rsid w:val="35DD5027"/>
    <w:rsid w:val="35E6EF0A"/>
    <w:rsid w:val="362324E7"/>
    <w:rsid w:val="3632F7C7"/>
    <w:rsid w:val="365BD7D8"/>
    <w:rsid w:val="366BE45E"/>
    <w:rsid w:val="3699FC2E"/>
    <w:rsid w:val="36B4365E"/>
    <w:rsid w:val="370CD605"/>
    <w:rsid w:val="3756C350"/>
    <w:rsid w:val="3761A3DE"/>
    <w:rsid w:val="37978F8F"/>
    <w:rsid w:val="37B01E16"/>
    <w:rsid w:val="37DD5901"/>
    <w:rsid w:val="37FA77B6"/>
    <w:rsid w:val="3896729D"/>
    <w:rsid w:val="38B61B7D"/>
    <w:rsid w:val="38DA4465"/>
    <w:rsid w:val="398DB8B3"/>
    <w:rsid w:val="39C2845B"/>
    <w:rsid w:val="39E3D517"/>
    <w:rsid w:val="39F32760"/>
    <w:rsid w:val="3A06241F"/>
    <w:rsid w:val="3AB865D4"/>
    <w:rsid w:val="3B0A9011"/>
    <w:rsid w:val="3BB3797A"/>
    <w:rsid w:val="3BCDAEB8"/>
    <w:rsid w:val="3C3DA799"/>
    <w:rsid w:val="3C712B4E"/>
    <w:rsid w:val="3CBFD023"/>
    <w:rsid w:val="3D09F859"/>
    <w:rsid w:val="3D12CDD3"/>
    <w:rsid w:val="3D7C91BC"/>
    <w:rsid w:val="3DB8508A"/>
    <w:rsid w:val="3DC14F5F"/>
    <w:rsid w:val="3E0A23F8"/>
    <w:rsid w:val="3E2E3A3E"/>
    <w:rsid w:val="3E91BAD0"/>
    <w:rsid w:val="3ED33F77"/>
    <w:rsid w:val="3ED9F375"/>
    <w:rsid w:val="3EDAEC97"/>
    <w:rsid w:val="3F6604AC"/>
    <w:rsid w:val="3F94B81E"/>
    <w:rsid w:val="3FA64DCC"/>
    <w:rsid w:val="402F8BF4"/>
    <w:rsid w:val="403C92BC"/>
    <w:rsid w:val="40674A96"/>
    <w:rsid w:val="4072571D"/>
    <w:rsid w:val="40DB832D"/>
    <w:rsid w:val="40F1C090"/>
    <w:rsid w:val="41014B27"/>
    <w:rsid w:val="41319466"/>
    <w:rsid w:val="41446C8A"/>
    <w:rsid w:val="416CF2D4"/>
    <w:rsid w:val="4192E668"/>
    <w:rsid w:val="419FEC40"/>
    <w:rsid w:val="41B46D06"/>
    <w:rsid w:val="41BEFEAC"/>
    <w:rsid w:val="41CA2096"/>
    <w:rsid w:val="41D4B302"/>
    <w:rsid w:val="4249EB43"/>
    <w:rsid w:val="42A74F2F"/>
    <w:rsid w:val="42B8B3ED"/>
    <w:rsid w:val="435777AC"/>
    <w:rsid w:val="43840A91"/>
    <w:rsid w:val="43849D67"/>
    <w:rsid w:val="43A011F0"/>
    <w:rsid w:val="4436E487"/>
    <w:rsid w:val="4459D735"/>
    <w:rsid w:val="447A0921"/>
    <w:rsid w:val="448D10C5"/>
    <w:rsid w:val="449BFD82"/>
    <w:rsid w:val="4526326B"/>
    <w:rsid w:val="452F06DB"/>
    <w:rsid w:val="454BCF60"/>
    <w:rsid w:val="4564C897"/>
    <w:rsid w:val="457619E8"/>
    <w:rsid w:val="45BC15D9"/>
    <w:rsid w:val="45C6FC35"/>
    <w:rsid w:val="45D42274"/>
    <w:rsid w:val="45D88EBD"/>
    <w:rsid w:val="461C12D8"/>
    <w:rsid w:val="467E7A20"/>
    <w:rsid w:val="46AE99BF"/>
    <w:rsid w:val="46B31EBE"/>
    <w:rsid w:val="46BBBBE1"/>
    <w:rsid w:val="4702DDDF"/>
    <w:rsid w:val="470C91B7"/>
    <w:rsid w:val="470CD09C"/>
    <w:rsid w:val="47404CD4"/>
    <w:rsid w:val="476A7AEF"/>
    <w:rsid w:val="4778EB08"/>
    <w:rsid w:val="47A8823B"/>
    <w:rsid w:val="47E75E23"/>
    <w:rsid w:val="47FEDAE3"/>
    <w:rsid w:val="48198018"/>
    <w:rsid w:val="4862483C"/>
    <w:rsid w:val="490F07C0"/>
    <w:rsid w:val="4A7672C8"/>
    <w:rsid w:val="4AC7C28B"/>
    <w:rsid w:val="4AE51130"/>
    <w:rsid w:val="4B408EB5"/>
    <w:rsid w:val="4B5C712D"/>
    <w:rsid w:val="4BCB132A"/>
    <w:rsid w:val="4C0EB470"/>
    <w:rsid w:val="4C1D7CED"/>
    <w:rsid w:val="4C55E807"/>
    <w:rsid w:val="4C7ABD97"/>
    <w:rsid w:val="4D752F30"/>
    <w:rsid w:val="4D959096"/>
    <w:rsid w:val="4DA7647A"/>
    <w:rsid w:val="4DAC6337"/>
    <w:rsid w:val="4DB3D601"/>
    <w:rsid w:val="4E1DB406"/>
    <w:rsid w:val="4E762F29"/>
    <w:rsid w:val="4E78A792"/>
    <w:rsid w:val="4E7FA50B"/>
    <w:rsid w:val="4EC6BF3B"/>
    <w:rsid w:val="4F2746FF"/>
    <w:rsid w:val="4F3902C7"/>
    <w:rsid w:val="4F4EC864"/>
    <w:rsid w:val="4F74518F"/>
    <w:rsid w:val="4FCDA391"/>
    <w:rsid w:val="4FCE08AD"/>
    <w:rsid w:val="505431C4"/>
    <w:rsid w:val="505F1DF9"/>
    <w:rsid w:val="50AC4546"/>
    <w:rsid w:val="50ACDCBE"/>
    <w:rsid w:val="50BE7424"/>
    <w:rsid w:val="50D66B0E"/>
    <w:rsid w:val="50DBFB60"/>
    <w:rsid w:val="50EE136F"/>
    <w:rsid w:val="51409A5C"/>
    <w:rsid w:val="51410D8E"/>
    <w:rsid w:val="514297D7"/>
    <w:rsid w:val="5182086E"/>
    <w:rsid w:val="51E0B885"/>
    <w:rsid w:val="521C6FE8"/>
    <w:rsid w:val="52444A35"/>
    <w:rsid w:val="5259E5C2"/>
    <w:rsid w:val="529B2BB9"/>
    <w:rsid w:val="52C330F1"/>
    <w:rsid w:val="52E45FDE"/>
    <w:rsid w:val="531E5724"/>
    <w:rsid w:val="53352C39"/>
    <w:rsid w:val="534BB1AD"/>
    <w:rsid w:val="5363CF60"/>
    <w:rsid w:val="5366A29E"/>
    <w:rsid w:val="53A277F3"/>
    <w:rsid w:val="542B7EE2"/>
    <w:rsid w:val="5430E490"/>
    <w:rsid w:val="5433DFF4"/>
    <w:rsid w:val="5434BF00"/>
    <w:rsid w:val="54766BB6"/>
    <w:rsid w:val="54958CE7"/>
    <w:rsid w:val="549A1E9C"/>
    <w:rsid w:val="55006687"/>
    <w:rsid w:val="55048CFE"/>
    <w:rsid w:val="551246F1"/>
    <w:rsid w:val="55CE0639"/>
    <w:rsid w:val="55D88C78"/>
    <w:rsid w:val="5668B0C8"/>
    <w:rsid w:val="566A209F"/>
    <w:rsid w:val="56A32361"/>
    <w:rsid w:val="56A3A4AE"/>
    <w:rsid w:val="56C37348"/>
    <w:rsid w:val="57098D24"/>
    <w:rsid w:val="5724FC19"/>
    <w:rsid w:val="5759FAF4"/>
    <w:rsid w:val="5784485C"/>
    <w:rsid w:val="57A5373C"/>
    <w:rsid w:val="57B5980C"/>
    <w:rsid w:val="5818DDA9"/>
    <w:rsid w:val="5837840B"/>
    <w:rsid w:val="58447D1D"/>
    <w:rsid w:val="587CCDEF"/>
    <w:rsid w:val="5888451C"/>
    <w:rsid w:val="590B9163"/>
    <w:rsid w:val="590F3E9D"/>
    <w:rsid w:val="59289AFE"/>
    <w:rsid w:val="5996FEF5"/>
    <w:rsid w:val="59FB140A"/>
    <w:rsid w:val="5A59E39A"/>
    <w:rsid w:val="5A5D5FE6"/>
    <w:rsid w:val="5B45C32C"/>
    <w:rsid w:val="5BBAA7DD"/>
    <w:rsid w:val="5C05F538"/>
    <w:rsid w:val="5C653C07"/>
    <w:rsid w:val="5C8302BB"/>
    <w:rsid w:val="5C8AA75E"/>
    <w:rsid w:val="5CDB91F9"/>
    <w:rsid w:val="5D1575EB"/>
    <w:rsid w:val="5D3A1856"/>
    <w:rsid w:val="5DAF0B09"/>
    <w:rsid w:val="5DFA5B27"/>
    <w:rsid w:val="5E0984CF"/>
    <w:rsid w:val="5E158B0A"/>
    <w:rsid w:val="5E7D3837"/>
    <w:rsid w:val="5E84C8E1"/>
    <w:rsid w:val="5E8AF1D1"/>
    <w:rsid w:val="5EC8368B"/>
    <w:rsid w:val="5F04645D"/>
    <w:rsid w:val="5F04FE84"/>
    <w:rsid w:val="5F08CF38"/>
    <w:rsid w:val="5F098A6B"/>
    <w:rsid w:val="5F09F497"/>
    <w:rsid w:val="5F6EF3CE"/>
    <w:rsid w:val="5F7C0BBC"/>
    <w:rsid w:val="5FA0C2A4"/>
    <w:rsid w:val="5FBF3850"/>
    <w:rsid w:val="5FDF4A9E"/>
    <w:rsid w:val="5FE0CBFD"/>
    <w:rsid w:val="6052139F"/>
    <w:rsid w:val="6058206A"/>
    <w:rsid w:val="608B675D"/>
    <w:rsid w:val="60935701"/>
    <w:rsid w:val="60B7C122"/>
    <w:rsid w:val="6122BA0D"/>
    <w:rsid w:val="61466D36"/>
    <w:rsid w:val="6159D31F"/>
    <w:rsid w:val="615A05ED"/>
    <w:rsid w:val="617B65BD"/>
    <w:rsid w:val="61B24229"/>
    <w:rsid w:val="622DE514"/>
    <w:rsid w:val="624714E2"/>
    <w:rsid w:val="62E4A21C"/>
    <w:rsid w:val="62F6C3E2"/>
    <w:rsid w:val="6333EF43"/>
    <w:rsid w:val="6335C589"/>
    <w:rsid w:val="6374A7DB"/>
    <w:rsid w:val="63B0F107"/>
    <w:rsid w:val="642658B8"/>
    <w:rsid w:val="643A62C9"/>
    <w:rsid w:val="64971A09"/>
    <w:rsid w:val="64B6643C"/>
    <w:rsid w:val="6527BA7A"/>
    <w:rsid w:val="65292D8E"/>
    <w:rsid w:val="65EAD03D"/>
    <w:rsid w:val="65FDDFF4"/>
    <w:rsid w:val="6620EF88"/>
    <w:rsid w:val="66A54328"/>
    <w:rsid w:val="66C5758C"/>
    <w:rsid w:val="6713A9D3"/>
    <w:rsid w:val="671D5F11"/>
    <w:rsid w:val="672B80D5"/>
    <w:rsid w:val="67701C60"/>
    <w:rsid w:val="679CB92E"/>
    <w:rsid w:val="67BC07AE"/>
    <w:rsid w:val="67BFC4CA"/>
    <w:rsid w:val="67BFD413"/>
    <w:rsid w:val="67CF4B9B"/>
    <w:rsid w:val="685CDB28"/>
    <w:rsid w:val="68A71D06"/>
    <w:rsid w:val="693CA8EC"/>
    <w:rsid w:val="69618E29"/>
    <w:rsid w:val="6962F824"/>
    <w:rsid w:val="696B47F3"/>
    <w:rsid w:val="6A06876D"/>
    <w:rsid w:val="6A194750"/>
    <w:rsid w:val="6A8FFAAE"/>
    <w:rsid w:val="6AABDBE5"/>
    <w:rsid w:val="6AC6A757"/>
    <w:rsid w:val="6AD11FBE"/>
    <w:rsid w:val="6AE604EB"/>
    <w:rsid w:val="6B084744"/>
    <w:rsid w:val="6B4759E0"/>
    <w:rsid w:val="6B5FF3BC"/>
    <w:rsid w:val="6B9A2F2F"/>
    <w:rsid w:val="6BEAF440"/>
    <w:rsid w:val="6BF47406"/>
    <w:rsid w:val="6C50BB44"/>
    <w:rsid w:val="6C59F815"/>
    <w:rsid w:val="6C5E93D6"/>
    <w:rsid w:val="6C81D54C"/>
    <w:rsid w:val="6C92DE4D"/>
    <w:rsid w:val="6CBC9811"/>
    <w:rsid w:val="6CCD684D"/>
    <w:rsid w:val="6D03DB3F"/>
    <w:rsid w:val="6D102F57"/>
    <w:rsid w:val="6D5EA641"/>
    <w:rsid w:val="6D85441F"/>
    <w:rsid w:val="6D90B084"/>
    <w:rsid w:val="6DB5BAFE"/>
    <w:rsid w:val="6DCFB6A4"/>
    <w:rsid w:val="6DFC972F"/>
    <w:rsid w:val="6E66B177"/>
    <w:rsid w:val="6E698D08"/>
    <w:rsid w:val="6EB24385"/>
    <w:rsid w:val="6F1597F0"/>
    <w:rsid w:val="6F1EF9F0"/>
    <w:rsid w:val="6F53103E"/>
    <w:rsid w:val="6F6A034E"/>
    <w:rsid w:val="6FDA2FDB"/>
    <w:rsid w:val="706BF557"/>
    <w:rsid w:val="708A882C"/>
    <w:rsid w:val="7090DB01"/>
    <w:rsid w:val="70924D79"/>
    <w:rsid w:val="709595C6"/>
    <w:rsid w:val="70978C48"/>
    <w:rsid w:val="711DA045"/>
    <w:rsid w:val="71743C4B"/>
    <w:rsid w:val="717E1A18"/>
    <w:rsid w:val="71E8444E"/>
    <w:rsid w:val="720CCE43"/>
    <w:rsid w:val="7224FF6B"/>
    <w:rsid w:val="7232A8E4"/>
    <w:rsid w:val="725EDA02"/>
    <w:rsid w:val="726011B8"/>
    <w:rsid w:val="726FE561"/>
    <w:rsid w:val="727FD87C"/>
    <w:rsid w:val="731F1196"/>
    <w:rsid w:val="7349BE44"/>
    <w:rsid w:val="73EFD374"/>
    <w:rsid w:val="73F37967"/>
    <w:rsid w:val="74426ECD"/>
    <w:rsid w:val="7446A3CC"/>
    <w:rsid w:val="7456DA37"/>
    <w:rsid w:val="74629F83"/>
    <w:rsid w:val="746937EA"/>
    <w:rsid w:val="7493B71A"/>
    <w:rsid w:val="749DF032"/>
    <w:rsid w:val="74BDCDD4"/>
    <w:rsid w:val="74BE3952"/>
    <w:rsid w:val="74C35822"/>
    <w:rsid w:val="74DB7090"/>
    <w:rsid w:val="7507326F"/>
    <w:rsid w:val="7542AFA4"/>
    <w:rsid w:val="754DAF60"/>
    <w:rsid w:val="7587634A"/>
    <w:rsid w:val="75E5B9DC"/>
    <w:rsid w:val="76101A3A"/>
    <w:rsid w:val="769909F7"/>
    <w:rsid w:val="76C6A1E9"/>
    <w:rsid w:val="76D3A9B5"/>
    <w:rsid w:val="7727F7EC"/>
    <w:rsid w:val="7772DA44"/>
    <w:rsid w:val="7775CF66"/>
    <w:rsid w:val="77893BA1"/>
    <w:rsid w:val="7790FA7E"/>
    <w:rsid w:val="786C638B"/>
    <w:rsid w:val="788E0F06"/>
    <w:rsid w:val="78C14125"/>
    <w:rsid w:val="792AE464"/>
    <w:rsid w:val="79FF059A"/>
    <w:rsid w:val="7A192F3F"/>
    <w:rsid w:val="7A2F4924"/>
    <w:rsid w:val="7A485C2D"/>
    <w:rsid w:val="7A48F147"/>
    <w:rsid w:val="7A582D65"/>
    <w:rsid w:val="7A6A8BCE"/>
    <w:rsid w:val="7A7B1287"/>
    <w:rsid w:val="7AC08DE7"/>
    <w:rsid w:val="7AE5A64F"/>
    <w:rsid w:val="7AF6BED9"/>
    <w:rsid w:val="7B4C248C"/>
    <w:rsid w:val="7B5558EC"/>
    <w:rsid w:val="7B586993"/>
    <w:rsid w:val="7B8FB708"/>
    <w:rsid w:val="7B989669"/>
    <w:rsid w:val="7BA33885"/>
    <w:rsid w:val="7BAFAECE"/>
    <w:rsid w:val="7C0C0647"/>
    <w:rsid w:val="7C3BDD97"/>
    <w:rsid w:val="7C54EBF0"/>
    <w:rsid w:val="7CE56BB2"/>
    <w:rsid w:val="7D087934"/>
    <w:rsid w:val="7D427067"/>
    <w:rsid w:val="7D5BA128"/>
    <w:rsid w:val="7D67BE81"/>
    <w:rsid w:val="7E2C4AF2"/>
    <w:rsid w:val="7E42E542"/>
    <w:rsid w:val="7E834A8A"/>
    <w:rsid w:val="7ECA7351"/>
    <w:rsid w:val="7F168904"/>
    <w:rsid w:val="7F2D59E9"/>
    <w:rsid w:val="7FC63382"/>
    <w:rsid w:val="7FC8FF0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72174103"/>
  <w15:docId w15:val="{FBE8F578-1845-4DB6-A743-EC8832959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locked="1"/>
    <w:lsdException w:name="heading 2" w:locked="1" w:semiHidden="1" w:unhideWhenUsed="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lsdException w:name="heading 7" w:locked="1" w:semiHidden="1" w:unhideWhenUsed="1"/>
    <w:lsdException w:name="heading 8" w:locked="1" w:semiHidden="1" w:unhideWhenUsed="1"/>
    <w:lsdException w:name="heading 9" w:locked="1"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qFormat="1"/>
    <w:lsdException w:name="index heading" w:semiHidden="1" w:unhideWhenUsed="1"/>
    <w:lsdException w:name="caption" w:semiHidden="1"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99"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C2EA1"/>
    <w:pPr>
      <w:spacing w:before="120" w:after="120" w:line="280" w:lineRule="atLeast"/>
    </w:pPr>
    <w:rPr>
      <w:rFonts w:eastAsia="Calibri" w:cs="Cordia New"/>
      <w:sz w:val="24"/>
      <w:szCs w:val="22"/>
    </w:rPr>
  </w:style>
  <w:style w:type="paragraph" w:styleId="Heading1">
    <w:name w:val="heading 1"/>
    <w:basedOn w:val="Normal"/>
    <w:next w:val="Normal"/>
    <w:link w:val="Heading1Char"/>
    <w:rsid w:val="006627E2"/>
    <w:pPr>
      <w:keepNext/>
      <w:pageBreakBefore/>
      <w:numPr>
        <w:numId w:val="5"/>
      </w:numPr>
      <w:adjustRightInd w:val="0"/>
      <w:snapToGrid w:val="0"/>
      <w:spacing w:before="480" w:line="240" w:lineRule="auto"/>
      <w:ind w:left="720" w:hanging="720"/>
      <w:textAlignment w:val="baseline"/>
      <w:outlineLvl w:val="0"/>
    </w:pPr>
    <w:rPr>
      <w:rFonts w:ascii="Times New Roman Bold" w:eastAsia="MS Gothic" w:hAnsi="Times New Roman Bold"/>
      <w:b/>
      <w:sz w:val="28"/>
      <w:lang w:eastAsia="ja-JP"/>
    </w:rPr>
  </w:style>
  <w:style w:type="paragraph" w:styleId="Heading2">
    <w:name w:val="heading 2"/>
    <w:basedOn w:val="Normal"/>
    <w:next w:val="Normal"/>
    <w:link w:val="Heading2Char"/>
    <w:rsid w:val="00B80BEB"/>
    <w:pPr>
      <w:keepNext/>
      <w:numPr>
        <w:ilvl w:val="1"/>
        <w:numId w:val="5"/>
      </w:numPr>
      <w:tabs>
        <w:tab w:val="left" w:pos="1080"/>
      </w:tabs>
      <w:adjustRightInd w:val="0"/>
      <w:snapToGrid w:val="0"/>
      <w:spacing w:before="240" w:after="0" w:line="240" w:lineRule="auto"/>
      <w:ind w:left="1080"/>
      <w:textAlignment w:val="baseline"/>
      <w:outlineLvl w:val="1"/>
    </w:pPr>
    <w:rPr>
      <w:rFonts w:ascii="Times New Roman Bold" w:eastAsia="MS Gothic" w:hAnsi="Times New Roman Bold"/>
      <w:b/>
      <w:sz w:val="28"/>
      <w:lang w:eastAsia="ja-JP"/>
    </w:rPr>
  </w:style>
  <w:style w:type="paragraph" w:styleId="Heading3">
    <w:name w:val="heading 3"/>
    <w:basedOn w:val="Heading2"/>
    <w:next w:val="Normal"/>
    <w:link w:val="Heading3Char"/>
    <w:qFormat/>
    <w:rsid w:val="00A74861"/>
    <w:pPr>
      <w:numPr>
        <w:ilvl w:val="2"/>
      </w:numPr>
      <w:outlineLvl w:val="2"/>
    </w:pPr>
    <w:rPr>
      <w:sz w:val="24"/>
    </w:rPr>
  </w:style>
  <w:style w:type="paragraph" w:styleId="Heading4">
    <w:name w:val="heading 4"/>
    <w:basedOn w:val="Heading2"/>
    <w:next w:val="Normal"/>
    <w:link w:val="Heading4Char"/>
    <w:qFormat/>
    <w:rsid w:val="00B80BEB"/>
    <w:pPr>
      <w:numPr>
        <w:ilvl w:val="3"/>
      </w:numPr>
      <w:outlineLvl w:val="3"/>
    </w:pPr>
    <w:rPr>
      <w:sz w:val="24"/>
    </w:rPr>
  </w:style>
  <w:style w:type="paragraph" w:styleId="Heading5">
    <w:name w:val="heading 5"/>
    <w:basedOn w:val="Normal"/>
    <w:next w:val="Normal"/>
    <w:link w:val="Heading5Char"/>
    <w:qFormat/>
    <w:rsid w:val="00944580"/>
    <w:pPr>
      <w:keepNext/>
      <w:keepLines/>
      <w:numPr>
        <w:ilvl w:val="4"/>
        <w:numId w:val="5"/>
      </w:numPr>
      <w:adjustRightInd w:val="0"/>
      <w:snapToGrid w:val="0"/>
      <w:spacing w:before="216" w:after="0" w:line="219" w:lineRule="exact"/>
      <w:textAlignment w:val="baseline"/>
      <w:outlineLvl w:val="4"/>
    </w:pPr>
    <w:rPr>
      <w:rFonts w:eastAsia="MS Gothic" w:cs="Times New Roman"/>
      <w:b/>
      <w:i/>
      <w:szCs w:val="24"/>
      <w:lang w:eastAsia="ja-JP"/>
    </w:rPr>
  </w:style>
  <w:style w:type="paragraph" w:styleId="Heading6">
    <w:name w:val="heading 6"/>
    <w:basedOn w:val="Normal"/>
    <w:next w:val="Normal"/>
    <w:link w:val="Heading6Char"/>
    <w:rsid w:val="00B43B70"/>
    <w:pPr>
      <w:keepNext/>
      <w:keepLines/>
      <w:numPr>
        <w:ilvl w:val="5"/>
        <w:numId w:val="5"/>
      </w:numPr>
      <w:adjustRightInd w:val="0"/>
      <w:snapToGrid w:val="0"/>
      <w:spacing w:before="216" w:after="0" w:line="219" w:lineRule="exact"/>
      <w:textAlignment w:val="baseline"/>
      <w:outlineLvl w:val="5"/>
    </w:pPr>
    <w:rPr>
      <w:rFonts w:ascii="Arial" w:eastAsia="MS Gothic" w:hAnsi="Arial"/>
      <w:b/>
      <w:lang w:eastAsia="ja-JP"/>
    </w:rPr>
  </w:style>
  <w:style w:type="paragraph" w:styleId="Heading7">
    <w:name w:val="heading 7"/>
    <w:aliases w:val="Appendix Heading"/>
    <w:basedOn w:val="Normal"/>
    <w:next w:val="Normal"/>
    <w:link w:val="Heading7Char"/>
    <w:rsid w:val="001F2BF3"/>
    <w:pPr>
      <w:numPr>
        <w:ilvl w:val="6"/>
        <w:numId w:val="4"/>
      </w:numPr>
      <w:adjustRightInd w:val="0"/>
      <w:snapToGrid w:val="0"/>
      <w:spacing w:before="216" w:after="0" w:line="219" w:lineRule="exact"/>
      <w:textAlignment w:val="baseline"/>
      <w:outlineLvl w:val="6"/>
    </w:pPr>
    <w:rPr>
      <w:rFonts w:ascii="Arial" w:eastAsia="MS Gothic" w:hAnsi="Arial"/>
      <w:b/>
      <w:i/>
      <w:lang w:eastAsia="ja-JP"/>
    </w:rPr>
  </w:style>
  <w:style w:type="paragraph" w:styleId="Heading8">
    <w:name w:val="heading 8"/>
    <w:basedOn w:val="Normal"/>
    <w:next w:val="Normal"/>
    <w:link w:val="Heading8Char"/>
    <w:rsid w:val="001F2BF3"/>
    <w:pPr>
      <w:numPr>
        <w:ilvl w:val="7"/>
        <w:numId w:val="4"/>
      </w:numPr>
      <w:adjustRightInd w:val="0"/>
      <w:snapToGrid w:val="0"/>
      <w:spacing w:before="216" w:after="0" w:line="240" w:lineRule="exact"/>
      <w:textAlignment w:val="baseline"/>
      <w:outlineLvl w:val="7"/>
    </w:pPr>
    <w:rPr>
      <w:rFonts w:ascii="Arial" w:eastAsia="MS Gothic" w:hAnsi="Arial"/>
      <w:b/>
      <w:sz w:val="21"/>
      <w:lang w:eastAsia="ja-JP"/>
    </w:rPr>
  </w:style>
  <w:style w:type="paragraph" w:styleId="Heading9">
    <w:name w:val="heading 9"/>
    <w:basedOn w:val="Normal"/>
    <w:next w:val="Normal"/>
    <w:link w:val="Heading9Char"/>
    <w:rsid w:val="00EE02CF"/>
    <w:pPr>
      <w:numPr>
        <w:ilvl w:val="8"/>
        <w:numId w:val="4"/>
      </w:numPr>
      <w:adjustRightInd w:val="0"/>
      <w:snapToGrid w:val="0"/>
      <w:spacing w:before="216" w:after="0" w:line="219" w:lineRule="exact"/>
      <w:textAlignment w:val="baseline"/>
      <w:outlineLvl w:val="8"/>
    </w:pPr>
    <w:rPr>
      <w:rFonts w:ascii="Arial" w:eastAsia="MS Gothic" w:hAnsi="Arial"/>
      <w:b/>
      <w:i/>
      <w:sz w:val="21"/>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customStyle="1" w:styleId="Heading1Char">
    <w:name w:val="Heading 1 Char"/>
    <w:link w:val="Heading1"/>
    <w:rsid w:val="006627E2"/>
    <w:rPr>
      <w:rFonts w:ascii="Times New Roman Bold" w:eastAsia="MS Gothic" w:hAnsi="Times New Roman Bold" w:cs="Cordia New"/>
      <w:b/>
      <w:sz w:val="28"/>
      <w:szCs w:val="22"/>
      <w:lang w:eastAsia="ja-JP"/>
    </w:rPr>
  </w:style>
  <w:style w:type="character" w:customStyle="1" w:styleId="Heading2Char">
    <w:name w:val="Heading 2 Char"/>
    <w:link w:val="Heading2"/>
    <w:rsid w:val="00B80BEB"/>
    <w:rPr>
      <w:rFonts w:ascii="Times New Roman Bold" w:eastAsia="MS Gothic" w:hAnsi="Times New Roman Bold" w:cs="Cordia New"/>
      <w:b/>
      <w:sz w:val="28"/>
      <w:szCs w:val="22"/>
      <w:lang w:eastAsia="ja-JP"/>
    </w:rPr>
  </w:style>
  <w:style w:type="character" w:customStyle="1" w:styleId="Heading3Char">
    <w:name w:val="Heading 3 Char"/>
    <w:link w:val="Heading3"/>
    <w:rsid w:val="00A74861"/>
    <w:rPr>
      <w:rFonts w:ascii="Times New Roman Bold" w:eastAsia="MS Gothic" w:hAnsi="Times New Roman Bold" w:cs="Cordia New"/>
      <w:b/>
      <w:sz w:val="24"/>
      <w:szCs w:val="22"/>
      <w:lang w:eastAsia="ja-JP"/>
    </w:rPr>
  </w:style>
  <w:style w:type="character" w:customStyle="1" w:styleId="Heading4Char">
    <w:name w:val="Heading 4 Char"/>
    <w:link w:val="Heading4"/>
    <w:rsid w:val="00B80BEB"/>
    <w:rPr>
      <w:rFonts w:ascii="Times New Roman Bold" w:eastAsia="MS Gothic" w:hAnsi="Times New Roman Bold" w:cs="Cordia New"/>
      <w:b/>
      <w:sz w:val="24"/>
      <w:szCs w:val="22"/>
      <w:lang w:eastAsia="ja-JP"/>
    </w:rPr>
  </w:style>
  <w:style w:type="character" w:customStyle="1" w:styleId="Heading5Char">
    <w:name w:val="Heading 5 Char"/>
    <w:link w:val="Heading5"/>
    <w:rsid w:val="00944580"/>
    <w:rPr>
      <w:rFonts w:eastAsia="MS Gothic"/>
      <w:b/>
      <w:i/>
      <w:sz w:val="24"/>
      <w:szCs w:val="24"/>
      <w:lang w:eastAsia="ja-JP"/>
    </w:rPr>
  </w:style>
  <w:style w:type="character" w:customStyle="1" w:styleId="Heading6Char">
    <w:name w:val="Heading 6 Char"/>
    <w:link w:val="Heading6"/>
    <w:rsid w:val="00B43B70"/>
    <w:rPr>
      <w:rFonts w:ascii="Arial" w:eastAsia="MS Gothic" w:hAnsi="Arial" w:cs="Cordia New"/>
      <w:b/>
      <w:sz w:val="24"/>
      <w:szCs w:val="22"/>
      <w:lang w:eastAsia="ja-JP"/>
    </w:rPr>
  </w:style>
  <w:style w:type="character" w:customStyle="1" w:styleId="Heading7Char">
    <w:name w:val="Heading 7 Char"/>
    <w:aliases w:val="Appendix Heading Char"/>
    <w:link w:val="Heading7"/>
    <w:rsid w:val="001F2BF3"/>
    <w:rPr>
      <w:rFonts w:ascii="Arial" w:eastAsia="MS Gothic" w:hAnsi="Arial" w:cs="Cordia New"/>
      <w:b/>
      <w:i/>
      <w:sz w:val="24"/>
      <w:szCs w:val="22"/>
      <w:lang w:eastAsia="ja-JP"/>
    </w:rPr>
  </w:style>
  <w:style w:type="character" w:customStyle="1" w:styleId="Heading8Char">
    <w:name w:val="Heading 8 Char"/>
    <w:link w:val="Heading8"/>
    <w:rsid w:val="001F2BF3"/>
    <w:rPr>
      <w:rFonts w:ascii="Arial" w:eastAsia="MS Gothic" w:hAnsi="Arial" w:cs="Cordia New"/>
      <w:b/>
      <w:sz w:val="21"/>
      <w:szCs w:val="22"/>
      <w:lang w:eastAsia="ja-JP"/>
    </w:rPr>
  </w:style>
  <w:style w:type="character" w:customStyle="1" w:styleId="Heading9Char">
    <w:name w:val="Heading 9 Char"/>
    <w:link w:val="Heading9"/>
    <w:rsid w:val="00EE02CF"/>
    <w:rPr>
      <w:rFonts w:ascii="Arial" w:eastAsia="MS Gothic" w:hAnsi="Arial" w:cs="Cordia New"/>
      <w:b/>
      <w:i/>
      <w:sz w:val="21"/>
      <w:szCs w:val="22"/>
      <w:lang w:eastAsia="ja-JP"/>
    </w:rPr>
  </w:style>
  <w:style w:type="paragraph" w:styleId="TOC1">
    <w:name w:val="toc 1"/>
    <w:basedOn w:val="Normal"/>
    <w:next w:val="Normal"/>
    <w:uiPriority w:val="39"/>
    <w:rsid w:val="00AB3040"/>
    <w:pPr>
      <w:keepLines/>
      <w:tabs>
        <w:tab w:val="right" w:leader="dot" w:pos="9360"/>
      </w:tabs>
      <w:spacing w:after="0" w:line="259" w:lineRule="atLeast"/>
      <w:ind w:left="907" w:right="2160" w:hanging="907"/>
    </w:pPr>
    <w:rPr>
      <w:rFonts w:eastAsia="MS Gothic" w:cs="Times New Roman"/>
      <w:b/>
      <w:noProof/>
      <w:color w:val="0000FF"/>
      <w:szCs w:val="24"/>
    </w:rPr>
  </w:style>
  <w:style w:type="paragraph" w:styleId="TOC2">
    <w:name w:val="toc 2"/>
    <w:basedOn w:val="TOC1"/>
    <w:next w:val="Normal"/>
    <w:uiPriority w:val="39"/>
    <w:rsid w:val="00AB3040"/>
    <w:pPr>
      <w:spacing w:before="0"/>
    </w:pPr>
    <w:rPr>
      <w:b w:val="0"/>
    </w:rPr>
  </w:style>
  <w:style w:type="paragraph" w:styleId="TOC3">
    <w:name w:val="toc 3"/>
    <w:basedOn w:val="TOC1"/>
    <w:next w:val="Normal"/>
    <w:uiPriority w:val="39"/>
    <w:rsid w:val="005542E0"/>
    <w:pPr>
      <w:spacing w:before="0"/>
      <w:ind w:left="900" w:hanging="900"/>
    </w:pPr>
    <w:rPr>
      <w:b w:val="0"/>
    </w:rPr>
  </w:style>
  <w:style w:type="paragraph" w:styleId="TOC4">
    <w:name w:val="toc 4"/>
    <w:basedOn w:val="TOC1"/>
    <w:next w:val="Normal"/>
    <w:uiPriority w:val="39"/>
    <w:rsid w:val="00B20E11"/>
    <w:pPr>
      <w:spacing w:before="0"/>
      <w:ind w:left="1656" w:hanging="1123"/>
    </w:pPr>
    <w:rPr>
      <w:b w:val="0"/>
    </w:rPr>
  </w:style>
  <w:style w:type="paragraph" w:styleId="BalloonText">
    <w:name w:val="Balloon Text"/>
    <w:basedOn w:val="Normal"/>
    <w:link w:val="BalloonTextChar"/>
    <w:uiPriority w:val="99"/>
    <w:semiHidden/>
    <w:unhideWhenUsed/>
    <w:rsid w:val="00FD46D1"/>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46D1"/>
    <w:rPr>
      <w:rFonts w:ascii="Tahoma" w:eastAsia="Calibri" w:hAnsi="Tahoma" w:cs="Tahoma"/>
      <w:sz w:val="16"/>
      <w:szCs w:val="16"/>
    </w:rPr>
  </w:style>
  <w:style w:type="table" w:styleId="TableGrid">
    <w:name w:val="Table Grid"/>
    <w:basedOn w:val="TableNormal"/>
    <w:uiPriority w:val="59"/>
    <w:rsid w:val="00D71437"/>
    <w:pPr>
      <w:spacing w:before="14" w:after="144" w:line="300" w:lineRule="atLeast"/>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character" w:styleId="PlaceholderText">
    <w:name w:val="Placeholder Text"/>
    <w:uiPriority w:val="99"/>
    <w:rsid w:val="00D71437"/>
    <w:rPr>
      <w:color w:val="808080"/>
    </w:rPr>
  </w:style>
  <w:style w:type="paragraph" w:styleId="ListParagraph">
    <w:name w:val="List Paragraph"/>
    <w:basedOn w:val="Normal"/>
    <w:link w:val="ListParagraphChar"/>
    <w:uiPriority w:val="34"/>
    <w:qFormat/>
    <w:rsid w:val="002C4DB0"/>
    <w:pPr>
      <w:spacing w:before="14" w:after="144" w:line="300" w:lineRule="atLeast"/>
      <w:contextualSpacing/>
    </w:pPr>
    <w:rPr>
      <w:rFonts w:eastAsia="Times New Roman" w:cs="Times New Roman"/>
      <w:szCs w:val="24"/>
    </w:rPr>
  </w:style>
  <w:style w:type="paragraph" w:customStyle="1" w:styleId="TblFootnote">
    <w:name w:val="Tbl Footnote"/>
    <w:basedOn w:val="Normal"/>
    <w:next w:val="Normal"/>
    <w:link w:val="TblFootnoteChar"/>
    <w:rsid w:val="009F6633"/>
    <w:pPr>
      <w:keepNext/>
      <w:keepLines/>
      <w:tabs>
        <w:tab w:val="left" w:pos="259"/>
      </w:tabs>
      <w:spacing w:after="0" w:line="259" w:lineRule="atLeast"/>
      <w:ind w:left="259" w:hanging="259"/>
    </w:pPr>
    <w:rPr>
      <w:rFonts w:eastAsia="Times New Roman" w:cs="Times New Roman"/>
      <w:sz w:val="20"/>
      <w:szCs w:val="24"/>
    </w:rPr>
  </w:style>
  <w:style w:type="paragraph" w:styleId="Revision">
    <w:name w:val="Revision"/>
    <w:hidden/>
    <w:uiPriority w:val="99"/>
    <w:semiHidden/>
    <w:rsid w:val="00625B33"/>
    <w:rPr>
      <w:rFonts w:eastAsia="Times New Roman"/>
      <w:sz w:val="24"/>
      <w:szCs w:val="24"/>
    </w:rPr>
  </w:style>
  <w:style w:type="table" w:styleId="TableList5">
    <w:name w:val="Table List 5"/>
    <w:basedOn w:val="TableNormal"/>
    <w:rsid w:val="00D23FEB"/>
    <w:pPr>
      <w:spacing w:before="14" w:after="144" w:line="300" w:lineRule="atLeast"/>
    </w:pPr>
    <w:tblPr>
      <w:tblBorders>
        <w:top w:val="single" w:sz="6" w:space="0" w:color="000000"/>
        <w:left w:val="single" w:sz="6" w:space="0" w:color="000000"/>
        <w:bottom w:val="single" w:sz="6" w:space="0" w:color="000000"/>
        <w:right w:val="single" w:sz="6" w:space="0" w:color="000000"/>
        <w:insideH w:val="single" w:sz="6" w:space="0" w:color="000000"/>
      </w:tblBorders>
    </w:tblPr>
    <w:trPr>
      <w:hidden/>
    </w:trPr>
    <w:tcPr>
      <w:shd w:val="clear" w:color="auto" w:fill="auto"/>
    </w:tcPr>
    <w:tblStylePr w:type="firstRow">
      <w:rPr>
        <w:b/>
        <w:bCs/>
      </w:rPr>
      <w:tblPr/>
      <w:trPr>
        <w:hidden/>
      </w:trPr>
      <w:tcPr>
        <w:tcBorders>
          <w:bottom w:val="single" w:sz="12" w:space="0" w:color="000000"/>
          <w:tl2br w:val="none" w:sz="0" w:space="0" w:color="auto"/>
          <w:tr2bl w:val="none" w:sz="0" w:space="0" w:color="auto"/>
        </w:tcBorders>
      </w:tcPr>
    </w:tblStylePr>
    <w:tblStylePr w:type="firstCol">
      <w:rPr>
        <w:b/>
        <w:bCs/>
      </w:rPr>
      <w:tblPr/>
      <w:trPr>
        <w:hidden/>
      </w:trPr>
      <w:tcPr>
        <w:tcBorders>
          <w:tl2br w:val="none" w:sz="0" w:space="0" w:color="auto"/>
          <w:tr2bl w:val="none" w:sz="0" w:space="0" w:color="auto"/>
        </w:tcBorders>
      </w:tcPr>
    </w:tblStylePr>
  </w:style>
  <w:style w:type="character" w:customStyle="1" w:styleId="TblFootnoteChar">
    <w:name w:val="Tbl Footnote Char"/>
    <w:link w:val="TblFootnote"/>
    <w:locked/>
    <w:rsid w:val="001B7646"/>
    <w:rPr>
      <w:rFonts w:eastAsia="Times New Roman"/>
      <w:szCs w:val="24"/>
    </w:rPr>
  </w:style>
  <w:style w:type="paragraph" w:styleId="TOCHeading">
    <w:name w:val="TOC Heading"/>
    <w:basedOn w:val="Heading1"/>
    <w:next w:val="Normal"/>
    <w:uiPriority w:val="39"/>
    <w:unhideWhenUsed/>
    <w:rsid w:val="00B60923"/>
    <w:pPr>
      <w:keepNext w:val="0"/>
      <w:pageBreakBefore w:val="0"/>
      <w:numPr>
        <w:numId w:val="0"/>
      </w:numPr>
      <w:adjustRightInd/>
      <w:snapToGrid/>
      <w:spacing w:before="0" w:after="0"/>
      <w:jc w:val="center"/>
      <w:textAlignment w:val="auto"/>
      <w:outlineLvl w:val="9"/>
    </w:pPr>
    <w:rPr>
      <w:rFonts w:ascii="Times New Roman" w:eastAsiaTheme="majorEastAsia" w:hAnsi="Times New Roman" w:cs="Times New Roman"/>
      <w:bCs/>
      <w:sz w:val="24"/>
      <w:szCs w:val="24"/>
      <w:lang w:eastAsia="en-US"/>
    </w:rPr>
  </w:style>
  <w:style w:type="paragraph" w:customStyle="1" w:styleId="TableText">
    <w:name w:val="Table Text"/>
    <w:link w:val="TableTextChar1"/>
    <w:qFormat/>
    <w:rsid w:val="00AE1B8D"/>
    <w:pPr>
      <w:tabs>
        <w:tab w:val="left" w:pos="288"/>
        <w:tab w:val="left" w:pos="576"/>
        <w:tab w:val="left" w:pos="864"/>
      </w:tabs>
      <w:spacing w:before="60" w:after="60"/>
    </w:pPr>
    <w:rPr>
      <w:rFonts w:eastAsia="Times New Roman"/>
      <w:sz w:val="24"/>
    </w:rPr>
  </w:style>
  <w:style w:type="character" w:customStyle="1" w:styleId="TableTextChar1">
    <w:name w:val="Table Text Char1"/>
    <w:link w:val="TableText"/>
    <w:rsid w:val="00AE1B8D"/>
    <w:rPr>
      <w:rFonts w:eastAsia="Times New Roman"/>
      <w:sz w:val="24"/>
    </w:rPr>
  </w:style>
  <w:style w:type="paragraph" w:customStyle="1" w:styleId="HeadingNoTOC">
    <w:name w:val="Heading (No TOC)"/>
    <w:next w:val="Normal"/>
    <w:uiPriority w:val="99"/>
    <w:qFormat/>
    <w:rsid w:val="001B14BF"/>
    <w:pPr>
      <w:spacing w:before="240"/>
    </w:pPr>
    <w:rPr>
      <w:rFonts w:ascii="Times New Roman Bold" w:eastAsia="Times New Roman" w:hAnsi="Times New Roman Bold" w:cs="Cordia New"/>
      <w:sz w:val="24"/>
      <w:szCs w:val="24"/>
      <w:lang w:eastAsia="ja-JP"/>
    </w:rPr>
  </w:style>
  <w:style w:type="paragraph" w:customStyle="1" w:styleId="TableHeaderText">
    <w:name w:val="Table Header Text"/>
    <w:basedOn w:val="Normal"/>
    <w:rsid w:val="009259D3"/>
    <w:pPr>
      <w:spacing w:before="60" w:after="60" w:line="240" w:lineRule="auto"/>
      <w:jc w:val="center"/>
    </w:pPr>
    <w:rPr>
      <w:rFonts w:eastAsia="Times New Roman" w:cs="Times New Roman"/>
      <w:b/>
      <w:color w:val="000000"/>
      <w:szCs w:val="20"/>
    </w:rPr>
  </w:style>
  <w:style w:type="paragraph" w:customStyle="1" w:styleId="CPTInstructional">
    <w:name w:val="CPT_Instructional"/>
    <w:basedOn w:val="Normal"/>
    <w:qFormat/>
    <w:rsid w:val="00E420B5"/>
    <w:rPr>
      <w:rFonts w:cs="Arial"/>
      <w:vanish/>
      <w:color w:val="FF0000"/>
      <w:sz w:val="22"/>
      <w:szCs w:val="20"/>
    </w:rPr>
  </w:style>
  <w:style w:type="paragraph" w:styleId="Title">
    <w:name w:val="Title"/>
    <w:basedOn w:val="Normal"/>
    <w:next w:val="Normal"/>
    <w:link w:val="TitleChar"/>
    <w:qFormat/>
    <w:rsid w:val="007A7A30"/>
    <w:pPr>
      <w:spacing w:line="360" w:lineRule="auto"/>
      <w:contextualSpacing/>
      <w:jc w:val="center"/>
    </w:pPr>
    <w:rPr>
      <w:rFonts w:ascii="Times New Roman Bold" w:eastAsiaTheme="majorEastAsia" w:hAnsi="Times New Roman Bold" w:cstheme="majorBidi"/>
      <w:b/>
      <w:spacing w:val="-10"/>
      <w:kern w:val="28"/>
      <w:sz w:val="32"/>
      <w:szCs w:val="56"/>
    </w:rPr>
  </w:style>
  <w:style w:type="character" w:customStyle="1" w:styleId="TitleChar">
    <w:name w:val="Title Char"/>
    <w:basedOn w:val="DefaultParagraphFont"/>
    <w:link w:val="Title"/>
    <w:rsid w:val="007A7A30"/>
    <w:rPr>
      <w:rFonts w:ascii="Times New Roman Bold" w:eastAsiaTheme="majorEastAsia" w:hAnsi="Times New Roman Bold" w:cstheme="majorBidi"/>
      <w:b/>
      <w:spacing w:val="-10"/>
      <w:kern w:val="28"/>
      <w:sz w:val="32"/>
      <w:szCs w:val="56"/>
    </w:rPr>
  </w:style>
  <w:style w:type="paragraph" w:customStyle="1" w:styleId="Heading2non-numbered">
    <w:name w:val="Heading 2 (non-numbered)"/>
    <w:basedOn w:val="Heading2"/>
    <w:next w:val="Normal"/>
    <w:rsid w:val="004643A9"/>
    <w:pPr>
      <w:numPr>
        <w:ilvl w:val="0"/>
        <w:numId w:val="0"/>
      </w:numPr>
    </w:pPr>
    <w:rPr>
      <w:noProof/>
    </w:rPr>
  </w:style>
  <w:style w:type="paragraph" w:customStyle="1" w:styleId="Heading3non-numbered">
    <w:name w:val="Heading 3 (non-numbered)"/>
    <w:basedOn w:val="Heading3"/>
    <w:next w:val="Normal"/>
    <w:qFormat/>
    <w:rsid w:val="004A5444"/>
    <w:pPr>
      <w:numPr>
        <w:ilvl w:val="3"/>
        <w:numId w:val="0"/>
      </w:numPr>
      <w:tabs>
        <w:tab w:val="left" w:pos="1152"/>
        <w:tab w:val="num" w:pos="5954"/>
      </w:tabs>
      <w:adjustRightInd/>
      <w:snapToGrid/>
      <w:spacing w:before="120" w:after="240"/>
      <w:ind w:left="1080" w:hanging="1080"/>
      <w:textAlignment w:val="auto"/>
    </w:pPr>
  </w:style>
  <w:style w:type="paragraph" w:customStyle="1" w:styleId="Heading4non-numbered">
    <w:name w:val="Heading 4 (non-numbered)"/>
    <w:basedOn w:val="Heading4"/>
    <w:rsid w:val="00B80BEB"/>
    <w:pPr>
      <w:numPr>
        <w:ilvl w:val="0"/>
        <w:numId w:val="0"/>
      </w:numPr>
    </w:pPr>
  </w:style>
  <w:style w:type="paragraph" w:customStyle="1" w:styleId="CPTExample">
    <w:name w:val="CPT_Example"/>
    <w:basedOn w:val="Normal"/>
    <w:next w:val="Normal"/>
    <w:link w:val="CPTExampleChar"/>
    <w:uiPriority w:val="1"/>
    <w:rsid w:val="00355A35"/>
    <w:rPr>
      <w:rFonts w:ascii="Arial" w:eastAsia="Times New Roman" w:hAnsi="Arial" w:cs="Times New Roman"/>
      <w:i/>
      <w:color w:val="00B050"/>
      <w:sz w:val="20"/>
      <w:szCs w:val="20"/>
    </w:rPr>
  </w:style>
  <w:style w:type="numbering" w:styleId="111111">
    <w:name w:val="Outline List 2"/>
    <w:basedOn w:val="NoList"/>
    <w:semiHidden/>
    <w:unhideWhenUsed/>
    <w:rsid w:val="002D66D8"/>
    <w:pPr>
      <w:numPr>
        <w:numId w:val="7"/>
      </w:numPr>
    </w:pPr>
  </w:style>
  <w:style w:type="numbering" w:styleId="1ai">
    <w:name w:val="Outline List 1"/>
    <w:basedOn w:val="NoList"/>
    <w:semiHidden/>
    <w:unhideWhenUsed/>
    <w:rsid w:val="002D66D8"/>
    <w:pPr>
      <w:numPr>
        <w:numId w:val="8"/>
      </w:numPr>
    </w:pPr>
  </w:style>
  <w:style w:type="numbering" w:styleId="ArticleSection">
    <w:name w:val="Outline List 3"/>
    <w:basedOn w:val="NoList"/>
    <w:semiHidden/>
    <w:unhideWhenUsed/>
    <w:rsid w:val="002D66D8"/>
    <w:pPr>
      <w:numPr>
        <w:numId w:val="9"/>
      </w:numPr>
    </w:pPr>
  </w:style>
  <w:style w:type="paragraph" w:styleId="Bibliography">
    <w:name w:val="Bibliography"/>
    <w:basedOn w:val="Normal"/>
    <w:next w:val="Normal"/>
    <w:uiPriority w:val="37"/>
    <w:semiHidden/>
    <w:unhideWhenUsed/>
    <w:rsid w:val="002D66D8"/>
  </w:style>
  <w:style w:type="paragraph" w:styleId="BodyText2">
    <w:name w:val="Body Text 2"/>
    <w:basedOn w:val="Normal"/>
    <w:link w:val="BodyText2Char"/>
    <w:semiHidden/>
    <w:unhideWhenUsed/>
    <w:rsid w:val="002D66D8"/>
    <w:pPr>
      <w:spacing w:line="480" w:lineRule="auto"/>
    </w:pPr>
  </w:style>
  <w:style w:type="character" w:customStyle="1" w:styleId="BodyText2Char">
    <w:name w:val="Body Text 2 Char"/>
    <w:basedOn w:val="DefaultParagraphFont"/>
    <w:link w:val="BodyText2"/>
    <w:semiHidden/>
    <w:rsid w:val="002D66D8"/>
    <w:rPr>
      <w:rFonts w:eastAsia="Calibri" w:cs="Cordia New"/>
      <w:sz w:val="24"/>
      <w:szCs w:val="22"/>
    </w:rPr>
  </w:style>
  <w:style w:type="paragraph" w:styleId="BodyText3">
    <w:name w:val="Body Text 3"/>
    <w:basedOn w:val="Normal"/>
    <w:link w:val="BodyText3Char"/>
    <w:semiHidden/>
    <w:unhideWhenUsed/>
    <w:rsid w:val="002D66D8"/>
    <w:rPr>
      <w:sz w:val="16"/>
      <w:szCs w:val="16"/>
    </w:rPr>
  </w:style>
  <w:style w:type="character" w:customStyle="1" w:styleId="BodyText3Char">
    <w:name w:val="Body Text 3 Char"/>
    <w:basedOn w:val="DefaultParagraphFont"/>
    <w:link w:val="BodyText3"/>
    <w:semiHidden/>
    <w:rsid w:val="002D66D8"/>
    <w:rPr>
      <w:rFonts w:eastAsia="Calibri" w:cs="Cordia New"/>
      <w:sz w:val="16"/>
      <w:szCs w:val="16"/>
    </w:rPr>
  </w:style>
  <w:style w:type="paragraph" w:styleId="BodyTextIndent">
    <w:name w:val="Body Text Indent"/>
    <w:basedOn w:val="Normal"/>
    <w:link w:val="BodyTextIndentChar"/>
    <w:semiHidden/>
    <w:unhideWhenUsed/>
    <w:rsid w:val="002D66D8"/>
    <w:pPr>
      <w:ind w:left="360"/>
    </w:pPr>
  </w:style>
  <w:style w:type="character" w:customStyle="1" w:styleId="BodyTextIndentChar">
    <w:name w:val="Body Text Indent Char"/>
    <w:basedOn w:val="DefaultParagraphFont"/>
    <w:link w:val="BodyTextIndent"/>
    <w:semiHidden/>
    <w:rsid w:val="002D66D8"/>
    <w:rPr>
      <w:rFonts w:eastAsia="Calibri" w:cs="Cordia New"/>
      <w:sz w:val="24"/>
      <w:szCs w:val="22"/>
    </w:rPr>
  </w:style>
  <w:style w:type="paragraph" w:styleId="BodyTextFirstIndent2">
    <w:name w:val="Body Text First Indent 2"/>
    <w:basedOn w:val="BodyTextIndent"/>
    <w:link w:val="BodyTextFirstIndent2Char"/>
    <w:semiHidden/>
    <w:unhideWhenUsed/>
    <w:rsid w:val="002D66D8"/>
    <w:pPr>
      <w:ind w:firstLine="360"/>
    </w:pPr>
  </w:style>
  <w:style w:type="character" w:customStyle="1" w:styleId="BodyTextFirstIndent2Char">
    <w:name w:val="Body Text First Indent 2 Char"/>
    <w:basedOn w:val="BodyTextIndentChar"/>
    <w:link w:val="BodyTextFirstIndent2"/>
    <w:semiHidden/>
    <w:rsid w:val="002D66D8"/>
    <w:rPr>
      <w:rFonts w:eastAsia="Calibri" w:cs="Cordia New"/>
      <w:sz w:val="24"/>
      <w:szCs w:val="22"/>
    </w:rPr>
  </w:style>
  <w:style w:type="paragraph" w:styleId="BodyTextIndent2">
    <w:name w:val="Body Text Indent 2"/>
    <w:basedOn w:val="Normal"/>
    <w:link w:val="BodyTextIndent2Char"/>
    <w:semiHidden/>
    <w:unhideWhenUsed/>
    <w:rsid w:val="002D66D8"/>
    <w:pPr>
      <w:spacing w:line="480" w:lineRule="auto"/>
      <w:ind w:left="360"/>
    </w:pPr>
  </w:style>
  <w:style w:type="character" w:customStyle="1" w:styleId="BodyTextIndent2Char">
    <w:name w:val="Body Text Indent 2 Char"/>
    <w:basedOn w:val="DefaultParagraphFont"/>
    <w:link w:val="BodyTextIndent2"/>
    <w:semiHidden/>
    <w:rsid w:val="002D66D8"/>
    <w:rPr>
      <w:rFonts w:eastAsia="Calibri" w:cs="Cordia New"/>
      <w:sz w:val="24"/>
      <w:szCs w:val="22"/>
    </w:rPr>
  </w:style>
  <w:style w:type="paragraph" w:styleId="BodyTextIndent3">
    <w:name w:val="Body Text Indent 3"/>
    <w:basedOn w:val="Normal"/>
    <w:link w:val="BodyTextIndent3Char"/>
    <w:semiHidden/>
    <w:unhideWhenUsed/>
    <w:rsid w:val="002D66D8"/>
    <w:pPr>
      <w:ind w:left="360"/>
    </w:pPr>
    <w:rPr>
      <w:sz w:val="16"/>
      <w:szCs w:val="16"/>
    </w:rPr>
  </w:style>
  <w:style w:type="character" w:customStyle="1" w:styleId="BodyTextIndent3Char">
    <w:name w:val="Body Text Indent 3 Char"/>
    <w:basedOn w:val="DefaultParagraphFont"/>
    <w:link w:val="BodyTextIndent3"/>
    <w:semiHidden/>
    <w:rsid w:val="002D66D8"/>
    <w:rPr>
      <w:rFonts w:eastAsia="Calibri" w:cs="Cordia New"/>
      <w:sz w:val="16"/>
      <w:szCs w:val="16"/>
    </w:rPr>
  </w:style>
  <w:style w:type="paragraph" w:styleId="Closing">
    <w:name w:val="Closing"/>
    <w:basedOn w:val="Normal"/>
    <w:link w:val="ClosingChar"/>
    <w:semiHidden/>
    <w:unhideWhenUsed/>
    <w:rsid w:val="002D66D8"/>
    <w:pPr>
      <w:spacing w:before="0" w:after="0" w:line="240" w:lineRule="auto"/>
      <w:ind w:left="4320"/>
    </w:pPr>
  </w:style>
  <w:style w:type="character" w:customStyle="1" w:styleId="ClosingChar">
    <w:name w:val="Closing Char"/>
    <w:basedOn w:val="DefaultParagraphFont"/>
    <w:link w:val="Closing"/>
    <w:semiHidden/>
    <w:rsid w:val="002D66D8"/>
    <w:rPr>
      <w:rFonts w:eastAsia="Calibri" w:cs="Cordia New"/>
      <w:sz w:val="24"/>
      <w:szCs w:val="22"/>
    </w:rPr>
  </w:style>
  <w:style w:type="table" w:styleId="ColorfulGrid">
    <w:name w:val="Colorful Grid"/>
    <w:basedOn w:val="TableNormal"/>
    <w:uiPriority w:val="73"/>
    <w:rsid w:val="002D66D8"/>
    <w:rPr>
      <w:color w:val="000000" w:themeColor="text1"/>
    </w:rPr>
    <w:tblPr>
      <w:tblStyleRowBandSize w:val="1"/>
      <w:tblStyleColBandSize w:val="1"/>
      <w:tblBorders>
        <w:insideH w:val="single" w:sz="4" w:space="0" w:color="FFFFFF" w:themeColor="background1"/>
      </w:tblBorders>
    </w:tblPr>
    <w:trPr>
      <w:hidden/>
    </w:trPr>
    <w:tcPr>
      <w:shd w:val="clear" w:color="auto" w:fill="CCCCCC" w:themeFill="text1" w:themeFillTint="33"/>
    </w:tcPr>
    <w:tblStylePr w:type="firstRow">
      <w:rPr>
        <w:b/>
        <w:bCs/>
      </w:rPr>
      <w:tblPr/>
      <w:trPr>
        <w:hidden/>
      </w:trPr>
      <w:tcPr>
        <w:shd w:val="clear" w:color="auto" w:fill="999999" w:themeFill="text1" w:themeFillTint="66"/>
      </w:tcPr>
    </w:tblStylePr>
    <w:tblStylePr w:type="lastRow">
      <w:rPr>
        <w:b/>
        <w:bCs/>
        <w:color w:val="000000" w:themeColor="text1"/>
      </w:rPr>
      <w:tblPr/>
      <w:trPr>
        <w:hidden/>
      </w:trPr>
      <w:tcPr>
        <w:shd w:val="clear" w:color="auto" w:fill="999999" w:themeFill="text1" w:themeFillTint="66"/>
      </w:tcPr>
    </w:tblStylePr>
    <w:tblStylePr w:type="firstCol">
      <w:rPr>
        <w:color w:val="FFFFFF" w:themeColor="background1"/>
      </w:rPr>
      <w:tblPr/>
      <w:trPr>
        <w:hidden/>
      </w:trPr>
      <w:tcPr>
        <w:shd w:val="clear" w:color="auto" w:fill="000000" w:themeFill="text1" w:themeFillShade="BF"/>
      </w:tcPr>
    </w:tblStylePr>
    <w:tblStylePr w:type="lastCol">
      <w:rPr>
        <w:color w:val="FFFFFF" w:themeColor="background1"/>
      </w:rPr>
      <w:tblPr/>
      <w:trPr>
        <w:hidden/>
      </w:trPr>
      <w:tcPr>
        <w:shd w:val="clear" w:color="auto" w:fill="000000" w:themeFill="text1" w:themeFillShade="BF"/>
      </w:tcPr>
    </w:tblStylePr>
    <w:tblStylePr w:type="band1Vert">
      <w:tblPr/>
      <w:trPr>
        <w:hidden/>
      </w:trPr>
      <w:tcPr>
        <w:shd w:val="clear" w:color="auto" w:fill="808080" w:themeFill="text1" w:themeFillTint="7F"/>
      </w:tcPr>
    </w:tblStylePr>
    <w:tblStylePr w:type="band1Horz">
      <w:tblPr/>
      <w:trPr>
        <w:hidden/>
      </w:trPr>
      <w:tcPr>
        <w:shd w:val="clear" w:color="auto" w:fill="808080" w:themeFill="text1" w:themeFillTint="7F"/>
      </w:tcPr>
    </w:tblStylePr>
  </w:style>
  <w:style w:type="table" w:styleId="ColorfulGrid-Accent1">
    <w:name w:val="Colorful Grid Accent 1"/>
    <w:basedOn w:val="TableNormal"/>
    <w:uiPriority w:val="73"/>
    <w:rsid w:val="002D66D8"/>
    <w:rPr>
      <w:color w:val="000000" w:themeColor="text1"/>
    </w:rPr>
    <w:tblPr>
      <w:tblStyleRowBandSize w:val="1"/>
      <w:tblStyleColBandSize w:val="1"/>
      <w:tblBorders>
        <w:insideH w:val="single" w:sz="4" w:space="0" w:color="FFFFFF" w:themeColor="background1"/>
      </w:tblBorders>
    </w:tblPr>
    <w:trPr>
      <w:hidden/>
    </w:trPr>
    <w:tcPr>
      <w:shd w:val="clear" w:color="auto" w:fill="DBE5F1" w:themeFill="accent1" w:themeFillTint="33"/>
    </w:tcPr>
    <w:tblStylePr w:type="firstRow">
      <w:rPr>
        <w:b/>
        <w:bCs/>
      </w:rPr>
      <w:tblPr/>
      <w:trPr>
        <w:hidden/>
      </w:trPr>
      <w:tcPr>
        <w:shd w:val="clear" w:color="auto" w:fill="B8CCE4" w:themeFill="accent1" w:themeFillTint="66"/>
      </w:tcPr>
    </w:tblStylePr>
    <w:tblStylePr w:type="lastRow">
      <w:rPr>
        <w:b/>
        <w:bCs/>
        <w:color w:val="000000" w:themeColor="text1"/>
      </w:rPr>
      <w:tblPr/>
      <w:trPr>
        <w:hidden/>
      </w:trPr>
      <w:tcPr>
        <w:shd w:val="clear" w:color="auto" w:fill="B8CCE4" w:themeFill="accent1" w:themeFillTint="66"/>
      </w:tcPr>
    </w:tblStylePr>
    <w:tblStylePr w:type="firstCol">
      <w:rPr>
        <w:color w:val="FFFFFF" w:themeColor="background1"/>
      </w:rPr>
      <w:tblPr/>
      <w:trPr>
        <w:hidden/>
      </w:trPr>
      <w:tcPr>
        <w:shd w:val="clear" w:color="auto" w:fill="365F91" w:themeFill="accent1" w:themeFillShade="BF"/>
      </w:tcPr>
    </w:tblStylePr>
    <w:tblStylePr w:type="lastCol">
      <w:rPr>
        <w:color w:val="FFFFFF" w:themeColor="background1"/>
      </w:rPr>
      <w:tblPr/>
      <w:trPr>
        <w:hidden/>
      </w:trPr>
      <w:tcPr>
        <w:shd w:val="clear" w:color="auto" w:fill="365F91" w:themeFill="accent1" w:themeFillShade="BF"/>
      </w:tcPr>
    </w:tblStylePr>
    <w:tblStylePr w:type="band1Vert">
      <w:tblPr/>
      <w:trPr>
        <w:hidden/>
      </w:trPr>
      <w:tcPr>
        <w:shd w:val="clear" w:color="auto" w:fill="A7BFDE" w:themeFill="accent1" w:themeFillTint="7F"/>
      </w:tcPr>
    </w:tblStylePr>
    <w:tblStylePr w:type="band1Horz">
      <w:tblPr/>
      <w:trPr>
        <w:hidden/>
      </w:trPr>
      <w:tcPr>
        <w:shd w:val="clear" w:color="auto" w:fill="A7BFDE" w:themeFill="accent1" w:themeFillTint="7F"/>
      </w:tcPr>
    </w:tblStylePr>
  </w:style>
  <w:style w:type="table" w:styleId="ColorfulGrid-Accent2">
    <w:name w:val="Colorful Grid Accent 2"/>
    <w:basedOn w:val="TableNormal"/>
    <w:uiPriority w:val="73"/>
    <w:rsid w:val="002D66D8"/>
    <w:rPr>
      <w:color w:val="000000" w:themeColor="text1"/>
    </w:rPr>
    <w:tblPr>
      <w:tblStyleRowBandSize w:val="1"/>
      <w:tblStyleColBandSize w:val="1"/>
      <w:tblBorders>
        <w:insideH w:val="single" w:sz="4" w:space="0" w:color="FFFFFF" w:themeColor="background1"/>
      </w:tblBorders>
    </w:tblPr>
    <w:trPr>
      <w:hidden/>
    </w:trPr>
    <w:tcPr>
      <w:shd w:val="clear" w:color="auto" w:fill="F2DBDB" w:themeFill="accent2" w:themeFillTint="33"/>
    </w:tcPr>
    <w:tblStylePr w:type="firstRow">
      <w:rPr>
        <w:b/>
        <w:bCs/>
      </w:rPr>
      <w:tblPr/>
      <w:trPr>
        <w:hidden/>
      </w:trPr>
      <w:tcPr>
        <w:shd w:val="clear" w:color="auto" w:fill="E5B8B7" w:themeFill="accent2" w:themeFillTint="66"/>
      </w:tcPr>
    </w:tblStylePr>
    <w:tblStylePr w:type="lastRow">
      <w:rPr>
        <w:b/>
        <w:bCs/>
        <w:color w:val="000000" w:themeColor="text1"/>
      </w:rPr>
      <w:tblPr/>
      <w:trPr>
        <w:hidden/>
      </w:trPr>
      <w:tcPr>
        <w:shd w:val="clear" w:color="auto" w:fill="E5B8B7" w:themeFill="accent2" w:themeFillTint="66"/>
      </w:tcPr>
    </w:tblStylePr>
    <w:tblStylePr w:type="firstCol">
      <w:rPr>
        <w:color w:val="FFFFFF" w:themeColor="background1"/>
      </w:rPr>
      <w:tblPr/>
      <w:trPr>
        <w:hidden/>
      </w:trPr>
      <w:tcPr>
        <w:shd w:val="clear" w:color="auto" w:fill="943634" w:themeFill="accent2" w:themeFillShade="BF"/>
      </w:tcPr>
    </w:tblStylePr>
    <w:tblStylePr w:type="lastCol">
      <w:rPr>
        <w:color w:val="FFFFFF" w:themeColor="background1"/>
      </w:rPr>
      <w:tblPr/>
      <w:trPr>
        <w:hidden/>
      </w:trPr>
      <w:tcPr>
        <w:shd w:val="clear" w:color="auto" w:fill="943634" w:themeFill="accent2" w:themeFillShade="BF"/>
      </w:tcPr>
    </w:tblStylePr>
    <w:tblStylePr w:type="band1Vert">
      <w:tblPr/>
      <w:trPr>
        <w:hidden/>
      </w:trPr>
      <w:tcPr>
        <w:shd w:val="clear" w:color="auto" w:fill="DFA7A6" w:themeFill="accent2" w:themeFillTint="7F"/>
      </w:tcPr>
    </w:tblStylePr>
    <w:tblStylePr w:type="band1Horz">
      <w:tblPr/>
      <w:trPr>
        <w:hidden/>
      </w:trPr>
      <w:tcPr>
        <w:shd w:val="clear" w:color="auto" w:fill="DFA7A6" w:themeFill="accent2" w:themeFillTint="7F"/>
      </w:tcPr>
    </w:tblStylePr>
  </w:style>
  <w:style w:type="table" w:styleId="ColorfulGrid-Accent3">
    <w:name w:val="Colorful Grid Accent 3"/>
    <w:basedOn w:val="TableNormal"/>
    <w:uiPriority w:val="73"/>
    <w:rsid w:val="002D66D8"/>
    <w:rPr>
      <w:color w:val="000000" w:themeColor="text1"/>
    </w:rPr>
    <w:tblPr>
      <w:tblStyleRowBandSize w:val="1"/>
      <w:tblStyleColBandSize w:val="1"/>
      <w:tblBorders>
        <w:insideH w:val="single" w:sz="4" w:space="0" w:color="FFFFFF" w:themeColor="background1"/>
      </w:tblBorders>
    </w:tblPr>
    <w:trPr>
      <w:hidden/>
    </w:trPr>
    <w:tcPr>
      <w:shd w:val="clear" w:color="auto" w:fill="EAF1DD" w:themeFill="accent3" w:themeFillTint="33"/>
    </w:tcPr>
    <w:tblStylePr w:type="firstRow">
      <w:rPr>
        <w:b/>
        <w:bCs/>
      </w:rPr>
      <w:tblPr/>
      <w:trPr>
        <w:hidden/>
      </w:trPr>
      <w:tcPr>
        <w:shd w:val="clear" w:color="auto" w:fill="D6E3BC" w:themeFill="accent3" w:themeFillTint="66"/>
      </w:tcPr>
    </w:tblStylePr>
    <w:tblStylePr w:type="lastRow">
      <w:rPr>
        <w:b/>
        <w:bCs/>
        <w:color w:val="000000" w:themeColor="text1"/>
      </w:rPr>
      <w:tblPr/>
      <w:trPr>
        <w:hidden/>
      </w:trPr>
      <w:tcPr>
        <w:shd w:val="clear" w:color="auto" w:fill="D6E3BC" w:themeFill="accent3" w:themeFillTint="66"/>
      </w:tcPr>
    </w:tblStylePr>
    <w:tblStylePr w:type="firstCol">
      <w:rPr>
        <w:color w:val="FFFFFF" w:themeColor="background1"/>
      </w:rPr>
      <w:tblPr/>
      <w:trPr>
        <w:hidden/>
      </w:trPr>
      <w:tcPr>
        <w:shd w:val="clear" w:color="auto" w:fill="76923C" w:themeFill="accent3" w:themeFillShade="BF"/>
      </w:tcPr>
    </w:tblStylePr>
    <w:tblStylePr w:type="lastCol">
      <w:rPr>
        <w:color w:val="FFFFFF" w:themeColor="background1"/>
      </w:rPr>
      <w:tblPr/>
      <w:trPr>
        <w:hidden/>
      </w:trPr>
      <w:tcPr>
        <w:shd w:val="clear" w:color="auto" w:fill="76923C" w:themeFill="accent3" w:themeFillShade="BF"/>
      </w:tcPr>
    </w:tblStylePr>
    <w:tblStylePr w:type="band1Vert">
      <w:tblPr/>
      <w:trPr>
        <w:hidden/>
      </w:trPr>
      <w:tcPr>
        <w:shd w:val="clear" w:color="auto" w:fill="CDDDAC" w:themeFill="accent3" w:themeFillTint="7F"/>
      </w:tcPr>
    </w:tblStylePr>
    <w:tblStylePr w:type="band1Horz">
      <w:tblPr/>
      <w:trPr>
        <w:hidden/>
      </w:trPr>
      <w:tcPr>
        <w:shd w:val="clear" w:color="auto" w:fill="CDDDAC" w:themeFill="accent3" w:themeFillTint="7F"/>
      </w:tcPr>
    </w:tblStylePr>
  </w:style>
  <w:style w:type="table" w:styleId="ColorfulGrid-Accent4">
    <w:name w:val="Colorful Grid Accent 4"/>
    <w:basedOn w:val="TableNormal"/>
    <w:uiPriority w:val="73"/>
    <w:rsid w:val="002D66D8"/>
    <w:rPr>
      <w:color w:val="000000" w:themeColor="text1"/>
    </w:rPr>
    <w:tblPr>
      <w:tblStyleRowBandSize w:val="1"/>
      <w:tblStyleColBandSize w:val="1"/>
      <w:tblBorders>
        <w:insideH w:val="single" w:sz="4" w:space="0" w:color="FFFFFF" w:themeColor="background1"/>
      </w:tblBorders>
    </w:tblPr>
    <w:trPr>
      <w:hidden/>
    </w:trPr>
    <w:tcPr>
      <w:shd w:val="clear" w:color="auto" w:fill="E5DFEC" w:themeFill="accent4" w:themeFillTint="33"/>
    </w:tcPr>
    <w:tblStylePr w:type="firstRow">
      <w:rPr>
        <w:b/>
        <w:bCs/>
      </w:rPr>
      <w:tblPr/>
      <w:trPr>
        <w:hidden/>
      </w:trPr>
      <w:tcPr>
        <w:shd w:val="clear" w:color="auto" w:fill="CCC0D9" w:themeFill="accent4" w:themeFillTint="66"/>
      </w:tcPr>
    </w:tblStylePr>
    <w:tblStylePr w:type="lastRow">
      <w:rPr>
        <w:b/>
        <w:bCs/>
        <w:color w:val="000000" w:themeColor="text1"/>
      </w:rPr>
      <w:tblPr/>
      <w:trPr>
        <w:hidden/>
      </w:trPr>
      <w:tcPr>
        <w:shd w:val="clear" w:color="auto" w:fill="CCC0D9" w:themeFill="accent4" w:themeFillTint="66"/>
      </w:tcPr>
    </w:tblStylePr>
    <w:tblStylePr w:type="firstCol">
      <w:rPr>
        <w:color w:val="FFFFFF" w:themeColor="background1"/>
      </w:rPr>
      <w:tblPr/>
      <w:trPr>
        <w:hidden/>
      </w:trPr>
      <w:tcPr>
        <w:shd w:val="clear" w:color="auto" w:fill="5F497A" w:themeFill="accent4" w:themeFillShade="BF"/>
      </w:tcPr>
    </w:tblStylePr>
    <w:tblStylePr w:type="lastCol">
      <w:rPr>
        <w:color w:val="FFFFFF" w:themeColor="background1"/>
      </w:rPr>
      <w:tblPr/>
      <w:trPr>
        <w:hidden/>
      </w:trPr>
      <w:tcPr>
        <w:shd w:val="clear" w:color="auto" w:fill="5F497A" w:themeFill="accent4" w:themeFillShade="BF"/>
      </w:tcPr>
    </w:tblStylePr>
    <w:tblStylePr w:type="band1Vert">
      <w:tblPr/>
      <w:trPr>
        <w:hidden/>
      </w:trPr>
      <w:tcPr>
        <w:shd w:val="clear" w:color="auto" w:fill="BFB1D0" w:themeFill="accent4" w:themeFillTint="7F"/>
      </w:tcPr>
    </w:tblStylePr>
    <w:tblStylePr w:type="band1Horz">
      <w:tblPr/>
      <w:trPr>
        <w:hidden/>
      </w:trPr>
      <w:tcPr>
        <w:shd w:val="clear" w:color="auto" w:fill="BFB1D0" w:themeFill="accent4" w:themeFillTint="7F"/>
      </w:tcPr>
    </w:tblStylePr>
  </w:style>
  <w:style w:type="table" w:styleId="ColorfulGrid-Accent5">
    <w:name w:val="Colorful Grid Accent 5"/>
    <w:basedOn w:val="TableNormal"/>
    <w:uiPriority w:val="73"/>
    <w:rsid w:val="002D66D8"/>
    <w:rPr>
      <w:color w:val="000000" w:themeColor="text1"/>
    </w:rPr>
    <w:tblPr>
      <w:tblStyleRowBandSize w:val="1"/>
      <w:tblStyleColBandSize w:val="1"/>
      <w:tblBorders>
        <w:insideH w:val="single" w:sz="4" w:space="0" w:color="FFFFFF" w:themeColor="background1"/>
      </w:tblBorders>
    </w:tblPr>
    <w:trPr>
      <w:hidden/>
    </w:trPr>
    <w:tcPr>
      <w:shd w:val="clear" w:color="auto" w:fill="DAEEF3" w:themeFill="accent5" w:themeFillTint="33"/>
    </w:tcPr>
    <w:tblStylePr w:type="firstRow">
      <w:rPr>
        <w:b/>
        <w:bCs/>
      </w:rPr>
      <w:tblPr/>
      <w:trPr>
        <w:hidden/>
      </w:trPr>
      <w:tcPr>
        <w:shd w:val="clear" w:color="auto" w:fill="B6DDE8" w:themeFill="accent5" w:themeFillTint="66"/>
      </w:tcPr>
    </w:tblStylePr>
    <w:tblStylePr w:type="lastRow">
      <w:rPr>
        <w:b/>
        <w:bCs/>
        <w:color w:val="000000" w:themeColor="text1"/>
      </w:rPr>
      <w:tblPr/>
      <w:trPr>
        <w:hidden/>
      </w:trPr>
      <w:tcPr>
        <w:shd w:val="clear" w:color="auto" w:fill="B6DDE8" w:themeFill="accent5" w:themeFillTint="66"/>
      </w:tcPr>
    </w:tblStylePr>
    <w:tblStylePr w:type="firstCol">
      <w:rPr>
        <w:color w:val="FFFFFF" w:themeColor="background1"/>
      </w:rPr>
      <w:tblPr/>
      <w:trPr>
        <w:hidden/>
      </w:trPr>
      <w:tcPr>
        <w:shd w:val="clear" w:color="auto" w:fill="31849B" w:themeFill="accent5" w:themeFillShade="BF"/>
      </w:tcPr>
    </w:tblStylePr>
    <w:tblStylePr w:type="lastCol">
      <w:rPr>
        <w:color w:val="FFFFFF" w:themeColor="background1"/>
      </w:rPr>
      <w:tblPr/>
      <w:trPr>
        <w:hidden/>
      </w:trPr>
      <w:tcPr>
        <w:shd w:val="clear" w:color="auto" w:fill="31849B" w:themeFill="accent5" w:themeFillShade="BF"/>
      </w:tcPr>
    </w:tblStylePr>
    <w:tblStylePr w:type="band1Vert">
      <w:tblPr/>
      <w:trPr>
        <w:hidden/>
      </w:trPr>
      <w:tcPr>
        <w:shd w:val="clear" w:color="auto" w:fill="A5D5E2" w:themeFill="accent5" w:themeFillTint="7F"/>
      </w:tcPr>
    </w:tblStylePr>
    <w:tblStylePr w:type="band1Horz">
      <w:tblPr/>
      <w:trPr>
        <w:hidden/>
      </w:trPr>
      <w:tcPr>
        <w:shd w:val="clear" w:color="auto" w:fill="A5D5E2" w:themeFill="accent5" w:themeFillTint="7F"/>
      </w:tcPr>
    </w:tblStylePr>
  </w:style>
  <w:style w:type="table" w:styleId="ColorfulGrid-Accent6">
    <w:name w:val="Colorful Grid Accent 6"/>
    <w:basedOn w:val="TableNormal"/>
    <w:uiPriority w:val="73"/>
    <w:rsid w:val="002D66D8"/>
    <w:rPr>
      <w:color w:val="000000" w:themeColor="text1"/>
    </w:rPr>
    <w:tblPr>
      <w:tblStyleRowBandSize w:val="1"/>
      <w:tblStyleColBandSize w:val="1"/>
      <w:tblBorders>
        <w:insideH w:val="single" w:sz="4" w:space="0" w:color="FFFFFF" w:themeColor="background1"/>
      </w:tblBorders>
    </w:tblPr>
    <w:trPr>
      <w:hidden/>
    </w:trPr>
    <w:tcPr>
      <w:shd w:val="clear" w:color="auto" w:fill="FDE9D9" w:themeFill="accent6" w:themeFillTint="33"/>
    </w:tcPr>
    <w:tblStylePr w:type="firstRow">
      <w:rPr>
        <w:b/>
        <w:bCs/>
      </w:rPr>
      <w:tblPr/>
      <w:trPr>
        <w:hidden/>
      </w:trPr>
      <w:tcPr>
        <w:shd w:val="clear" w:color="auto" w:fill="FBD4B4" w:themeFill="accent6" w:themeFillTint="66"/>
      </w:tcPr>
    </w:tblStylePr>
    <w:tblStylePr w:type="lastRow">
      <w:rPr>
        <w:b/>
        <w:bCs/>
        <w:color w:val="000000" w:themeColor="text1"/>
      </w:rPr>
      <w:tblPr/>
      <w:trPr>
        <w:hidden/>
      </w:trPr>
      <w:tcPr>
        <w:shd w:val="clear" w:color="auto" w:fill="FBD4B4" w:themeFill="accent6" w:themeFillTint="66"/>
      </w:tcPr>
    </w:tblStylePr>
    <w:tblStylePr w:type="firstCol">
      <w:rPr>
        <w:color w:val="FFFFFF" w:themeColor="background1"/>
      </w:rPr>
      <w:tblPr/>
      <w:trPr>
        <w:hidden/>
      </w:trPr>
      <w:tcPr>
        <w:shd w:val="clear" w:color="auto" w:fill="E36C0A" w:themeFill="accent6" w:themeFillShade="BF"/>
      </w:tcPr>
    </w:tblStylePr>
    <w:tblStylePr w:type="lastCol">
      <w:rPr>
        <w:color w:val="FFFFFF" w:themeColor="background1"/>
      </w:rPr>
      <w:tblPr/>
      <w:trPr>
        <w:hidden/>
      </w:trPr>
      <w:tcPr>
        <w:shd w:val="clear" w:color="auto" w:fill="E36C0A" w:themeFill="accent6" w:themeFillShade="BF"/>
      </w:tcPr>
    </w:tblStylePr>
    <w:tblStylePr w:type="band1Vert">
      <w:tblPr/>
      <w:trPr>
        <w:hidden/>
      </w:trPr>
      <w:tcPr>
        <w:shd w:val="clear" w:color="auto" w:fill="FBCAA2" w:themeFill="accent6" w:themeFillTint="7F"/>
      </w:tcPr>
    </w:tblStylePr>
    <w:tblStylePr w:type="band1Horz">
      <w:tblPr/>
      <w:trPr>
        <w:hidden/>
      </w:trPr>
      <w:tcPr>
        <w:shd w:val="clear" w:color="auto" w:fill="FBCAA2" w:themeFill="accent6" w:themeFillTint="7F"/>
      </w:tcPr>
    </w:tblStylePr>
  </w:style>
  <w:style w:type="table" w:styleId="ColorfulList">
    <w:name w:val="Colorful List"/>
    <w:basedOn w:val="TableNormal"/>
    <w:uiPriority w:val="72"/>
    <w:rsid w:val="002D66D8"/>
    <w:rPr>
      <w:color w:val="000000" w:themeColor="text1"/>
    </w:rPr>
    <w:tblPr>
      <w:tblStyleRowBandSize w:val="1"/>
      <w:tblStyleColBandSize w:val="1"/>
    </w:tblPr>
    <w:trPr>
      <w:hidden/>
    </w:trPr>
    <w:tcPr>
      <w:shd w:val="clear" w:color="auto" w:fill="E6E6E6" w:themeFill="text1" w:themeFillTint="19"/>
    </w:tcPr>
    <w:tblStylePr w:type="firstRow">
      <w:rPr>
        <w:b/>
        <w:bCs/>
        <w:color w:val="FFFFFF" w:themeColor="background1"/>
      </w:rPr>
      <w:tblPr/>
      <w:trPr>
        <w:hidden/>
      </w:tr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rPr>
        <w:hidden/>
      </w:tr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rPr>
        <w:hidden/>
      </w:trPr>
      <w:tcPr>
        <w:tcBorders>
          <w:top w:val="nil"/>
          <w:left w:val="nil"/>
          <w:bottom w:val="nil"/>
          <w:right w:val="nil"/>
          <w:insideH w:val="nil"/>
          <w:insideV w:val="nil"/>
        </w:tcBorders>
        <w:shd w:val="clear" w:color="auto" w:fill="C0C0C0" w:themeFill="text1" w:themeFillTint="3F"/>
      </w:tcPr>
    </w:tblStylePr>
    <w:tblStylePr w:type="band1Horz">
      <w:tblPr/>
      <w:trPr>
        <w:hidden/>
      </w:trPr>
      <w:tcPr>
        <w:shd w:val="clear" w:color="auto" w:fill="CCCCCC" w:themeFill="text1" w:themeFillTint="33"/>
      </w:tcPr>
    </w:tblStylePr>
  </w:style>
  <w:style w:type="table" w:styleId="ColorfulList-Accent1">
    <w:name w:val="Colorful List Accent 1"/>
    <w:basedOn w:val="TableNormal"/>
    <w:uiPriority w:val="72"/>
    <w:rsid w:val="002D66D8"/>
    <w:rPr>
      <w:color w:val="000000" w:themeColor="text1"/>
    </w:rPr>
    <w:tblPr>
      <w:tblStyleRowBandSize w:val="1"/>
      <w:tblStyleColBandSize w:val="1"/>
    </w:tblPr>
    <w:trPr>
      <w:hidden/>
    </w:trPr>
    <w:tcPr>
      <w:shd w:val="clear" w:color="auto" w:fill="EDF2F8" w:themeFill="accent1" w:themeFillTint="19"/>
    </w:tcPr>
    <w:tblStylePr w:type="firstRow">
      <w:rPr>
        <w:b/>
        <w:bCs/>
        <w:color w:val="FFFFFF" w:themeColor="background1"/>
      </w:rPr>
      <w:tblPr/>
      <w:trPr>
        <w:hidden/>
      </w:tr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rPr>
        <w:hidden/>
      </w:tr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rPr>
        <w:hidden/>
      </w:trPr>
      <w:tcPr>
        <w:tcBorders>
          <w:top w:val="nil"/>
          <w:left w:val="nil"/>
          <w:bottom w:val="nil"/>
          <w:right w:val="nil"/>
          <w:insideH w:val="nil"/>
          <w:insideV w:val="nil"/>
        </w:tcBorders>
        <w:shd w:val="clear" w:color="auto" w:fill="D3DFEE" w:themeFill="accent1" w:themeFillTint="3F"/>
      </w:tcPr>
    </w:tblStylePr>
    <w:tblStylePr w:type="band1Horz">
      <w:tblPr/>
      <w:trPr>
        <w:hidden/>
      </w:trPr>
      <w:tcPr>
        <w:shd w:val="clear" w:color="auto" w:fill="DBE5F1" w:themeFill="accent1" w:themeFillTint="33"/>
      </w:tcPr>
    </w:tblStylePr>
  </w:style>
  <w:style w:type="table" w:styleId="ColorfulList-Accent2">
    <w:name w:val="Colorful List Accent 2"/>
    <w:basedOn w:val="TableNormal"/>
    <w:uiPriority w:val="72"/>
    <w:rsid w:val="002D66D8"/>
    <w:rPr>
      <w:color w:val="000000" w:themeColor="text1"/>
    </w:rPr>
    <w:tblPr>
      <w:tblStyleRowBandSize w:val="1"/>
      <w:tblStyleColBandSize w:val="1"/>
    </w:tblPr>
    <w:trPr>
      <w:hidden/>
    </w:trPr>
    <w:tcPr>
      <w:shd w:val="clear" w:color="auto" w:fill="F8EDED" w:themeFill="accent2" w:themeFillTint="19"/>
    </w:tcPr>
    <w:tblStylePr w:type="firstRow">
      <w:rPr>
        <w:b/>
        <w:bCs/>
        <w:color w:val="FFFFFF" w:themeColor="background1"/>
      </w:rPr>
      <w:tblPr/>
      <w:trPr>
        <w:hidden/>
      </w:tr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rPr>
        <w:hidden/>
      </w:tr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rPr>
        <w:hidden/>
      </w:trPr>
      <w:tcPr>
        <w:tcBorders>
          <w:top w:val="nil"/>
          <w:left w:val="nil"/>
          <w:bottom w:val="nil"/>
          <w:right w:val="nil"/>
          <w:insideH w:val="nil"/>
          <w:insideV w:val="nil"/>
        </w:tcBorders>
        <w:shd w:val="clear" w:color="auto" w:fill="EFD3D2" w:themeFill="accent2" w:themeFillTint="3F"/>
      </w:tcPr>
    </w:tblStylePr>
    <w:tblStylePr w:type="band1Horz">
      <w:tblPr/>
      <w:trPr>
        <w:hidden/>
      </w:trPr>
      <w:tcPr>
        <w:shd w:val="clear" w:color="auto" w:fill="F2DBDB" w:themeFill="accent2" w:themeFillTint="33"/>
      </w:tcPr>
    </w:tblStylePr>
  </w:style>
  <w:style w:type="table" w:styleId="ColorfulList-Accent3">
    <w:name w:val="Colorful List Accent 3"/>
    <w:basedOn w:val="TableNormal"/>
    <w:uiPriority w:val="72"/>
    <w:rsid w:val="002D66D8"/>
    <w:rPr>
      <w:color w:val="000000" w:themeColor="text1"/>
    </w:rPr>
    <w:tblPr>
      <w:tblStyleRowBandSize w:val="1"/>
      <w:tblStyleColBandSize w:val="1"/>
    </w:tblPr>
    <w:trPr>
      <w:hidden/>
    </w:trPr>
    <w:tcPr>
      <w:shd w:val="clear" w:color="auto" w:fill="F5F8EE" w:themeFill="accent3" w:themeFillTint="19"/>
    </w:tcPr>
    <w:tblStylePr w:type="firstRow">
      <w:rPr>
        <w:b/>
        <w:bCs/>
        <w:color w:val="FFFFFF" w:themeColor="background1"/>
      </w:rPr>
      <w:tblPr/>
      <w:trPr>
        <w:hidden/>
      </w:tr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rPr>
        <w:hidden/>
      </w:tr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rPr>
        <w:hidden/>
      </w:trPr>
      <w:tcPr>
        <w:tcBorders>
          <w:top w:val="nil"/>
          <w:left w:val="nil"/>
          <w:bottom w:val="nil"/>
          <w:right w:val="nil"/>
          <w:insideH w:val="nil"/>
          <w:insideV w:val="nil"/>
        </w:tcBorders>
        <w:shd w:val="clear" w:color="auto" w:fill="E6EED5" w:themeFill="accent3" w:themeFillTint="3F"/>
      </w:tcPr>
    </w:tblStylePr>
    <w:tblStylePr w:type="band1Horz">
      <w:tblPr/>
      <w:trPr>
        <w:hidden/>
      </w:trPr>
      <w:tcPr>
        <w:shd w:val="clear" w:color="auto" w:fill="EAF1DD" w:themeFill="accent3" w:themeFillTint="33"/>
      </w:tcPr>
    </w:tblStylePr>
  </w:style>
  <w:style w:type="table" w:styleId="ColorfulList-Accent4">
    <w:name w:val="Colorful List Accent 4"/>
    <w:basedOn w:val="TableNormal"/>
    <w:uiPriority w:val="72"/>
    <w:rsid w:val="002D66D8"/>
    <w:rPr>
      <w:color w:val="000000" w:themeColor="text1"/>
    </w:rPr>
    <w:tblPr>
      <w:tblStyleRowBandSize w:val="1"/>
      <w:tblStyleColBandSize w:val="1"/>
    </w:tblPr>
    <w:trPr>
      <w:hidden/>
    </w:trPr>
    <w:tcPr>
      <w:shd w:val="clear" w:color="auto" w:fill="F2EFF6" w:themeFill="accent4" w:themeFillTint="19"/>
    </w:tcPr>
    <w:tblStylePr w:type="firstRow">
      <w:rPr>
        <w:b/>
        <w:bCs/>
        <w:color w:val="FFFFFF" w:themeColor="background1"/>
      </w:rPr>
      <w:tblPr/>
      <w:trPr>
        <w:hidden/>
      </w:tr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rPr>
        <w:hidden/>
      </w:tr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rPr>
        <w:hidden/>
      </w:trPr>
      <w:tcPr>
        <w:tcBorders>
          <w:top w:val="nil"/>
          <w:left w:val="nil"/>
          <w:bottom w:val="nil"/>
          <w:right w:val="nil"/>
          <w:insideH w:val="nil"/>
          <w:insideV w:val="nil"/>
        </w:tcBorders>
        <w:shd w:val="clear" w:color="auto" w:fill="DFD8E8" w:themeFill="accent4" w:themeFillTint="3F"/>
      </w:tcPr>
    </w:tblStylePr>
    <w:tblStylePr w:type="band1Horz">
      <w:tblPr/>
      <w:trPr>
        <w:hidden/>
      </w:trPr>
      <w:tcPr>
        <w:shd w:val="clear" w:color="auto" w:fill="E5DFEC" w:themeFill="accent4" w:themeFillTint="33"/>
      </w:tcPr>
    </w:tblStylePr>
  </w:style>
  <w:style w:type="table" w:styleId="ColorfulList-Accent5">
    <w:name w:val="Colorful List Accent 5"/>
    <w:basedOn w:val="TableNormal"/>
    <w:uiPriority w:val="72"/>
    <w:rsid w:val="002D66D8"/>
    <w:rPr>
      <w:color w:val="000000" w:themeColor="text1"/>
    </w:rPr>
    <w:tblPr>
      <w:tblStyleRowBandSize w:val="1"/>
      <w:tblStyleColBandSize w:val="1"/>
    </w:tblPr>
    <w:trPr>
      <w:hidden/>
    </w:trPr>
    <w:tcPr>
      <w:shd w:val="clear" w:color="auto" w:fill="EDF6F9" w:themeFill="accent5" w:themeFillTint="19"/>
    </w:tcPr>
    <w:tblStylePr w:type="firstRow">
      <w:rPr>
        <w:b/>
        <w:bCs/>
        <w:color w:val="FFFFFF" w:themeColor="background1"/>
      </w:rPr>
      <w:tblPr/>
      <w:trPr>
        <w:hidden/>
      </w:tr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rPr>
        <w:hidden/>
      </w:tr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rPr>
        <w:hidden/>
      </w:trPr>
      <w:tcPr>
        <w:tcBorders>
          <w:top w:val="nil"/>
          <w:left w:val="nil"/>
          <w:bottom w:val="nil"/>
          <w:right w:val="nil"/>
          <w:insideH w:val="nil"/>
          <w:insideV w:val="nil"/>
        </w:tcBorders>
        <w:shd w:val="clear" w:color="auto" w:fill="D2EAF1" w:themeFill="accent5" w:themeFillTint="3F"/>
      </w:tcPr>
    </w:tblStylePr>
    <w:tblStylePr w:type="band1Horz">
      <w:tblPr/>
      <w:trPr>
        <w:hidden/>
      </w:trPr>
      <w:tcPr>
        <w:shd w:val="clear" w:color="auto" w:fill="DAEEF3" w:themeFill="accent5" w:themeFillTint="33"/>
      </w:tcPr>
    </w:tblStylePr>
  </w:style>
  <w:style w:type="table" w:styleId="ColorfulList-Accent6">
    <w:name w:val="Colorful List Accent 6"/>
    <w:basedOn w:val="TableNormal"/>
    <w:uiPriority w:val="72"/>
    <w:rsid w:val="002D66D8"/>
    <w:rPr>
      <w:color w:val="000000" w:themeColor="text1"/>
    </w:rPr>
    <w:tblPr>
      <w:tblStyleRowBandSize w:val="1"/>
      <w:tblStyleColBandSize w:val="1"/>
    </w:tblPr>
    <w:trPr>
      <w:hidden/>
    </w:trPr>
    <w:tcPr>
      <w:shd w:val="clear" w:color="auto" w:fill="FEF4EC" w:themeFill="accent6" w:themeFillTint="19"/>
    </w:tcPr>
    <w:tblStylePr w:type="firstRow">
      <w:rPr>
        <w:b/>
        <w:bCs/>
        <w:color w:val="FFFFFF" w:themeColor="background1"/>
      </w:rPr>
      <w:tblPr/>
      <w:trPr>
        <w:hidden/>
      </w:tr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rPr>
        <w:hidden/>
      </w:tr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rPr>
        <w:hidden/>
      </w:trPr>
      <w:tcPr>
        <w:tcBorders>
          <w:top w:val="nil"/>
          <w:left w:val="nil"/>
          <w:bottom w:val="nil"/>
          <w:right w:val="nil"/>
          <w:insideH w:val="nil"/>
          <w:insideV w:val="nil"/>
        </w:tcBorders>
        <w:shd w:val="clear" w:color="auto" w:fill="FDE4D0" w:themeFill="accent6" w:themeFillTint="3F"/>
      </w:tcPr>
    </w:tblStylePr>
    <w:tblStylePr w:type="band1Horz">
      <w:tblPr/>
      <w:trPr>
        <w:hidden/>
      </w:trPr>
      <w:tcPr>
        <w:shd w:val="clear" w:color="auto" w:fill="FDE9D9" w:themeFill="accent6" w:themeFillTint="33"/>
      </w:tcPr>
    </w:tblStylePr>
  </w:style>
  <w:style w:type="table" w:styleId="ColorfulShading">
    <w:name w:val="Colorful Shading"/>
    <w:basedOn w:val="TableNormal"/>
    <w:uiPriority w:val="71"/>
    <w:rsid w:val="002D66D8"/>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rPr>
      <w:hidden/>
    </w:trPr>
    <w:tcPr>
      <w:shd w:val="clear" w:color="auto" w:fill="E6E6E6" w:themeFill="text1" w:themeFillTint="19"/>
    </w:tcPr>
    <w:tblStylePr w:type="firstRow">
      <w:rPr>
        <w:b/>
        <w:bCs/>
      </w:rPr>
      <w:tblPr/>
      <w:trPr>
        <w:hidden/>
      </w:tr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rPr>
        <w:hidden/>
      </w:trPr>
      <w:tcPr>
        <w:tcBorders>
          <w:top w:val="single" w:sz="6" w:space="0" w:color="FFFFFF" w:themeColor="background1"/>
        </w:tcBorders>
        <w:shd w:val="clear" w:color="auto" w:fill="000000" w:themeFill="text1" w:themeFillShade="99"/>
      </w:tcPr>
    </w:tblStylePr>
    <w:tblStylePr w:type="firstCol">
      <w:rPr>
        <w:color w:val="FFFFFF" w:themeColor="background1"/>
      </w:rPr>
      <w:tblPr/>
      <w:trPr>
        <w:hidden/>
      </w:tr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rPr>
        <w:hidden/>
      </w:trPr>
      <w:tcPr>
        <w:tcBorders>
          <w:top w:val="nil"/>
          <w:left w:val="nil"/>
          <w:bottom w:val="nil"/>
          <w:right w:val="nil"/>
          <w:insideH w:val="nil"/>
          <w:insideV w:val="nil"/>
        </w:tcBorders>
        <w:shd w:val="clear" w:color="auto" w:fill="000000" w:themeFill="text1" w:themeFillShade="BF"/>
      </w:tcPr>
    </w:tblStylePr>
    <w:tblStylePr w:type="band1Vert">
      <w:tblPr/>
      <w:trPr>
        <w:hidden/>
      </w:trPr>
      <w:tcPr>
        <w:shd w:val="clear" w:color="auto" w:fill="999999" w:themeFill="text1" w:themeFillTint="66"/>
      </w:tcPr>
    </w:tblStylePr>
    <w:tblStylePr w:type="band1Horz">
      <w:tblPr/>
      <w:trPr>
        <w:hidden/>
      </w:tr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2D66D8"/>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rPr>
      <w:hidden/>
    </w:trPr>
    <w:tcPr>
      <w:shd w:val="clear" w:color="auto" w:fill="EDF2F8" w:themeFill="accent1" w:themeFillTint="19"/>
    </w:tcPr>
    <w:tblStylePr w:type="firstRow">
      <w:rPr>
        <w:b/>
        <w:bCs/>
      </w:rPr>
      <w:tblPr/>
      <w:trPr>
        <w:hidden/>
      </w:tr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rPr>
        <w:hidden/>
      </w:trPr>
      <w:tcPr>
        <w:tcBorders>
          <w:top w:val="single" w:sz="6" w:space="0" w:color="FFFFFF" w:themeColor="background1"/>
        </w:tcBorders>
        <w:shd w:val="clear" w:color="auto" w:fill="2C4C74" w:themeFill="accent1" w:themeFillShade="99"/>
      </w:tcPr>
    </w:tblStylePr>
    <w:tblStylePr w:type="firstCol">
      <w:rPr>
        <w:color w:val="FFFFFF" w:themeColor="background1"/>
      </w:rPr>
      <w:tblPr/>
      <w:trPr>
        <w:hidden/>
      </w:tr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rPr>
        <w:hidden/>
      </w:trPr>
      <w:tcPr>
        <w:tcBorders>
          <w:top w:val="nil"/>
          <w:left w:val="nil"/>
          <w:bottom w:val="nil"/>
          <w:right w:val="nil"/>
          <w:insideH w:val="nil"/>
          <w:insideV w:val="nil"/>
        </w:tcBorders>
        <w:shd w:val="clear" w:color="auto" w:fill="2C4C74" w:themeFill="accent1" w:themeFillShade="99"/>
      </w:tcPr>
    </w:tblStylePr>
    <w:tblStylePr w:type="band1Vert">
      <w:tblPr/>
      <w:trPr>
        <w:hidden/>
      </w:trPr>
      <w:tcPr>
        <w:shd w:val="clear" w:color="auto" w:fill="B8CCE4" w:themeFill="accent1" w:themeFillTint="66"/>
      </w:tcPr>
    </w:tblStylePr>
    <w:tblStylePr w:type="band1Horz">
      <w:tblPr/>
      <w:trPr>
        <w:hidden/>
      </w:tr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2D66D8"/>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rPr>
      <w:hidden/>
    </w:trPr>
    <w:tcPr>
      <w:shd w:val="clear" w:color="auto" w:fill="F8EDED" w:themeFill="accent2" w:themeFillTint="19"/>
    </w:tcPr>
    <w:tblStylePr w:type="firstRow">
      <w:rPr>
        <w:b/>
        <w:bCs/>
      </w:rPr>
      <w:tblPr/>
      <w:trPr>
        <w:hidden/>
      </w:tr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rPr>
        <w:hidden/>
      </w:trPr>
      <w:tcPr>
        <w:tcBorders>
          <w:top w:val="single" w:sz="6" w:space="0" w:color="FFFFFF" w:themeColor="background1"/>
        </w:tcBorders>
        <w:shd w:val="clear" w:color="auto" w:fill="772C2A" w:themeFill="accent2" w:themeFillShade="99"/>
      </w:tcPr>
    </w:tblStylePr>
    <w:tblStylePr w:type="firstCol">
      <w:rPr>
        <w:color w:val="FFFFFF" w:themeColor="background1"/>
      </w:rPr>
      <w:tblPr/>
      <w:trPr>
        <w:hidden/>
      </w:tr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rPr>
        <w:hidden/>
      </w:trPr>
      <w:tcPr>
        <w:tcBorders>
          <w:top w:val="nil"/>
          <w:left w:val="nil"/>
          <w:bottom w:val="nil"/>
          <w:right w:val="nil"/>
          <w:insideH w:val="nil"/>
          <w:insideV w:val="nil"/>
        </w:tcBorders>
        <w:shd w:val="clear" w:color="auto" w:fill="772C2A" w:themeFill="accent2" w:themeFillShade="99"/>
      </w:tcPr>
    </w:tblStylePr>
    <w:tblStylePr w:type="band1Vert">
      <w:tblPr/>
      <w:trPr>
        <w:hidden/>
      </w:trPr>
      <w:tcPr>
        <w:shd w:val="clear" w:color="auto" w:fill="E5B8B7" w:themeFill="accent2" w:themeFillTint="66"/>
      </w:tcPr>
    </w:tblStylePr>
    <w:tblStylePr w:type="band1Horz">
      <w:tblPr/>
      <w:trPr>
        <w:hidden/>
      </w:tr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2D66D8"/>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rPr>
      <w:hidden/>
    </w:trPr>
    <w:tcPr>
      <w:shd w:val="clear" w:color="auto" w:fill="F5F8EE" w:themeFill="accent3" w:themeFillTint="19"/>
    </w:tcPr>
    <w:tblStylePr w:type="firstRow">
      <w:rPr>
        <w:b/>
        <w:bCs/>
      </w:rPr>
      <w:tblPr/>
      <w:trPr>
        <w:hidden/>
      </w:tr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rPr>
        <w:hidden/>
      </w:trPr>
      <w:tcPr>
        <w:tcBorders>
          <w:top w:val="single" w:sz="6" w:space="0" w:color="FFFFFF" w:themeColor="background1"/>
        </w:tcBorders>
        <w:shd w:val="clear" w:color="auto" w:fill="5E7530" w:themeFill="accent3" w:themeFillShade="99"/>
      </w:tcPr>
    </w:tblStylePr>
    <w:tblStylePr w:type="firstCol">
      <w:rPr>
        <w:color w:val="FFFFFF" w:themeColor="background1"/>
      </w:rPr>
      <w:tblPr/>
      <w:trPr>
        <w:hidden/>
      </w:tr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rPr>
        <w:hidden/>
      </w:trPr>
      <w:tcPr>
        <w:tcBorders>
          <w:top w:val="nil"/>
          <w:left w:val="nil"/>
          <w:bottom w:val="nil"/>
          <w:right w:val="nil"/>
          <w:insideH w:val="nil"/>
          <w:insideV w:val="nil"/>
        </w:tcBorders>
        <w:shd w:val="clear" w:color="auto" w:fill="5E7530" w:themeFill="accent3" w:themeFillShade="99"/>
      </w:tcPr>
    </w:tblStylePr>
    <w:tblStylePr w:type="band1Vert">
      <w:tblPr/>
      <w:trPr>
        <w:hidden/>
      </w:trPr>
      <w:tcPr>
        <w:shd w:val="clear" w:color="auto" w:fill="D6E3BC" w:themeFill="accent3" w:themeFillTint="66"/>
      </w:tcPr>
    </w:tblStylePr>
    <w:tblStylePr w:type="band1Horz">
      <w:tblPr/>
      <w:trPr>
        <w:hidden/>
      </w:trPr>
      <w:tcPr>
        <w:shd w:val="clear" w:color="auto" w:fill="CDDDAC" w:themeFill="accent3" w:themeFillTint="7F"/>
      </w:tcPr>
    </w:tblStylePr>
  </w:style>
  <w:style w:type="table" w:styleId="ColorfulShading-Accent4">
    <w:name w:val="Colorful Shading Accent 4"/>
    <w:basedOn w:val="TableNormal"/>
    <w:uiPriority w:val="71"/>
    <w:rsid w:val="002D66D8"/>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rPr>
      <w:hidden/>
    </w:trPr>
    <w:tcPr>
      <w:shd w:val="clear" w:color="auto" w:fill="F2EFF6" w:themeFill="accent4" w:themeFillTint="19"/>
    </w:tcPr>
    <w:tblStylePr w:type="firstRow">
      <w:rPr>
        <w:b/>
        <w:bCs/>
      </w:rPr>
      <w:tblPr/>
      <w:trPr>
        <w:hidden/>
      </w:tr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rPr>
        <w:hidden/>
      </w:trPr>
      <w:tcPr>
        <w:tcBorders>
          <w:top w:val="single" w:sz="6" w:space="0" w:color="FFFFFF" w:themeColor="background1"/>
        </w:tcBorders>
        <w:shd w:val="clear" w:color="auto" w:fill="4C3B62" w:themeFill="accent4" w:themeFillShade="99"/>
      </w:tcPr>
    </w:tblStylePr>
    <w:tblStylePr w:type="firstCol">
      <w:rPr>
        <w:color w:val="FFFFFF" w:themeColor="background1"/>
      </w:rPr>
      <w:tblPr/>
      <w:trPr>
        <w:hidden/>
      </w:tr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rPr>
        <w:hidden/>
      </w:trPr>
      <w:tcPr>
        <w:tcBorders>
          <w:top w:val="nil"/>
          <w:left w:val="nil"/>
          <w:bottom w:val="nil"/>
          <w:right w:val="nil"/>
          <w:insideH w:val="nil"/>
          <w:insideV w:val="nil"/>
        </w:tcBorders>
        <w:shd w:val="clear" w:color="auto" w:fill="4C3B62" w:themeFill="accent4" w:themeFillShade="99"/>
      </w:tcPr>
    </w:tblStylePr>
    <w:tblStylePr w:type="band1Vert">
      <w:tblPr/>
      <w:trPr>
        <w:hidden/>
      </w:trPr>
      <w:tcPr>
        <w:shd w:val="clear" w:color="auto" w:fill="CCC0D9" w:themeFill="accent4" w:themeFillTint="66"/>
      </w:tcPr>
    </w:tblStylePr>
    <w:tblStylePr w:type="band1Horz">
      <w:tblPr/>
      <w:trPr>
        <w:hidden/>
      </w:tr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2D66D8"/>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rPr>
      <w:hidden/>
    </w:trPr>
    <w:tcPr>
      <w:shd w:val="clear" w:color="auto" w:fill="EDF6F9" w:themeFill="accent5" w:themeFillTint="19"/>
    </w:tcPr>
    <w:tblStylePr w:type="firstRow">
      <w:rPr>
        <w:b/>
        <w:bCs/>
      </w:rPr>
      <w:tblPr/>
      <w:trPr>
        <w:hidden/>
      </w:tr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rPr>
        <w:hidden/>
      </w:trPr>
      <w:tcPr>
        <w:tcBorders>
          <w:top w:val="single" w:sz="6" w:space="0" w:color="FFFFFF" w:themeColor="background1"/>
        </w:tcBorders>
        <w:shd w:val="clear" w:color="auto" w:fill="276A7C" w:themeFill="accent5" w:themeFillShade="99"/>
      </w:tcPr>
    </w:tblStylePr>
    <w:tblStylePr w:type="firstCol">
      <w:rPr>
        <w:color w:val="FFFFFF" w:themeColor="background1"/>
      </w:rPr>
      <w:tblPr/>
      <w:trPr>
        <w:hidden/>
      </w:tr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rPr>
        <w:hidden/>
      </w:trPr>
      <w:tcPr>
        <w:tcBorders>
          <w:top w:val="nil"/>
          <w:left w:val="nil"/>
          <w:bottom w:val="nil"/>
          <w:right w:val="nil"/>
          <w:insideH w:val="nil"/>
          <w:insideV w:val="nil"/>
        </w:tcBorders>
        <w:shd w:val="clear" w:color="auto" w:fill="276A7C" w:themeFill="accent5" w:themeFillShade="99"/>
      </w:tcPr>
    </w:tblStylePr>
    <w:tblStylePr w:type="band1Vert">
      <w:tblPr/>
      <w:trPr>
        <w:hidden/>
      </w:trPr>
      <w:tcPr>
        <w:shd w:val="clear" w:color="auto" w:fill="B6DDE8" w:themeFill="accent5" w:themeFillTint="66"/>
      </w:tcPr>
    </w:tblStylePr>
    <w:tblStylePr w:type="band1Horz">
      <w:tblPr/>
      <w:trPr>
        <w:hidden/>
      </w:tr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2D66D8"/>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rPr>
      <w:hidden/>
    </w:trPr>
    <w:tcPr>
      <w:shd w:val="clear" w:color="auto" w:fill="FEF4EC" w:themeFill="accent6" w:themeFillTint="19"/>
    </w:tcPr>
    <w:tblStylePr w:type="firstRow">
      <w:rPr>
        <w:b/>
        <w:bCs/>
      </w:rPr>
      <w:tblPr/>
      <w:trPr>
        <w:hidden/>
      </w:tr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rPr>
        <w:hidden/>
      </w:trPr>
      <w:tcPr>
        <w:tcBorders>
          <w:top w:val="single" w:sz="6" w:space="0" w:color="FFFFFF" w:themeColor="background1"/>
        </w:tcBorders>
        <w:shd w:val="clear" w:color="auto" w:fill="B65608" w:themeFill="accent6" w:themeFillShade="99"/>
      </w:tcPr>
    </w:tblStylePr>
    <w:tblStylePr w:type="firstCol">
      <w:rPr>
        <w:color w:val="FFFFFF" w:themeColor="background1"/>
      </w:rPr>
      <w:tblPr/>
      <w:trPr>
        <w:hidden/>
      </w:tr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rPr>
        <w:hidden/>
      </w:trPr>
      <w:tcPr>
        <w:tcBorders>
          <w:top w:val="nil"/>
          <w:left w:val="nil"/>
          <w:bottom w:val="nil"/>
          <w:right w:val="nil"/>
          <w:insideH w:val="nil"/>
          <w:insideV w:val="nil"/>
        </w:tcBorders>
        <w:shd w:val="clear" w:color="auto" w:fill="B65608" w:themeFill="accent6" w:themeFillShade="99"/>
      </w:tcPr>
    </w:tblStylePr>
    <w:tblStylePr w:type="band1Vert">
      <w:tblPr/>
      <w:trPr>
        <w:hidden/>
      </w:trPr>
      <w:tcPr>
        <w:shd w:val="clear" w:color="auto" w:fill="FBD4B4" w:themeFill="accent6" w:themeFillTint="66"/>
      </w:tcPr>
    </w:tblStylePr>
    <w:tblStylePr w:type="band1Horz">
      <w:tblPr/>
      <w:trPr>
        <w:hidden/>
      </w:tr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rsid w:val="002D66D8"/>
    <w:rPr>
      <w:color w:val="FFFFFF" w:themeColor="background1"/>
    </w:rPr>
    <w:tblPr>
      <w:tblStyleRowBandSize w:val="1"/>
      <w:tblStyleColBandSize w:val="1"/>
    </w:tblPr>
    <w:trPr>
      <w:hidden/>
    </w:trPr>
    <w:tcPr>
      <w:shd w:val="clear" w:color="auto" w:fill="000000" w:themeFill="text1"/>
    </w:tcPr>
    <w:tblStylePr w:type="firstRow">
      <w:rPr>
        <w:b/>
        <w:bCs/>
      </w:rPr>
      <w:tblPr/>
      <w:trPr>
        <w:hidden/>
      </w:tr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rPr>
        <w:hidden/>
      </w:tr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rPr>
        <w:hidden/>
      </w:tr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rPr>
        <w:hidden/>
      </w:tr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rPr>
        <w:hidden/>
      </w:trPr>
      <w:tcPr>
        <w:tcBorders>
          <w:top w:val="nil"/>
          <w:left w:val="nil"/>
          <w:bottom w:val="nil"/>
          <w:right w:val="nil"/>
          <w:insideH w:val="nil"/>
          <w:insideV w:val="nil"/>
        </w:tcBorders>
        <w:shd w:val="clear" w:color="auto" w:fill="000000" w:themeFill="text1" w:themeFillShade="BF"/>
      </w:tcPr>
    </w:tblStylePr>
    <w:tblStylePr w:type="band1Horz">
      <w:tblPr/>
      <w:trPr>
        <w:hidden/>
      </w:tr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2D66D8"/>
    <w:rPr>
      <w:color w:val="FFFFFF" w:themeColor="background1"/>
    </w:rPr>
    <w:tblPr>
      <w:tblStyleRowBandSize w:val="1"/>
      <w:tblStyleColBandSize w:val="1"/>
    </w:tblPr>
    <w:trPr>
      <w:hidden/>
    </w:trPr>
    <w:tcPr>
      <w:shd w:val="clear" w:color="auto" w:fill="4F81BD" w:themeFill="accent1"/>
    </w:tcPr>
    <w:tblStylePr w:type="firstRow">
      <w:rPr>
        <w:b/>
        <w:bCs/>
      </w:rPr>
      <w:tblPr/>
      <w:trPr>
        <w:hidden/>
      </w:tr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rPr>
        <w:hidden/>
      </w:tr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rPr>
        <w:hidden/>
      </w:tr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rPr>
        <w:hidden/>
      </w:tr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rPr>
        <w:hidden/>
      </w:trPr>
      <w:tcPr>
        <w:tcBorders>
          <w:top w:val="nil"/>
          <w:left w:val="nil"/>
          <w:bottom w:val="nil"/>
          <w:right w:val="nil"/>
          <w:insideH w:val="nil"/>
          <w:insideV w:val="nil"/>
        </w:tcBorders>
        <w:shd w:val="clear" w:color="auto" w:fill="365F91" w:themeFill="accent1" w:themeFillShade="BF"/>
      </w:tcPr>
    </w:tblStylePr>
    <w:tblStylePr w:type="band1Horz">
      <w:tblPr/>
      <w:trPr>
        <w:hidden/>
      </w:tr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2D66D8"/>
    <w:rPr>
      <w:color w:val="FFFFFF" w:themeColor="background1"/>
    </w:rPr>
    <w:tblPr>
      <w:tblStyleRowBandSize w:val="1"/>
      <w:tblStyleColBandSize w:val="1"/>
    </w:tblPr>
    <w:trPr>
      <w:hidden/>
    </w:trPr>
    <w:tcPr>
      <w:shd w:val="clear" w:color="auto" w:fill="C0504D" w:themeFill="accent2"/>
    </w:tcPr>
    <w:tblStylePr w:type="firstRow">
      <w:rPr>
        <w:b/>
        <w:bCs/>
      </w:rPr>
      <w:tblPr/>
      <w:trPr>
        <w:hidden/>
      </w:tr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rPr>
        <w:hidden/>
      </w:tr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rPr>
        <w:hidden/>
      </w:tr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rPr>
        <w:hidden/>
      </w:tr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rPr>
        <w:hidden/>
      </w:trPr>
      <w:tcPr>
        <w:tcBorders>
          <w:top w:val="nil"/>
          <w:left w:val="nil"/>
          <w:bottom w:val="nil"/>
          <w:right w:val="nil"/>
          <w:insideH w:val="nil"/>
          <w:insideV w:val="nil"/>
        </w:tcBorders>
        <w:shd w:val="clear" w:color="auto" w:fill="943634" w:themeFill="accent2" w:themeFillShade="BF"/>
      </w:tcPr>
    </w:tblStylePr>
    <w:tblStylePr w:type="band1Horz">
      <w:tblPr/>
      <w:trPr>
        <w:hidden/>
      </w:tr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2D66D8"/>
    <w:rPr>
      <w:color w:val="FFFFFF" w:themeColor="background1"/>
    </w:rPr>
    <w:tblPr>
      <w:tblStyleRowBandSize w:val="1"/>
      <w:tblStyleColBandSize w:val="1"/>
    </w:tblPr>
    <w:trPr>
      <w:hidden/>
    </w:trPr>
    <w:tcPr>
      <w:shd w:val="clear" w:color="auto" w:fill="9BBB59" w:themeFill="accent3"/>
    </w:tcPr>
    <w:tblStylePr w:type="firstRow">
      <w:rPr>
        <w:b/>
        <w:bCs/>
      </w:rPr>
      <w:tblPr/>
      <w:trPr>
        <w:hidden/>
      </w:tr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rPr>
        <w:hidden/>
      </w:tr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rPr>
        <w:hidden/>
      </w:tr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rPr>
        <w:hidden/>
      </w:tr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rPr>
        <w:hidden/>
      </w:trPr>
      <w:tcPr>
        <w:tcBorders>
          <w:top w:val="nil"/>
          <w:left w:val="nil"/>
          <w:bottom w:val="nil"/>
          <w:right w:val="nil"/>
          <w:insideH w:val="nil"/>
          <w:insideV w:val="nil"/>
        </w:tcBorders>
        <w:shd w:val="clear" w:color="auto" w:fill="76923C" w:themeFill="accent3" w:themeFillShade="BF"/>
      </w:tcPr>
    </w:tblStylePr>
    <w:tblStylePr w:type="band1Horz">
      <w:tblPr/>
      <w:trPr>
        <w:hidden/>
      </w:tr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2D66D8"/>
    <w:rPr>
      <w:color w:val="FFFFFF" w:themeColor="background1"/>
    </w:rPr>
    <w:tblPr>
      <w:tblStyleRowBandSize w:val="1"/>
      <w:tblStyleColBandSize w:val="1"/>
    </w:tblPr>
    <w:trPr>
      <w:hidden/>
    </w:trPr>
    <w:tcPr>
      <w:shd w:val="clear" w:color="auto" w:fill="8064A2" w:themeFill="accent4"/>
    </w:tcPr>
    <w:tblStylePr w:type="firstRow">
      <w:rPr>
        <w:b/>
        <w:bCs/>
      </w:rPr>
      <w:tblPr/>
      <w:trPr>
        <w:hidden/>
      </w:tr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rPr>
        <w:hidden/>
      </w:tr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rPr>
        <w:hidden/>
      </w:tr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rPr>
        <w:hidden/>
      </w:tr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rPr>
        <w:hidden/>
      </w:trPr>
      <w:tcPr>
        <w:tcBorders>
          <w:top w:val="nil"/>
          <w:left w:val="nil"/>
          <w:bottom w:val="nil"/>
          <w:right w:val="nil"/>
          <w:insideH w:val="nil"/>
          <w:insideV w:val="nil"/>
        </w:tcBorders>
        <w:shd w:val="clear" w:color="auto" w:fill="5F497A" w:themeFill="accent4" w:themeFillShade="BF"/>
      </w:tcPr>
    </w:tblStylePr>
    <w:tblStylePr w:type="band1Horz">
      <w:tblPr/>
      <w:trPr>
        <w:hidden/>
      </w:tr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2D66D8"/>
    <w:rPr>
      <w:color w:val="FFFFFF" w:themeColor="background1"/>
    </w:rPr>
    <w:tblPr>
      <w:tblStyleRowBandSize w:val="1"/>
      <w:tblStyleColBandSize w:val="1"/>
    </w:tblPr>
    <w:trPr>
      <w:hidden/>
    </w:trPr>
    <w:tcPr>
      <w:shd w:val="clear" w:color="auto" w:fill="4BACC6" w:themeFill="accent5"/>
    </w:tcPr>
    <w:tblStylePr w:type="firstRow">
      <w:rPr>
        <w:b/>
        <w:bCs/>
      </w:rPr>
      <w:tblPr/>
      <w:trPr>
        <w:hidden/>
      </w:tr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rPr>
        <w:hidden/>
      </w:tr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rPr>
        <w:hidden/>
      </w:tr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rPr>
        <w:hidden/>
      </w:tr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rPr>
        <w:hidden/>
      </w:trPr>
      <w:tcPr>
        <w:tcBorders>
          <w:top w:val="nil"/>
          <w:left w:val="nil"/>
          <w:bottom w:val="nil"/>
          <w:right w:val="nil"/>
          <w:insideH w:val="nil"/>
          <w:insideV w:val="nil"/>
        </w:tcBorders>
        <w:shd w:val="clear" w:color="auto" w:fill="31849B" w:themeFill="accent5" w:themeFillShade="BF"/>
      </w:tcPr>
    </w:tblStylePr>
    <w:tblStylePr w:type="band1Horz">
      <w:tblPr/>
      <w:trPr>
        <w:hidden/>
      </w:tr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2D66D8"/>
    <w:rPr>
      <w:color w:val="FFFFFF" w:themeColor="background1"/>
    </w:rPr>
    <w:tblPr>
      <w:tblStyleRowBandSize w:val="1"/>
      <w:tblStyleColBandSize w:val="1"/>
    </w:tblPr>
    <w:trPr>
      <w:hidden/>
    </w:trPr>
    <w:tcPr>
      <w:shd w:val="clear" w:color="auto" w:fill="F79646" w:themeFill="accent6"/>
    </w:tcPr>
    <w:tblStylePr w:type="firstRow">
      <w:rPr>
        <w:b/>
        <w:bCs/>
      </w:rPr>
      <w:tblPr/>
      <w:trPr>
        <w:hidden/>
      </w:tr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rPr>
        <w:hidden/>
      </w:tr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rPr>
        <w:hidden/>
      </w:tr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rPr>
        <w:hidden/>
      </w:tr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rPr>
        <w:hidden/>
      </w:trPr>
      <w:tcPr>
        <w:tcBorders>
          <w:top w:val="nil"/>
          <w:left w:val="nil"/>
          <w:bottom w:val="nil"/>
          <w:right w:val="nil"/>
          <w:insideH w:val="nil"/>
          <w:insideV w:val="nil"/>
        </w:tcBorders>
        <w:shd w:val="clear" w:color="auto" w:fill="E36C0A" w:themeFill="accent6" w:themeFillShade="BF"/>
      </w:tcPr>
    </w:tblStylePr>
    <w:tblStylePr w:type="band1Horz">
      <w:tblPr/>
      <w:trPr>
        <w:hidden/>
      </w:trPr>
      <w:tcPr>
        <w:tcBorders>
          <w:top w:val="nil"/>
          <w:left w:val="nil"/>
          <w:bottom w:val="nil"/>
          <w:right w:val="nil"/>
          <w:insideH w:val="nil"/>
          <w:insideV w:val="nil"/>
        </w:tcBorders>
        <w:shd w:val="clear" w:color="auto" w:fill="E36C0A" w:themeFill="accent6" w:themeFillShade="BF"/>
      </w:tcPr>
    </w:tblStylePr>
  </w:style>
  <w:style w:type="paragraph" w:styleId="E-mailSignature">
    <w:name w:val="E-mail Signature"/>
    <w:basedOn w:val="Normal"/>
    <w:link w:val="E-mailSignatureChar"/>
    <w:semiHidden/>
    <w:unhideWhenUsed/>
    <w:rsid w:val="002D66D8"/>
    <w:pPr>
      <w:spacing w:before="0" w:after="0" w:line="240" w:lineRule="auto"/>
    </w:pPr>
  </w:style>
  <w:style w:type="character" w:customStyle="1" w:styleId="E-mailSignatureChar">
    <w:name w:val="E-mail Signature Char"/>
    <w:basedOn w:val="DefaultParagraphFont"/>
    <w:link w:val="E-mailSignature"/>
    <w:semiHidden/>
    <w:rsid w:val="002D66D8"/>
    <w:rPr>
      <w:rFonts w:eastAsia="Calibri" w:cs="Cordia New"/>
      <w:sz w:val="24"/>
      <w:szCs w:val="22"/>
    </w:rPr>
  </w:style>
  <w:style w:type="character" w:styleId="EndnoteReference">
    <w:name w:val="endnote reference"/>
    <w:basedOn w:val="DefaultParagraphFont"/>
    <w:semiHidden/>
    <w:unhideWhenUsed/>
    <w:rsid w:val="002D66D8"/>
    <w:rPr>
      <w:vertAlign w:val="superscript"/>
    </w:rPr>
  </w:style>
  <w:style w:type="paragraph" w:styleId="EnvelopeAddress">
    <w:name w:val="envelope address"/>
    <w:basedOn w:val="Normal"/>
    <w:semiHidden/>
    <w:unhideWhenUsed/>
    <w:rsid w:val="002D66D8"/>
    <w:pPr>
      <w:framePr w:w="7920" w:h="1980" w:hRule="exact" w:hSpace="180" w:wrap="auto" w:hAnchor="page" w:xAlign="center" w:yAlign="bottom"/>
      <w:spacing w:before="0" w:after="0" w:line="240" w:lineRule="auto"/>
      <w:ind w:left="2880"/>
    </w:pPr>
    <w:rPr>
      <w:rFonts w:asciiTheme="majorHAnsi" w:eastAsiaTheme="majorEastAsia" w:hAnsiTheme="majorHAnsi" w:cstheme="majorBidi"/>
      <w:szCs w:val="24"/>
    </w:rPr>
  </w:style>
  <w:style w:type="paragraph" w:styleId="EnvelopeReturn">
    <w:name w:val="envelope return"/>
    <w:basedOn w:val="Normal"/>
    <w:semiHidden/>
    <w:unhideWhenUsed/>
    <w:rsid w:val="002D66D8"/>
    <w:pPr>
      <w:spacing w:before="0" w:after="0" w:line="240" w:lineRule="auto"/>
    </w:pPr>
    <w:rPr>
      <w:rFonts w:asciiTheme="majorHAnsi" w:eastAsiaTheme="majorEastAsia" w:hAnsiTheme="majorHAnsi" w:cstheme="majorBidi"/>
      <w:sz w:val="20"/>
      <w:szCs w:val="20"/>
    </w:rPr>
  </w:style>
  <w:style w:type="character" w:styleId="FootnoteReference">
    <w:name w:val="footnote reference"/>
    <w:basedOn w:val="DefaultParagraphFont"/>
    <w:semiHidden/>
    <w:unhideWhenUsed/>
    <w:rsid w:val="002D66D8"/>
    <w:rPr>
      <w:vertAlign w:val="superscript"/>
    </w:rPr>
  </w:style>
  <w:style w:type="character" w:styleId="HTMLAcronym">
    <w:name w:val="HTML Acronym"/>
    <w:basedOn w:val="DefaultParagraphFont"/>
    <w:semiHidden/>
    <w:unhideWhenUsed/>
    <w:rsid w:val="002D66D8"/>
  </w:style>
  <w:style w:type="paragraph" w:styleId="HTMLAddress">
    <w:name w:val="HTML Address"/>
    <w:basedOn w:val="Normal"/>
    <w:link w:val="HTMLAddressChar"/>
    <w:semiHidden/>
    <w:unhideWhenUsed/>
    <w:rsid w:val="002D66D8"/>
    <w:pPr>
      <w:spacing w:before="0" w:after="0" w:line="240" w:lineRule="auto"/>
    </w:pPr>
    <w:rPr>
      <w:i/>
      <w:iCs/>
    </w:rPr>
  </w:style>
  <w:style w:type="character" w:customStyle="1" w:styleId="HTMLAddressChar">
    <w:name w:val="HTML Address Char"/>
    <w:basedOn w:val="DefaultParagraphFont"/>
    <w:link w:val="HTMLAddress"/>
    <w:semiHidden/>
    <w:rsid w:val="002D66D8"/>
    <w:rPr>
      <w:rFonts w:eastAsia="Calibri" w:cs="Cordia New"/>
      <w:i/>
      <w:iCs/>
      <w:sz w:val="24"/>
      <w:szCs w:val="22"/>
    </w:rPr>
  </w:style>
  <w:style w:type="character" w:styleId="HTMLCite">
    <w:name w:val="HTML Cite"/>
    <w:basedOn w:val="DefaultParagraphFont"/>
    <w:semiHidden/>
    <w:unhideWhenUsed/>
    <w:rsid w:val="002D66D8"/>
    <w:rPr>
      <w:i/>
      <w:iCs/>
    </w:rPr>
  </w:style>
  <w:style w:type="character" w:styleId="HTMLCode">
    <w:name w:val="HTML Code"/>
    <w:basedOn w:val="DefaultParagraphFont"/>
    <w:semiHidden/>
    <w:unhideWhenUsed/>
    <w:rsid w:val="002D66D8"/>
    <w:rPr>
      <w:rFonts w:ascii="Consolas" w:hAnsi="Consolas" w:cs="Consolas"/>
      <w:sz w:val="20"/>
      <w:szCs w:val="20"/>
    </w:rPr>
  </w:style>
  <w:style w:type="character" w:styleId="HTMLDefinition">
    <w:name w:val="HTML Definition"/>
    <w:basedOn w:val="DefaultParagraphFont"/>
    <w:semiHidden/>
    <w:unhideWhenUsed/>
    <w:rsid w:val="002D66D8"/>
    <w:rPr>
      <w:i/>
      <w:iCs/>
    </w:rPr>
  </w:style>
  <w:style w:type="character" w:styleId="HTMLKeyboard">
    <w:name w:val="HTML Keyboard"/>
    <w:basedOn w:val="DefaultParagraphFont"/>
    <w:semiHidden/>
    <w:unhideWhenUsed/>
    <w:rsid w:val="002D66D8"/>
    <w:rPr>
      <w:rFonts w:ascii="Consolas" w:hAnsi="Consolas" w:cs="Consolas"/>
      <w:sz w:val="20"/>
      <w:szCs w:val="20"/>
    </w:rPr>
  </w:style>
  <w:style w:type="paragraph" w:styleId="HTMLPreformatted">
    <w:name w:val="HTML Preformatted"/>
    <w:basedOn w:val="Normal"/>
    <w:link w:val="HTMLPreformattedChar"/>
    <w:semiHidden/>
    <w:unhideWhenUsed/>
    <w:rsid w:val="002D66D8"/>
    <w:pPr>
      <w:spacing w:before="0"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semiHidden/>
    <w:rsid w:val="002D66D8"/>
    <w:rPr>
      <w:rFonts w:ascii="Consolas" w:eastAsia="Calibri" w:hAnsi="Consolas" w:cs="Consolas"/>
    </w:rPr>
  </w:style>
  <w:style w:type="character" w:styleId="HTMLSample">
    <w:name w:val="HTML Sample"/>
    <w:basedOn w:val="DefaultParagraphFont"/>
    <w:semiHidden/>
    <w:unhideWhenUsed/>
    <w:rsid w:val="002D66D8"/>
    <w:rPr>
      <w:rFonts w:ascii="Consolas" w:hAnsi="Consolas" w:cs="Consolas"/>
      <w:sz w:val="24"/>
      <w:szCs w:val="24"/>
    </w:rPr>
  </w:style>
  <w:style w:type="character" w:styleId="HTMLVariable">
    <w:name w:val="HTML Variable"/>
    <w:basedOn w:val="DefaultParagraphFont"/>
    <w:semiHidden/>
    <w:unhideWhenUsed/>
    <w:rsid w:val="002D66D8"/>
    <w:rPr>
      <w:i/>
      <w:iCs/>
    </w:rPr>
  </w:style>
  <w:style w:type="paragraph" w:styleId="Index1">
    <w:name w:val="index 1"/>
    <w:basedOn w:val="Normal"/>
    <w:next w:val="Normal"/>
    <w:autoRedefine/>
    <w:semiHidden/>
    <w:unhideWhenUsed/>
    <w:rsid w:val="002D66D8"/>
    <w:pPr>
      <w:spacing w:before="0" w:after="0" w:line="240" w:lineRule="auto"/>
      <w:ind w:left="240" w:hanging="240"/>
    </w:pPr>
  </w:style>
  <w:style w:type="paragraph" w:styleId="Index2">
    <w:name w:val="index 2"/>
    <w:basedOn w:val="Normal"/>
    <w:next w:val="Normal"/>
    <w:autoRedefine/>
    <w:semiHidden/>
    <w:unhideWhenUsed/>
    <w:rsid w:val="002D66D8"/>
    <w:pPr>
      <w:spacing w:before="0" w:after="0" w:line="240" w:lineRule="auto"/>
      <w:ind w:left="480" w:hanging="240"/>
    </w:pPr>
  </w:style>
  <w:style w:type="paragraph" w:styleId="Index3">
    <w:name w:val="index 3"/>
    <w:basedOn w:val="Normal"/>
    <w:next w:val="Normal"/>
    <w:autoRedefine/>
    <w:semiHidden/>
    <w:unhideWhenUsed/>
    <w:rsid w:val="002D66D8"/>
    <w:pPr>
      <w:spacing w:before="0" w:after="0" w:line="240" w:lineRule="auto"/>
      <w:ind w:left="720" w:hanging="240"/>
    </w:pPr>
  </w:style>
  <w:style w:type="paragraph" w:styleId="Index4">
    <w:name w:val="index 4"/>
    <w:basedOn w:val="Normal"/>
    <w:next w:val="Normal"/>
    <w:autoRedefine/>
    <w:semiHidden/>
    <w:unhideWhenUsed/>
    <w:rsid w:val="002D66D8"/>
    <w:pPr>
      <w:spacing w:before="0" w:after="0" w:line="240" w:lineRule="auto"/>
      <w:ind w:left="960" w:hanging="240"/>
    </w:pPr>
  </w:style>
  <w:style w:type="paragraph" w:styleId="Index5">
    <w:name w:val="index 5"/>
    <w:basedOn w:val="Normal"/>
    <w:next w:val="Normal"/>
    <w:autoRedefine/>
    <w:semiHidden/>
    <w:unhideWhenUsed/>
    <w:rsid w:val="002D66D8"/>
    <w:pPr>
      <w:spacing w:before="0" w:after="0" w:line="240" w:lineRule="auto"/>
      <w:ind w:left="1200" w:hanging="240"/>
    </w:pPr>
  </w:style>
  <w:style w:type="paragraph" w:styleId="Index6">
    <w:name w:val="index 6"/>
    <w:basedOn w:val="Normal"/>
    <w:next w:val="Normal"/>
    <w:autoRedefine/>
    <w:semiHidden/>
    <w:unhideWhenUsed/>
    <w:rsid w:val="002D66D8"/>
    <w:pPr>
      <w:spacing w:before="0" w:after="0" w:line="240" w:lineRule="auto"/>
      <w:ind w:left="1440" w:hanging="240"/>
    </w:pPr>
  </w:style>
  <w:style w:type="paragraph" w:styleId="Index7">
    <w:name w:val="index 7"/>
    <w:basedOn w:val="Normal"/>
    <w:next w:val="Normal"/>
    <w:autoRedefine/>
    <w:semiHidden/>
    <w:unhideWhenUsed/>
    <w:rsid w:val="002D66D8"/>
    <w:pPr>
      <w:spacing w:before="0" w:after="0" w:line="240" w:lineRule="auto"/>
      <w:ind w:left="1680" w:hanging="240"/>
    </w:pPr>
  </w:style>
  <w:style w:type="paragraph" w:styleId="Index8">
    <w:name w:val="index 8"/>
    <w:basedOn w:val="Normal"/>
    <w:next w:val="Normal"/>
    <w:autoRedefine/>
    <w:semiHidden/>
    <w:unhideWhenUsed/>
    <w:rsid w:val="002D66D8"/>
    <w:pPr>
      <w:spacing w:before="0" w:after="0" w:line="240" w:lineRule="auto"/>
      <w:ind w:left="1920" w:hanging="240"/>
    </w:pPr>
  </w:style>
  <w:style w:type="paragraph" w:styleId="Index9">
    <w:name w:val="index 9"/>
    <w:basedOn w:val="Normal"/>
    <w:next w:val="Normal"/>
    <w:autoRedefine/>
    <w:semiHidden/>
    <w:unhideWhenUsed/>
    <w:rsid w:val="002D66D8"/>
    <w:pPr>
      <w:spacing w:before="0" w:after="0" w:line="240" w:lineRule="auto"/>
      <w:ind w:left="2160" w:hanging="240"/>
    </w:pPr>
  </w:style>
  <w:style w:type="paragraph" w:styleId="IndexHeading">
    <w:name w:val="index heading"/>
    <w:basedOn w:val="Normal"/>
    <w:next w:val="Index1"/>
    <w:semiHidden/>
    <w:unhideWhenUsed/>
    <w:rsid w:val="002D66D8"/>
    <w:rPr>
      <w:rFonts w:asciiTheme="majorHAnsi" w:eastAsiaTheme="majorEastAsia" w:hAnsiTheme="majorHAnsi" w:cstheme="majorBidi"/>
      <w:b/>
      <w:bCs/>
    </w:rPr>
  </w:style>
  <w:style w:type="table" w:styleId="LightGrid">
    <w:name w:val="Light Grid"/>
    <w:basedOn w:val="TableNormal"/>
    <w:uiPriority w:val="62"/>
    <w:rsid w:val="002D66D8"/>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rPr>
      <w:hidden/>
    </w:trPr>
    <w:tblStylePr w:type="firstRow">
      <w:pPr>
        <w:spacing w:before="0" w:after="0" w:line="240" w:lineRule="auto"/>
      </w:pPr>
      <w:rPr>
        <w:rFonts w:asciiTheme="majorHAnsi" w:eastAsiaTheme="majorEastAsia" w:hAnsiTheme="majorHAnsi" w:cstheme="majorBidi"/>
        <w:b/>
        <w:bCs/>
      </w:rPr>
      <w:tblPr/>
      <w:trPr>
        <w:hidden/>
      </w:tr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rPr>
        <w:hidden/>
      </w:tr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rPr>
        <w:hidden/>
      </w:tr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rPr>
        <w:hidden/>
      </w:tr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rPr>
        <w:hidden/>
      </w:tr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rPr>
        <w:hidden/>
      </w:tr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2D66D8"/>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rPr>
      <w:hidden/>
    </w:trPr>
    <w:tblStylePr w:type="firstRow">
      <w:pPr>
        <w:spacing w:before="0" w:after="0" w:line="240" w:lineRule="auto"/>
      </w:pPr>
      <w:rPr>
        <w:rFonts w:asciiTheme="majorHAnsi" w:eastAsiaTheme="majorEastAsia" w:hAnsiTheme="majorHAnsi" w:cstheme="majorBidi"/>
        <w:b/>
        <w:bCs/>
      </w:rPr>
      <w:tblPr/>
      <w:trPr>
        <w:hidden/>
      </w:tr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rPr>
        <w:hidden/>
      </w:tr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rPr>
        <w:hidden/>
      </w:tr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rPr>
        <w:hidden/>
      </w:tr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rPr>
        <w:hidden/>
      </w:tr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rPr>
        <w:hidden/>
      </w:tr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2D66D8"/>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rPr>
      <w:hidden/>
    </w:trPr>
    <w:tblStylePr w:type="firstRow">
      <w:pPr>
        <w:spacing w:before="0" w:after="0" w:line="240" w:lineRule="auto"/>
      </w:pPr>
      <w:rPr>
        <w:rFonts w:asciiTheme="majorHAnsi" w:eastAsiaTheme="majorEastAsia" w:hAnsiTheme="majorHAnsi" w:cstheme="majorBidi"/>
        <w:b/>
        <w:bCs/>
      </w:rPr>
      <w:tblPr/>
      <w:trPr>
        <w:hidden/>
      </w:tr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rPr>
        <w:hidden/>
      </w:tr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rPr>
        <w:hidden/>
      </w:tr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rPr>
        <w:hidden/>
      </w:tr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rPr>
        <w:hidden/>
      </w:tr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rPr>
        <w:hidden/>
      </w:tr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2D66D8"/>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rPr>
      <w:hidden/>
    </w:trPr>
    <w:tblStylePr w:type="firstRow">
      <w:pPr>
        <w:spacing w:before="0" w:after="0" w:line="240" w:lineRule="auto"/>
      </w:pPr>
      <w:rPr>
        <w:rFonts w:asciiTheme="majorHAnsi" w:eastAsiaTheme="majorEastAsia" w:hAnsiTheme="majorHAnsi" w:cstheme="majorBidi"/>
        <w:b/>
        <w:bCs/>
      </w:rPr>
      <w:tblPr/>
      <w:trPr>
        <w:hidden/>
      </w:tr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rPr>
        <w:hidden/>
      </w:tr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rPr>
        <w:hidden/>
      </w:tr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rPr>
        <w:hidden/>
      </w:tr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rPr>
        <w:hidden/>
      </w:tr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rPr>
        <w:hidden/>
      </w:tr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2D66D8"/>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rPr>
      <w:hidden/>
    </w:trPr>
    <w:tblStylePr w:type="firstRow">
      <w:pPr>
        <w:spacing w:before="0" w:after="0" w:line="240" w:lineRule="auto"/>
      </w:pPr>
      <w:rPr>
        <w:rFonts w:asciiTheme="majorHAnsi" w:eastAsiaTheme="majorEastAsia" w:hAnsiTheme="majorHAnsi" w:cstheme="majorBidi"/>
        <w:b/>
        <w:bCs/>
      </w:rPr>
      <w:tblPr/>
      <w:trPr>
        <w:hidden/>
      </w:tr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rPr>
        <w:hidden/>
      </w:tr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rPr>
        <w:hidden/>
      </w:tr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rPr>
        <w:hidden/>
      </w:tr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rPr>
        <w:hidden/>
      </w:tr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rPr>
        <w:hidden/>
      </w:tr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2D66D8"/>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rPr>
      <w:hidden/>
    </w:trPr>
    <w:tblStylePr w:type="firstRow">
      <w:pPr>
        <w:spacing w:before="0" w:after="0" w:line="240" w:lineRule="auto"/>
      </w:pPr>
      <w:rPr>
        <w:rFonts w:asciiTheme="majorHAnsi" w:eastAsiaTheme="majorEastAsia" w:hAnsiTheme="majorHAnsi" w:cstheme="majorBidi"/>
        <w:b/>
        <w:bCs/>
      </w:rPr>
      <w:tblPr/>
      <w:trPr>
        <w:hidden/>
      </w:tr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rPr>
        <w:hidden/>
      </w:tr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rPr>
        <w:hidden/>
      </w:tr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rPr>
        <w:hidden/>
      </w:tr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rPr>
        <w:hidden/>
      </w:tr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rPr>
        <w:hidden/>
      </w:tr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2D66D8"/>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rPr>
      <w:hidden/>
    </w:trPr>
    <w:tblStylePr w:type="firstRow">
      <w:pPr>
        <w:spacing w:before="0" w:after="0" w:line="240" w:lineRule="auto"/>
      </w:pPr>
      <w:rPr>
        <w:rFonts w:asciiTheme="majorHAnsi" w:eastAsiaTheme="majorEastAsia" w:hAnsiTheme="majorHAnsi" w:cstheme="majorBidi"/>
        <w:b/>
        <w:bCs/>
      </w:rPr>
      <w:tblPr/>
      <w:trPr>
        <w:hidden/>
      </w:tr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rPr>
        <w:hidden/>
      </w:tr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rPr>
        <w:hidden/>
      </w:tr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rPr>
        <w:hidden/>
      </w:tr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rPr>
        <w:hidden/>
      </w:tr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rPr>
        <w:hidden/>
      </w:tr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rsid w:val="002D66D8"/>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rPr>
      <w:hidden/>
    </w:trPr>
    <w:tblStylePr w:type="firstRow">
      <w:pPr>
        <w:spacing w:before="0" w:after="0" w:line="240" w:lineRule="auto"/>
      </w:pPr>
      <w:rPr>
        <w:b/>
        <w:bCs/>
        <w:color w:val="FFFFFF" w:themeColor="background1"/>
      </w:rPr>
      <w:tblPr/>
      <w:trPr>
        <w:hidden/>
      </w:trPr>
      <w:tcPr>
        <w:shd w:val="clear" w:color="auto" w:fill="000000" w:themeFill="text1"/>
      </w:tcPr>
    </w:tblStylePr>
    <w:tblStylePr w:type="lastRow">
      <w:pPr>
        <w:spacing w:before="0" w:after="0" w:line="240" w:lineRule="auto"/>
      </w:pPr>
      <w:rPr>
        <w:b/>
        <w:bCs/>
      </w:rPr>
      <w:tblPr/>
      <w:trPr>
        <w:hidden/>
      </w:tr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rPr>
        <w:hidden/>
      </w:tr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rPr>
        <w:hidden/>
      </w:tr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2D66D8"/>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rPr>
      <w:hidden/>
    </w:trPr>
    <w:tblStylePr w:type="firstRow">
      <w:pPr>
        <w:spacing w:before="0" w:after="0" w:line="240" w:lineRule="auto"/>
      </w:pPr>
      <w:rPr>
        <w:b/>
        <w:bCs/>
        <w:color w:val="FFFFFF" w:themeColor="background1"/>
      </w:rPr>
      <w:tblPr/>
      <w:trPr>
        <w:hidden/>
      </w:trPr>
      <w:tcPr>
        <w:shd w:val="clear" w:color="auto" w:fill="4F81BD" w:themeFill="accent1"/>
      </w:tcPr>
    </w:tblStylePr>
    <w:tblStylePr w:type="lastRow">
      <w:pPr>
        <w:spacing w:before="0" w:after="0" w:line="240" w:lineRule="auto"/>
      </w:pPr>
      <w:rPr>
        <w:b/>
        <w:bCs/>
      </w:rPr>
      <w:tblPr/>
      <w:trPr>
        <w:hidden/>
      </w:tr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rPr>
        <w:hidden/>
      </w:tr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rPr>
        <w:hidden/>
      </w:tr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2D66D8"/>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rPr>
      <w:hidden/>
    </w:trPr>
    <w:tblStylePr w:type="firstRow">
      <w:pPr>
        <w:spacing w:before="0" w:after="0" w:line="240" w:lineRule="auto"/>
      </w:pPr>
      <w:rPr>
        <w:b/>
        <w:bCs/>
        <w:color w:val="FFFFFF" w:themeColor="background1"/>
      </w:rPr>
      <w:tblPr/>
      <w:trPr>
        <w:hidden/>
      </w:trPr>
      <w:tcPr>
        <w:shd w:val="clear" w:color="auto" w:fill="C0504D" w:themeFill="accent2"/>
      </w:tcPr>
    </w:tblStylePr>
    <w:tblStylePr w:type="lastRow">
      <w:pPr>
        <w:spacing w:before="0" w:after="0" w:line="240" w:lineRule="auto"/>
      </w:pPr>
      <w:rPr>
        <w:b/>
        <w:bCs/>
      </w:rPr>
      <w:tblPr/>
      <w:trPr>
        <w:hidden/>
      </w:tr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rPr>
        <w:hidden/>
      </w:tr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rPr>
        <w:hidden/>
      </w:tr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2D66D8"/>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rPr>
      <w:hidden/>
    </w:trPr>
    <w:tblStylePr w:type="firstRow">
      <w:pPr>
        <w:spacing w:before="0" w:after="0" w:line="240" w:lineRule="auto"/>
      </w:pPr>
      <w:rPr>
        <w:b/>
        <w:bCs/>
        <w:color w:val="FFFFFF" w:themeColor="background1"/>
      </w:rPr>
      <w:tblPr/>
      <w:trPr>
        <w:hidden/>
      </w:trPr>
      <w:tcPr>
        <w:shd w:val="clear" w:color="auto" w:fill="9BBB59" w:themeFill="accent3"/>
      </w:tcPr>
    </w:tblStylePr>
    <w:tblStylePr w:type="lastRow">
      <w:pPr>
        <w:spacing w:before="0" w:after="0" w:line="240" w:lineRule="auto"/>
      </w:pPr>
      <w:rPr>
        <w:b/>
        <w:bCs/>
      </w:rPr>
      <w:tblPr/>
      <w:trPr>
        <w:hidden/>
      </w:tr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rPr>
        <w:hidden/>
      </w:tr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rPr>
        <w:hidden/>
      </w:tr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2D66D8"/>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rPr>
      <w:hidden/>
    </w:trPr>
    <w:tblStylePr w:type="firstRow">
      <w:pPr>
        <w:spacing w:before="0" w:after="0" w:line="240" w:lineRule="auto"/>
      </w:pPr>
      <w:rPr>
        <w:b/>
        <w:bCs/>
        <w:color w:val="FFFFFF" w:themeColor="background1"/>
      </w:rPr>
      <w:tblPr/>
      <w:trPr>
        <w:hidden/>
      </w:trPr>
      <w:tcPr>
        <w:shd w:val="clear" w:color="auto" w:fill="8064A2" w:themeFill="accent4"/>
      </w:tcPr>
    </w:tblStylePr>
    <w:tblStylePr w:type="lastRow">
      <w:pPr>
        <w:spacing w:before="0" w:after="0" w:line="240" w:lineRule="auto"/>
      </w:pPr>
      <w:rPr>
        <w:b/>
        <w:bCs/>
      </w:rPr>
      <w:tblPr/>
      <w:trPr>
        <w:hidden/>
      </w:tr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rPr>
        <w:hidden/>
      </w:tr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rPr>
        <w:hidden/>
      </w:tr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2D66D8"/>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rPr>
      <w:hidden/>
    </w:trPr>
    <w:tblStylePr w:type="firstRow">
      <w:pPr>
        <w:spacing w:before="0" w:after="0" w:line="240" w:lineRule="auto"/>
      </w:pPr>
      <w:rPr>
        <w:b/>
        <w:bCs/>
        <w:color w:val="FFFFFF" w:themeColor="background1"/>
      </w:rPr>
      <w:tblPr/>
      <w:trPr>
        <w:hidden/>
      </w:trPr>
      <w:tcPr>
        <w:shd w:val="clear" w:color="auto" w:fill="4BACC6" w:themeFill="accent5"/>
      </w:tcPr>
    </w:tblStylePr>
    <w:tblStylePr w:type="lastRow">
      <w:pPr>
        <w:spacing w:before="0" w:after="0" w:line="240" w:lineRule="auto"/>
      </w:pPr>
      <w:rPr>
        <w:b/>
        <w:bCs/>
      </w:rPr>
      <w:tblPr/>
      <w:trPr>
        <w:hidden/>
      </w:tr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rPr>
        <w:hidden/>
      </w:tr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rPr>
        <w:hidden/>
      </w:tr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2D66D8"/>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rPr>
      <w:hidden/>
    </w:trPr>
    <w:tblStylePr w:type="firstRow">
      <w:pPr>
        <w:spacing w:before="0" w:after="0" w:line="240" w:lineRule="auto"/>
      </w:pPr>
      <w:rPr>
        <w:b/>
        <w:bCs/>
        <w:color w:val="FFFFFF" w:themeColor="background1"/>
      </w:rPr>
      <w:tblPr/>
      <w:trPr>
        <w:hidden/>
      </w:trPr>
      <w:tcPr>
        <w:shd w:val="clear" w:color="auto" w:fill="F79646" w:themeFill="accent6"/>
      </w:tcPr>
    </w:tblStylePr>
    <w:tblStylePr w:type="lastRow">
      <w:pPr>
        <w:spacing w:before="0" w:after="0" w:line="240" w:lineRule="auto"/>
      </w:pPr>
      <w:rPr>
        <w:b/>
        <w:bCs/>
      </w:rPr>
      <w:tblPr/>
      <w:trPr>
        <w:hidden/>
      </w:tr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rPr>
        <w:hidden/>
      </w:tr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rPr>
        <w:hidden/>
      </w:tr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rsid w:val="002D66D8"/>
    <w:rPr>
      <w:color w:val="000000" w:themeColor="text1" w:themeShade="BF"/>
    </w:rPr>
    <w:tblPr>
      <w:tblStyleRowBandSize w:val="1"/>
      <w:tblStyleColBandSize w:val="1"/>
      <w:tblBorders>
        <w:top w:val="single" w:sz="8" w:space="0" w:color="000000" w:themeColor="text1"/>
        <w:bottom w:val="single" w:sz="8" w:space="0" w:color="000000" w:themeColor="text1"/>
      </w:tblBorders>
    </w:tblPr>
    <w:trPr>
      <w:hidden/>
    </w:trPr>
    <w:tblStylePr w:type="firstRow">
      <w:pPr>
        <w:spacing w:before="0" w:after="0" w:line="240" w:lineRule="auto"/>
      </w:pPr>
      <w:rPr>
        <w:b/>
        <w:bCs/>
      </w:rPr>
      <w:tblPr/>
      <w:trPr>
        <w:hidden/>
      </w:tr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rPr>
        <w:hidden/>
      </w:tr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rPr>
        <w:hidden/>
      </w:trPr>
      <w:tcPr>
        <w:tcBorders>
          <w:left w:val="nil"/>
          <w:right w:val="nil"/>
          <w:insideH w:val="nil"/>
          <w:insideV w:val="nil"/>
        </w:tcBorders>
        <w:shd w:val="clear" w:color="auto" w:fill="C0C0C0" w:themeFill="text1" w:themeFillTint="3F"/>
      </w:tcPr>
    </w:tblStylePr>
    <w:tblStylePr w:type="band1Horz">
      <w:tblPr/>
      <w:trPr>
        <w:hidden/>
      </w:tr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2D66D8"/>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rPr>
      <w:hidden/>
    </w:trPr>
    <w:tblStylePr w:type="firstRow">
      <w:pPr>
        <w:spacing w:before="0" w:after="0" w:line="240" w:lineRule="auto"/>
      </w:pPr>
      <w:rPr>
        <w:b/>
        <w:bCs/>
      </w:rPr>
      <w:tblPr/>
      <w:trPr>
        <w:hidden/>
      </w:tr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rPr>
        <w:hidden/>
      </w:tr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rPr>
        <w:hidden/>
      </w:trPr>
      <w:tcPr>
        <w:tcBorders>
          <w:left w:val="nil"/>
          <w:right w:val="nil"/>
          <w:insideH w:val="nil"/>
          <w:insideV w:val="nil"/>
        </w:tcBorders>
        <w:shd w:val="clear" w:color="auto" w:fill="D3DFEE" w:themeFill="accent1" w:themeFillTint="3F"/>
      </w:tcPr>
    </w:tblStylePr>
    <w:tblStylePr w:type="band1Horz">
      <w:tblPr/>
      <w:trPr>
        <w:hidden/>
      </w:tr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2D66D8"/>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rPr>
      <w:hidden/>
    </w:trPr>
    <w:tblStylePr w:type="firstRow">
      <w:pPr>
        <w:spacing w:before="0" w:after="0" w:line="240" w:lineRule="auto"/>
      </w:pPr>
      <w:rPr>
        <w:b/>
        <w:bCs/>
      </w:rPr>
      <w:tblPr/>
      <w:trPr>
        <w:hidden/>
      </w:tr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rPr>
        <w:hidden/>
      </w:tr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rPr>
        <w:hidden/>
      </w:trPr>
      <w:tcPr>
        <w:tcBorders>
          <w:left w:val="nil"/>
          <w:right w:val="nil"/>
          <w:insideH w:val="nil"/>
          <w:insideV w:val="nil"/>
        </w:tcBorders>
        <w:shd w:val="clear" w:color="auto" w:fill="EFD3D2" w:themeFill="accent2" w:themeFillTint="3F"/>
      </w:tcPr>
    </w:tblStylePr>
    <w:tblStylePr w:type="band1Horz">
      <w:tblPr/>
      <w:trPr>
        <w:hidden/>
      </w:tr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2D66D8"/>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rPr>
      <w:hidden/>
    </w:trPr>
    <w:tblStylePr w:type="firstRow">
      <w:pPr>
        <w:spacing w:before="0" w:after="0" w:line="240" w:lineRule="auto"/>
      </w:pPr>
      <w:rPr>
        <w:b/>
        <w:bCs/>
      </w:rPr>
      <w:tblPr/>
      <w:trPr>
        <w:hidden/>
      </w:tr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rPr>
        <w:hidden/>
      </w:tr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rPr>
        <w:hidden/>
      </w:trPr>
      <w:tcPr>
        <w:tcBorders>
          <w:left w:val="nil"/>
          <w:right w:val="nil"/>
          <w:insideH w:val="nil"/>
          <w:insideV w:val="nil"/>
        </w:tcBorders>
        <w:shd w:val="clear" w:color="auto" w:fill="E6EED5" w:themeFill="accent3" w:themeFillTint="3F"/>
      </w:tcPr>
    </w:tblStylePr>
    <w:tblStylePr w:type="band1Horz">
      <w:tblPr/>
      <w:trPr>
        <w:hidden/>
      </w:tr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2D66D8"/>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rPr>
      <w:hidden/>
    </w:trPr>
    <w:tblStylePr w:type="firstRow">
      <w:pPr>
        <w:spacing w:before="0" w:after="0" w:line="240" w:lineRule="auto"/>
      </w:pPr>
      <w:rPr>
        <w:b/>
        <w:bCs/>
      </w:rPr>
      <w:tblPr/>
      <w:trPr>
        <w:hidden/>
      </w:tr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rPr>
        <w:hidden/>
      </w:tr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rPr>
        <w:hidden/>
      </w:trPr>
      <w:tcPr>
        <w:tcBorders>
          <w:left w:val="nil"/>
          <w:right w:val="nil"/>
          <w:insideH w:val="nil"/>
          <w:insideV w:val="nil"/>
        </w:tcBorders>
        <w:shd w:val="clear" w:color="auto" w:fill="DFD8E8" w:themeFill="accent4" w:themeFillTint="3F"/>
      </w:tcPr>
    </w:tblStylePr>
    <w:tblStylePr w:type="band1Horz">
      <w:tblPr/>
      <w:trPr>
        <w:hidden/>
      </w:tr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2D66D8"/>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rPr>
      <w:hidden/>
    </w:trPr>
    <w:tblStylePr w:type="firstRow">
      <w:pPr>
        <w:spacing w:before="0" w:after="0" w:line="240" w:lineRule="auto"/>
      </w:pPr>
      <w:rPr>
        <w:b/>
        <w:bCs/>
      </w:rPr>
      <w:tblPr/>
      <w:trPr>
        <w:hidden/>
      </w:tr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rPr>
        <w:hidden/>
      </w:tr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rPr>
        <w:hidden/>
      </w:trPr>
      <w:tcPr>
        <w:tcBorders>
          <w:left w:val="nil"/>
          <w:right w:val="nil"/>
          <w:insideH w:val="nil"/>
          <w:insideV w:val="nil"/>
        </w:tcBorders>
        <w:shd w:val="clear" w:color="auto" w:fill="D2EAF1" w:themeFill="accent5" w:themeFillTint="3F"/>
      </w:tcPr>
    </w:tblStylePr>
    <w:tblStylePr w:type="band1Horz">
      <w:tblPr/>
      <w:trPr>
        <w:hidden/>
      </w:tr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2D66D8"/>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rPr>
      <w:hidden/>
    </w:trPr>
    <w:tblStylePr w:type="firstRow">
      <w:pPr>
        <w:spacing w:before="0" w:after="0" w:line="240" w:lineRule="auto"/>
      </w:pPr>
      <w:rPr>
        <w:b/>
        <w:bCs/>
      </w:rPr>
      <w:tblPr/>
      <w:trPr>
        <w:hidden/>
      </w:tr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rPr>
        <w:hidden/>
      </w:tr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rPr>
        <w:hidden/>
      </w:trPr>
      <w:tcPr>
        <w:tcBorders>
          <w:left w:val="nil"/>
          <w:right w:val="nil"/>
          <w:insideH w:val="nil"/>
          <w:insideV w:val="nil"/>
        </w:tcBorders>
        <w:shd w:val="clear" w:color="auto" w:fill="FDE4D0" w:themeFill="accent6" w:themeFillTint="3F"/>
      </w:tcPr>
    </w:tblStylePr>
    <w:tblStylePr w:type="band1Horz">
      <w:tblPr/>
      <w:trPr>
        <w:hidden/>
      </w:tr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semiHidden/>
    <w:unhideWhenUsed/>
    <w:rsid w:val="002D66D8"/>
  </w:style>
  <w:style w:type="paragraph" w:styleId="List">
    <w:name w:val="List"/>
    <w:basedOn w:val="Normal"/>
    <w:semiHidden/>
    <w:unhideWhenUsed/>
    <w:rsid w:val="002D66D8"/>
    <w:pPr>
      <w:ind w:left="360" w:hanging="360"/>
      <w:contextualSpacing/>
    </w:pPr>
  </w:style>
  <w:style w:type="paragraph" w:styleId="List2">
    <w:name w:val="List 2"/>
    <w:basedOn w:val="Normal"/>
    <w:semiHidden/>
    <w:unhideWhenUsed/>
    <w:rsid w:val="002D66D8"/>
    <w:pPr>
      <w:ind w:left="720" w:hanging="360"/>
      <w:contextualSpacing/>
    </w:pPr>
  </w:style>
  <w:style w:type="paragraph" w:styleId="List3">
    <w:name w:val="List 3"/>
    <w:basedOn w:val="Normal"/>
    <w:semiHidden/>
    <w:unhideWhenUsed/>
    <w:rsid w:val="002D66D8"/>
    <w:pPr>
      <w:ind w:left="1080" w:hanging="360"/>
      <w:contextualSpacing/>
    </w:pPr>
  </w:style>
  <w:style w:type="paragraph" w:styleId="ListBullet3">
    <w:name w:val="List Bullet 3"/>
    <w:basedOn w:val="Normal"/>
    <w:semiHidden/>
    <w:unhideWhenUsed/>
    <w:rsid w:val="002D66D8"/>
    <w:pPr>
      <w:numPr>
        <w:numId w:val="10"/>
      </w:numPr>
      <w:contextualSpacing/>
    </w:pPr>
  </w:style>
  <w:style w:type="paragraph" w:styleId="ListBullet4">
    <w:name w:val="List Bullet 4"/>
    <w:basedOn w:val="Normal"/>
    <w:semiHidden/>
    <w:unhideWhenUsed/>
    <w:rsid w:val="002D66D8"/>
    <w:pPr>
      <w:numPr>
        <w:numId w:val="11"/>
      </w:numPr>
      <w:contextualSpacing/>
    </w:pPr>
  </w:style>
  <w:style w:type="paragraph" w:styleId="ListBullet5">
    <w:name w:val="List Bullet 5"/>
    <w:basedOn w:val="Normal"/>
    <w:semiHidden/>
    <w:unhideWhenUsed/>
    <w:rsid w:val="002D66D8"/>
    <w:pPr>
      <w:numPr>
        <w:numId w:val="12"/>
      </w:numPr>
      <w:contextualSpacing/>
    </w:pPr>
  </w:style>
  <w:style w:type="paragraph" w:styleId="ListContinue">
    <w:name w:val="List Continue"/>
    <w:basedOn w:val="Normal"/>
    <w:semiHidden/>
    <w:unhideWhenUsed/>
    <w:rsid w:val="002D66D8"/>
    <w:pPr>
      <w:ind w:left="360"/>
      <w:contextualSpacing/>
    </w:pPr>
  </w:style>
  <w:style w:type="paragraph" w:styleId="ListContinue2">
    <w:name w:val="List Continue 2"/>
    <w:basedOn w:val="Normal"/>
    <w:semiHidden/>
    <w:unhideWhenUsed/>
    <w:rsid w:val="002D66D8"/>
    <w:pPr>
      <w:ind w:left="720"/>
      <w:contextualSpacing/>
    </w:pPr>
  </w:style>
  <w:style w:type="paragraph" w:styleId="ListContinue3">
    <w:name w:val="List Continue 3"/>
    <w:basedOn w:val="Normal"/>
    <w:semiHidden/>
    <w:unhideWhenUsed/>
    <w:rsid w:val="002D66D8"/>
    <w:pPr>
      <w:ind w:left="1080"/>
      <w:contextualSpacing/>
    </w:pPr>
  </w:style>
  <w:style w:type="paragraph" w:styleId="ListContinue4">
    <w:name w:val="List Continue 4"/>
    <w:basedOn w:val="Normal"/>
    <w:semiHidden/>
    <w:unhideWhenUsed/>
    <w:rsid w:val="002D66D8"/>
    <w:pPr>
      <w:ind w:left="1440"/>
      <w:contextualSpacing/>
    </w:pPr>
  </w:style>
  <w:style w:type="paragraph" w:styleId="ListContinue5">
    <w:name w:val="List Continue 5"/>
    <w:basedOn w:val="Normal"/>
    <w:semiHidden/>
    <w:unhideWhenUsed/>
    <w:rsid w:val="002D66D8"/>
    <w:pPr>
      <w:ind w:left="1800"/>
      <w:contextualSpacing/>
    </w:pPr>
  </w:style>
  <w:style w:type="paragraph" w:styleId="ListNumber2">
    <w:name w:val="List Number 2"/>
    <w:basedOn w:val="Normal"/>
    <w:semiHidden/>
    <w:unhideWhenUsed/>
    <w:rsid w:val="002D66D8"/>
    <w:pPr>
      <w:numPr>
        <w:numId w:val="14"/>
      </w:numPr>
      <w:contextualSpacing/>
    </w:pPr>
  </w:style>
  <w:style w:type="paragraph" w:styleId="ListNumber3">
    <w:name w:val="List Number 3"/>
    <w:basedOn w:val="Normal"/>
    <w:semiHidden/>
    <w:unhideWhenUsed/>
    <w:rsid w:val="002D66D8"/>
    <w:pPr>
      <w:numPr>
        <w:numId w:val="15"/>
      </w:numPr>
      <w:contextualSpacing/>
    </w:pPr>
  </w:style>
  <w:style w:type="paragraph" w:styleId="ListNumber4">
    <w:name w:val="List Number 4"/>
    <w:basedOn w:val="Normal"/>
    <w:semiHidden/>
    <w:unhideWhenUsed/>
    <w:rsid w:val="002D66D8"/>
    <w:pPr>
      <w:numPr>
        <w:numId w:val="16"/>
      </w:numPr>
      <w:contextualSpacing/>
    </w:pPr>
  </w:style>
  <w:style w:type="paragraph" w:styleId="ListNumber5">
    <w:name w:val="List Number 5"/>
    <w:basedOn w:val="Normal"/>
    <w:semiHidden/>
    <w:unhideWhenUsed/>
    <w:rsid w:val="002D66D8"/>
    <w:pPr>
      <w:numPr>
        <w:numId w:val="17"/>
      </w:numPr>
      <w:contextualSpacing/>
    </w:pPr>
  </w:style>
  <w:style w:type="paragraph" w:styleId="MacroText">
    <w:name w:val="macro"/>
    <w:link w:val="MacroTextChar"/>
    <w:semiHidden/>
    <w:unhideWhenUsed/>
    <w:rsid w:val="002D66D8"/>
    <w:pPr>
      <w:tabs>
        <w:tab w:val="left" w:pos="480"/>
        <w:tab w:val="left" w:pos="960"/>
        <w:tab w:val="left" w:pos="1440"/>
        <w:tab w:val="left" w:pos="1920"/>
        <w:tab w:val="left" w:pos="2400"/>
        <w:tab w:val="left" w:pos="2880"/>
        <w:tab w:val="left" w:pos="3360"/>
        <w:tab w:val="left" w:pos="3840"/>
        <w:tab w:val="left" w:pos="4320"/>
      </w:tabs>
      <w:spacing w:before="120" w:line="280" w:lineRule="atLeast"/>
    </w:pPr>
    <w:rPr>
      <w:rFonts w:ascii="Consolas" w:eastAsia="Calibri" w:hAnsi="Consolas" w:cs="Consolas"/>
    </w:rPr>
  </w:style>
  <w:style w:type="character" w:customStyle="1" w:styleId="MacroTextChar">
    <w:name w:val="Macro Text Char"/>
    <w:basedOn w:val="DefaultParagraphFont"/>
    <w:link w:val="MacroText"/>
    <w:semiHidden/>
    <w:rsid w:val="002D66D8"/>
    <w:rPr>
      <w:rFonts w:ascii="Consolas" w:eastAsia="Calibri" w:hAnsi="Consolas" w:cs="Consolas"/>
    </w:rPr>
  </w:style>
  <w:style w:type="table" w:styleId="MediumGrid1">
    <w:name w:val="Medium Grid 1"/>
    <w:basedOn w:val="TableNormal"/>
    <w:uiPriority w:val="67"/>
    <w:rsid w:val="002D66D8"/>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rPr>
      <w:hidden/>
    </w:trPr>
    <w:tcPr>
      <w:shd w:val="clear" w:color="auto" w:fill="C0C0C0" w:themeFill="text1" w:themeFillTint="3F"/>
    </w:tcPr>
    <w:tblStylePr w:type="firstRow">
      <w:rPr>
        <w:b/>
        <w:bCs/>
      </w:rPr>
    </w:tblStylePr>
    <w:tblStylePr w:type="lastRow">
      <w:rPr>
        <w:b/>
        <w:bCs/>
      </w:rPr>
      <w:tblPr/>
      <w:trPr>
        <w:hidden/>
      </w:trPr>
      <w:tcPr>
        <w:tcBorders>
          <w:top w:val="single" w:sz="18" w:space="0" w:color="404040" w:themeColor="text1" w:themeTint="BF"/>
        </w:tcBorders>
      </w:tcPr>
    </w:tblStylePr>
    <w:tblStylePr w:type="firstCol">
      <w:rPr>
        <w:b/>
        <w:bCs/>
      </w:rPr>
    </w:tblStylePr>
    <w:tblStylePr w:type="lastCol">
      <w:rPr>
        <w:b/>
        <w:bCs/>
      </w:rPr>
    </w:tblStylePr>
    <w:tblStylePr w:type="band1Vert">
      <w:tblPr/>
      <w:trPr>
        <w:hidden/>
      </w:trPr>
      <w:tcPr>
        <w:shd w:val="clear" w:color="auto" w:fill="808080" w:themeFill="text1" w:themeFillTint="7F"/>
      </w:tcPr>
    </w:tblStylePr>
    <w:tblStylePr w:type="band1Horz">
      <w:tblPr/>
      <w:trPr>
        <w:hidden/>
      </w:trPr>
      <w:tcPr>
        <w:shd w:val="clear" w:color="auto" w:fill="808080" w:themeFill="text1" w:themeFillTint="7F"/>
      </w:tcPr>
    </w:tblStylePr>
  </w:style>
  <w:style w:type="table" w:styleId="MediumGrid1-Accent1">
    <w:name w:val="Medium Grid 1 Accent 1"/>
    <w:basedOn w:val="TableNormal"/>
    <w:uiPriority w:val="67"/>
    <w:rsid w:val="002D66D8"/>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rPr>
      <w:hidden/>
    </w:trPr>
    <w:tcPr>
      <w:shd w:val="clear" w:color="auto" w:fill="D3DFEE" w:themeFill="accent1" w:themeFillTint="3F"/>
    </w:tcPr>
    <w:tblStylePr w:type="firstRow">
      <w:rPr>
        <w:b/>
        <w:bCs/>
      </w:rPr>
    </w:tblStylePr>
    <w:tblStylePr w:type="lastRow">
      <w:rPr>
        <w:b/>
        <w:bCs/>
      </w:rPr>
      <w:tblPr/>
      <w:trPr>
        <w:hidden/>
      </w:trPr>
      <w:tcPr>
        <w:tcBorders>
          <w:top w:val="single" w:sz="18" w:space="0" w:color="7BA0CD" w:themeColor="accent1" w:themeTint="BF"/>
        </w:tcBorders>
      </w:tcPr>
    </w:tblStylePr>
    <w:tblStylePr w:type="firstCol">
      <w:rPr>
        <w:b/>
        <w:bCs/>
      </w:rPr>
    </w:tblStylePr>
    <w:tblStylePr w:type="lastCol">
      <w:rPr>
        <w:b/>
        <w:bCs/>
      </w:rPr>
    </w:tblStylePr>
    <w:tblStylePr w:type="band1Vert">
      <w:tblPr/>
      <w:trPr>
        <w:hidden/>
      </w:trPr>
      <w:tcPr>
        <w:shd w:val="clear" w:color="auto" w:fill="A7BFDE" w:themeFill="accent1" w:themeFillTint="7F"/>
      </w:tcPr>
    </w:tblStylePr>
    <w:tblStylePr w:type="band1Horz">
      <w:tblPr/>
      <w:trPr>
        <w:hidden/>
      </w:trPr>
      <w:tcPr>
        <w:shd w:val="clear" w:color="auto" w:fill="A7BFDE" w:themeFill="accent1" w:themeFillTint="7F"/>
      </w:tcPr>
    </w:tblStylePr>
  </w:style>
  <w:style w:type="table" w:styleId="MediumGrid1-Accent2">
    <w:name w:val="Medium Grid 1 Accent 2"/>
    <w:basedOn w:val="TableNormal"/>
    <w:uiPriority w:val="67"/>
    <w:rsid w:val="002D66D8"/>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rPr>
      <w:hidden/>
    </w:trPr>
    <w:tcPr>
      <w:shd w:val="clear" w:color="auto" w:fill="EFD3D2" w:themeFill="accent2" w:themeFillTint="3F"/>
    </w:tcPr>
    <w:tblStylePr w:type="firstRow">
      <w:rPr>
        <w:b/>
        <w:bCs/>
      </w:rPr>
    </w:tblStylePr>
    <w:tblStylePr w:type="lastRow">
      <w:rPr>
        <w:b/>
        <w:bCs/>
      </w:rPr>
      <w:tblPr/>
      <w:trPr>
        <w:hidden/>
      </w:trPr>
      <w:tcPr>
        <w:tcBorders>
          <w:top w:val="single" w:sz="18" w:space="0" w:color="CF7B79" w:themeColor="accent2" w:themeTint="BF"/>
        </w:tcBorders>
      </w:tcPr>
    </w:tblStylePr>
    <w:tblStylePr w:type="firstCol">
      <w:rPr>
        <w:b/>
        <w:bCs/>
      </w:rPr>
    </w:tblStylePr>
    <w:tblStylePr w:type="lastCol">
      <w:rPr>
        <w:b/>
        <w:bCs/>
      </w:rPr>
    </w:tblStylePr>
    <w:tblStylePr w:type="band1Vert">
      <w:tblPr/>
      <w:trPr>
        <w:hidden/>
      </w:trPr>
      <w:tcPr>
        <w:shd w:val="clear" w:color="auto" w:fill="DFA7A6" w:themeFill="accent2" w:themeFillTint="7F"/>
      </w:tcPr>
    </w:tblStylePr>
    <w:tblStylePr w:type="band1Horz">
      <w:tblPr/>
      <w:trPr>
        <w:hidden/>
      </w:trPr>
      <w:tcPr>
        <w:shd w:val="clear" w:color="auto" w:fill="DFA7A6" w:themeFill="accent2" w:themeFillTint="7F"/>
      </w:tcPr>
    </w:tblStylePr>
  </w:style>
  <w:style w:type="table" w:styleId="MediumGrid1-Accent3">
    <w:name w:val="Medium Grid 1 Accent 3"/>
    <w:basedOn w:val="TableNormal"/>
    <w:uiPriority w:val="67"/>
    <w:rsid w:val="002D66D8"/>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rPr>
      <w:hidden/>
    </w:trPr>
    <w:tcPr>
      <w:shd w:val="clear" w:color="auto" w:fill="E6EED5" w:themeFill="accent3" w:themeFillTint="3F"/>
    </w:tcPr>
    <w:tblStylePr w:type="firstRow">
      <w:rPr>
        <w:b/>
        <w:bCs/>
      </w:rPr>
    </w:tblStylePr>
    <w:tblStylePr w:type="lastRow">
      <w:rPr>
        <w:b/>
        <w:bCs/>
      </w:rPr>
      <w:tblPr/>
      <w:trPr>
        <w:hidden/>
      </w:trPr>
      <w:tcPr>
        <w:tcBorders>
          <w:top w:val="single" w:sz="18" w:space="0" w:color="B3CC82" w:themeColor="accent3" w:themeTint="BF"/>
        </w:tcBorders>
      </w:tcPr>
    </w:tblStylePr>
    <w:tblStylePr w:type="firstCol">
      <w:rPr>
        <w:b/>
        <w:bCs/>
      </w:rPr>
    </w:tblStylePr>
    <w:tblStylePr w:type="lastCol">
      <w:rPr>
        <w:b/>
        <w:bCs/>
      </w:rPr>
    </w:tblStylePr>
    <w:tblStylePr w:type="band1Vert">
      <w:tblPr/>
      <w:trPr>
        <w:hidden/>
      </w:trPr>
      <w:tcPr>
        <w:shd w:val="clear" w:color="auto" w:fill="CDDDAC" w:themeFill="accent3" w:themeFillTint="7F"/>
      </w:tcPr>
    </w:tblStylePr>
    <w:tblStylePr w:type="band1Horz">
      <w:tblPr/>
      <w:trPr>
        <w:hidden/>
      </w:trPr>
      <w:tcPr>
        <w:shd w:val="clear" w:color="auto" w:fill="CDDDAC" w:themeFill="accent3" w:themeFillTint="7F"/>
      </w:tcPr>
    </w:tblStylePr>
  </w:style>
  <w:style w:type="table" w:styleId="MediumGrid1-Accent4">
    <w:name w:val="Medium Grid 1 Accent 4"/>
    <w:basedOn w:val="TableNormal"/>
    <w:uiPriority w:val="67"/>
    <w:rsid w:val="002D66D8"/>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rPr>
      <w:hidden/>
    </w:trPr>
    <w:tcPr>
      <w:shd w:val="clear" w:color="auto" w:fill="DFD8E8" w:themeFill="accent4" w:themeFillTint="3F"/>
    </w:tcPr>
    <w:tblStylePr w:type="firstRow">
      <w:rPr>
        <w:b/>
        <w:bCs/>
      </w:rPr>
    </w:tblStylePr>
    <w:tblStylePr w:type="lastRow">
      <w:rPr>
        <w:b/>
        <w:bCs/>
      </w:rPr>
      <w:tblPr/>
      <w:trPr>
        <w:hidden/>
      </w:trPr>
      <w:tcPr>
        <w:tcBorders>
          <w:top w:val="single" w:sz="18" w:space="0" w:color="9F8AB9" w:themeColor="accent4" w:themeTint="BF"/>
        </w:tcBorders>
      </w:tcPr>
    </w:tblStylePr>
    <w:tblStylePr w:type="firstCol">
      <w:rPr>
        <w:b/>
        <w:bCs/>
      </w:rPr>
    </w:tblStylePr>
    <w:tblStylePr w:type="lastCol">
      <w:rPr>
        <w:b/>
        <w:bCs/>
      </w:rPr>
    </w:tblStylePr>
    <w:tblStylePr w:type="band1Vert">
      <w:tblPr/>
      <w:trPr>
        <w:hidden/>
      </w:trPr>
      <w:tcPr>
        <w:shd w:val="clear" w:color="auto" w:fill="BFB1D0" w:themeFill="accent4" w:themeFillTint="7F"/>
      </w:tcPr>
    </w:tblStylePr>
    <w:tblStylePr w:type="band1Horz">
      <w:tblPr/>
      <w:trPr>
        <w:hidden/>
      </w:trPr>
      <w:tcPr>
        <w:shd w:val="clear" w:color="auto" w:fill="BFB1D0" w:themeFill="accent4" w:themeFillTint="7F"/>
      </w:tcPr>
    </w:tblStylePr>
  </w:style>
  <w:style w:type="table" w:styleId="MediumGrid1-Accent5">
    <w:name w:val="Medium Grid 1 Accent 5"/>
    <w:basedOn w:val="TableNormal"/>
    <w:uiPriority w:val="67"/>
    <w:rsid w:val="002D66D8"/>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rPr>
      <w:hidden/>
    </w:trPr>
    <w:tcPr>
      <w:shd w:val="clear" w:color="auto" w:fill="D2EAF1" w:themeFill="accent5" w:themeFillTint="3F"/>
    </w:tcPr>
    <w:tblStylePr w:type="firstRow">
      <w:rPr>
        <w:b/>
        <w:bCs/>
      </w:rPr>
    </w:tblStylePr>
    <w:tblStylePr w:type="lastRow">
      <w:rPr>
        <w:b/>
        <w:bCs/>
      </w:rPr>
      <w:tblPr/>
      <w:trPr>
        <w:hidden/>
      </w:trPr>
      <w:tcPr>
        <w:tcBorders>
          <w:top w:val="single" w:sz="18" w:space="0" w:color="78C0D4" w:themeColor="accent5" w:themeTint="BF"/>
        </w:tcBorders>
      </w:tcPr>
    </w:tblStylePr>
    <w:tblStylePr w:type="firstCol">
      <w:rPr>
        <w:b/>
        <w:bCs/>
      </w:rPr>
    </w:tblStylePr>
    <w:tblStylePr w:type="lastCol">
      <w:rPr>
        <w:b/>
        <w:bCs/>
      </w:rPr>
    </w:tblStylePr>
    <w:tblStylePr w:type="band1Vert">
      <w:tblPr/>
      <w:trPr>
        <w:hidden/>
      </w:trPr>
      <w:tcPr>
        <w:shd w:val="clear" w:color="auto" w:fill="A5D5E2" w:themeFill="accent5" w:themeFillTint="7F"/>
      </w:tcPr>
    </w:tblStylePr>
    <w:tblStylePr w:type="band1Horz">
      <w:tblPr/>
      <w:trPr>
        <w:hidden/>
      </w:trPr>
      <w:tcPr>
        <w:shd w:val="clear" w:color="auto" w:fill="A5D5E2" w:themeFill="accent5" w:themeFillTint="7F"/>
      </w:tcPr>
    </w:tblStylePr>
  </w:style>
  <w:style w:type="table" w:styleId="MediumGrid1-Accent6">
    <w:name w:val="Medium Grid 1 Accent 6"/>
    <w:basedOn w:val="TableNormal"/>
    <w:uiPriority w:val="67"/>
    <w:rsid w:val="002D66D8"/>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rPr>
      <w:hidden/>
    </w:trPr>
    <w:tcPr>
      <w:shd w:val="clear" w:color="auto" w:fill="FDE4D0" w:themeFill="accent6" w:themeFillTint="3F"/>
    </w:tcPr>
    <w:tblStylePr w:type="firstRow">
      <w:rPr>
        <w:b/>
        <w:bCs/>
      </w:rPr>
    </w:tblStylePr>
    <w:tblStylePr w:type="lastRow">
      <w:rPr>
        <w:b/>
        <w:bCs/>
      </w:rPr>
      <w:tblPr/>
      <w:trPr>
        <w:hidden/>
      </w:trPr>
      <w:tcPr>
        <w:tcBorders>
          <w:top w:val="single" w:sz="18" w:space="0" w:color="F9B074" w:themeColor="accent6" w:themeTint="BF"/>
        </w:tcBorders>
      </w:tcPr>
    </w:tblStylePr>
    <w:tblStylePr w:type="firstCol">
      <w:rPr>
        <w:b/>
        <w:bCs/>
      </w:rPr>
    </w:tblStylePr>
    <w:tblStylePr w:type="lastCol">
      <w:rPr>
        <w:b/>
        <w:bCs/>
      </w:rPr>
    </w:tblStylePr>
    <w:tblStylePr w:type="band1Vert">
      <w:tblPr/>
      <w:trPr>
        <w:hidden/>
      </w:trPr>
      <w:tcPr>
        <w:shd w:val="clear" w:color="auto" w:fill="FBCAA2" w:themeFill="accent6" w:themeFillTint="7F"/>
      </w:tcPr>
    </w:tblStylePr>
    <w:tblStylePr w:type="band1Horz">
      <w:tblPr/>
      <w:trPr>
        <w:hidden/>
      </w:trPr>
      <w:tcPr>
        <w:shd w:val="clear" w:color="auto" w:fill="FBCAA2" w:themeFill="accent6" w:themeFillTint="7F"/>
      </w:tcPr>
    </w:tblStylePr>
  </w:style>
  <w:style w:type="table" w:styleId="MediumGrid2">
    <w:name w:val="Medium Grid 2"/>
    <w:basedOn w:val="TableNormal"/>
    <w:uiPriority w:val="68"/>
    <w:rsid w:val="002D66D8"/>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rPr>
      <w:hidden/>
    </w:trPr>
    <w:tcPr>
      <w:shd w:val="clear" w:color="auto" w:fill="C0C0C0" w:themeFill="text1" w:themeFillTint="3F"/>
    </w:tcPr>
    <w:tblStylePr w:type="firstRow">
      <w:rPr>
        <w:b/>
        <w:bCs/>
        <w:color w:val="000000" w:themeColor="text1"/>
      </w:rPr>
      <w:tblPr/>
      <w:trPr>
        <w:hidden/>
      </w:trPr>
      <w:tcPr>
        <w:shd w:val="clear" w:color="auto" w:fill="E6E6E6" w:themeFill="text1" w:themeFillTint="19"/>
      </w:tcPr>
    </w:tblStylePr>
    <w:tblStylePr w:type="lastRow">
      <w:rPr>
        <w:b/>
        <w:bCs/>
        <w:color w:val="000000" w:themeColor="text1"/>
      </w:rPr>
      <w:tblPr/>
      <w:trPr>
        <w:hidden/>
      </w:tr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rPr>
        <w:hidden/>
      </w:t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rPr>
        <w:hidden/>
      </w:trPr>
      <w:tcPr>
        <w:tcBorders>
          <w:top w:val="nil"/>
          <w:left w:val="nil"/>
          <w:bottom w:val="nil"/>
          <w:right w:val="nil"/>
          <w:insideH w:val="nil"/>
          <w:insideV w:val="nil"/>
        </w:tcBorders>
        <w:shd w:val="clear" w:color="auto" w:fill="CCCCCC" w:themeFill="text1" w:themeFillTint="33"/>
      </w:tcPr>
    </w:tblStylePr>
    <w:tblStylePr w:type="band1Vert">
      <w:tblPr/>
      <w:trPr>
        <w:hidden/>
      </w:trPr>
      <w:tcPr>
        <w:shd w:val="clear" w:color="auto" w:fill="808080" w:themeFill="text1" w:themeFillTint="7F"/>
      </w:tcPr>
    </w:tblStylePr>
    <w:tblStylePr w:type="band1Horz">
      <w:tblPr/>
      <w:trPr>
        <w:hidden/>
      </w:trPr>
      <w:tcPr>
        <w:tcBorders>
          <w:insideH w:val="single" w:sz="6" w:space="0" w:color="000000" w:themeColor="text1"/>
          <w:insideV w:val="single" w:sz="6" w:space="0" w:color="000000" w:themeColor="text1"/>
        </w:tcBorders>
        <w:shd w:val="clear" w:color="auto" w:fill="808080" w:themeFill="text1" w:themeFillTint="7F"/>
      </w:tcPr>
    </w:tblStylePr>
    <w:tblStylePr w:type="nwCell">
      <w:tblPr/>
      <w:trPr>
        <w:hidden/>
      </w:trPr>
      <w:tcPr>
        <w:shd w:val="clear" w:color="auto" w:fill="FFFFFF" w:themeFill="background1"/>
      </w:tcPr>
    </w:tblStylePr>
  </w:style>
  <w:style w:type="table" w:styleId="MediumGrid2-Accent1">
    <w:name w:val="Medium Grid 2 Accent 1"/>
    <w:basedOn w:val="TableNormal"/>
    <w:uiPriority w:val="68"/>
    <w:rsid w:val="002D66D8"/>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rPr>
      <w:hidden/>
    </w:trPr>
    <w:tcPr>
      <w:shd w:val="clear" w:color="auto" w:fill="D3DFEE" w:themeFill="accent1" w:themeFillTint="3F"/>
    </w:tcPr>
    <w:tblStylePr w:type="firstRow">
      <w:rPr>
        <w:b/>
        <w:bCs/>
        <w:color w:val="000000" w:themeColor="text1"/>
      </w:rPr>
      <w:tblPr/>
      <w:trPr>
        <w:hidden/>
      </w:trPr>
      <w:tcPr>
        <w:shd w:val="clear" w:color="auto" w:fill="EDF2F8" w:themeFill="accent1" w:themeFillTint="19"/>
      </w:tcPr>
    </w:tblStylePr>
    <w:tblStylePr w:type="lastRow">
      <w:rPr>
        <w:b/>
        <w:bCs/>
        <w:color w:val="000000" w:themeColor="text1"/>
      </w:rPr>
      <w:tblPr/>
      <w:trPr>
        <w:hidden/>
      </w:tr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rPr>
        <w:hidden/>
      </w:t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rPr>
        <w:hidden/>
      </w:trPr>
      <w:tcPr>
        <w:tcBorders>
          <w:top w:val="nil"/>
          <w:left w:val="nil"/>
          <w:bottom w:val="nil"/>
          <w:right w:val="nil"/>
          <w:insideH w:val="nil"/>
          <w:insideV w:val="nil"/>
        </w:tcBorders>
        <w:shd w:val="clear" w:color="auto" w:fill="DBE5F1" w:themeFill="accent1" w:themeFillTint="33"/>
      </w:tcPr>
    </w:tblStylePr>
    <w:tblStylePr w:type="band1Vert">
      <w:tblPr/>
      <w:trPr>
        <w:hidden/>
      </w:trPr>
      <w:tcPr>
        <w:shd w:val="clear" w:color="auto" w:fill="A7BFDE" w:themeFill="accent1" w:themeFillTint="7F"/>
      </w:tcPr>
    </w:tblStylePr>
    <w:tblStylePr w:type="band1Horz">
      <w:tblPr/>
      <w:trPr>
        <w:hidden/>
      </w:tr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rPr>
        <w:hidden/>
      </w:trPr>
      <w:tcPr>
        <w:shd w:val="clear" w:color="auto" w:fill="FFFFFF" w:themeFill="background1"/>
      </w:tcPr>
    </w:tblStylePr>
  </w:style>
  <w:style w:type="table" w:styleId="MediumGrid2-Accent2">
    <w:name w:val="Medium Grid 2 Accent 2"/>
    <w:basedOn w:val="TableNormal"/>
    <w:uiPriority w:val="68"/>
    <w:rsid w:val="002D66D8"/>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rPr>
      <w:hidden/>
    </w:trPr>
    <w:tcPr>
      <w:shd w:val="clear" w:color="auto" w:fill="EFD3D2" w:themeFill="accent2" w:themeFillTint="3F"/>
    </w:tcPr>
    <w:tblStylePr w:type="firstRow">
      <w:rPr>
        <w:b/>
        <w:bCs/>
        <w:color w:val="000000" w:themeColor="text1"/>
      </w:rPr>
      <w:tblPr/>
      <w:trPr>
        <w:hidden/>
      </w:trPr>
      <w:tcPr>
        <w:shd w:val="clear" w:color="auto" w:fill="F8EDED" w:themeFill="accent2" w:themeFillTint="19"/>
      </w:tcPr>
    </w:tblStylePr>
    <w:tblStylePr w:type="lastRow">
      <w:rPr>
        <w:b/>
        <w:bCs/>
        <w:color w:val="000000" w:themeColor="text1"/>
      </w:rPr>
      <w:tblPr/>
      <w:trPr>
        <w:hidden/>
      </w:tr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rPr>
        <w:hidden/>
      </w:t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rPr>
        <w:hidden/>
      </w:trPr>
      <w:tcPr>
        <w:tcBorders>
          <w:top w:val="nil"/>
          <w:left w:val="nil"/>
          <w:bottom w:val="nil"/>
          <w:right w:val="nil"/>
          <w:insideH w:val="nil"/>
          <w:insideV w:val="nil"/>
        </w:tcBorders>
        <w:shd w:val="clear" w:color="auto" w:fill="F2DBDB" w:themeFill="accent2" w:themeFillTint="33"/>
      </w:tcPr>
    </w:tblStylePr>
    <w:tblStylePr w:type="band1Vert">
      <w:tblPr/>
      <w:trPr>
        <w:hidden/>
      </w:trPr>
      <w:tcPr>
        <w:shd w:val="clear" w:color="auto" w:fill="DFA7A6" w:themeFill="accent2" w:themeFillTint="7F"/>
      </w:tcPr>
    </w:tblStylePr>
    <w:tblStylePr w:type="band1Horz">
      <w:tblPr/>
      <w:trPr>
        <w:hidden/>
      </w:tr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rPr>
        <w:hidden/>
      </w:trPr>
      <w:tcPr>
        <w:shd w:val="clear" w:color="auto" w:fill="FFFFFF" w:themeFill="background1"/>
      </w:tcPr>
    </w:tblStylePr>
  </w:style>
  <w:style w:type="table" w:styleId="MediumGrid2-Accent3">
    <w:name w:val="Medium Grid 2 Accent 3"/>
    <w:basedOn w:val="TableNormal"/>
    <w:uiPriority w:val="68"/>
    <w:rsid w:val="002D66D8"/>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rPr>
      <w:hidden/>
    </w:trPr>
    <w:tcPr>
      <w:shd w:val="clear" w:color="auto" w:fill="E6EED5" w:themeFill="accent3" w:themeFillTint="3F"/>
    </w:tcPr>
    <w:tblStylePr w:type="firstRow">
      <w:rPr>
        <w:b/>
        <w:bCs/>
        <w:color w:val="000000" w:themeColor="text1"/>
      </w:rPr>
      <w:tblPr/>
      <w:trPr>
        <w:hidden/>
      </w:trPr>
      <w:tcPr>
        <w:shd w:val="clear" w:color="auto" w:fill="F5F8EE" w:themeFill="accent3" w:themeFillTint="19"/>
      </w:tcPr>
    </w:tblStylePr>
    <w:tblStylePr w:type="lastRow">
      <w:rPr>
        <w:b/>
        <w:bCs/>
        <w:color w:val="000000" w:themeColor="text1"/>
      </w:rPr>
      <w:tblPr/>
      <w:trPr>
        <w:hidden/>
      </w:tr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rPr>
        <w:hidden/>
      </w:t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rPr>
        <w:hidden/>
      </w:trPr>
      <w:tcPr>
        <w:tcBorders>
          <w:top w:val="nil"/>
          <w:left w:val="nil"/>
          <w:bottom w:val="nil"/>
          <w:right w:val="nil"/>
          <w:insideH w:val="nil"/>
          <w:insideV w:val="nil"/>
        </w:tcBorders>
        <w:shd w:val="clear" w:color="auto" w:fill="EAF1DD" w:themeFill="accent3" w:themeFillTint="33"/>
      </w:tcPr>
    </w:tblStylePr>
    <w:tblStylePr w:type="band1Vert">
      <w:tblPr/>
      <w:trPr>
        <w:hidden/>
      </w:trPr>
      <w:tcPr>
        <w:shd w:val="clear" w:color="auto" w:fill="CDDDAC" w:themeFill="accent3" w:themeFillTint="7F"/>
      </w:tcPr>
    </w:tblStylePr>
    <w:tblStylePr w:type="band1Horz">
      <w:tblPr/>
      <w:trPr>
        <w:hidden/>
      </w:tr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rPr>
        <w:hidden/>
      </w:trPr>
      <w:tcPr>
        <w:shd w:val="clear" w:color="auto" w:fill="FFFFFF" w:themeFill="background1"/>
      </w:tcPr>
    </w:tblStylePr>
  </w:style>
  <w:style w:type="table" w:styleId="MediumGrid2-Accent4">
    <w:name w:val="Medium Grid 2 Accent 4"/>
    <w:basedOn w:val="TableNormal"/>
    <w:uiPriority w:val="68"/>
    <w:rsid w:val="002D66D8"/>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rPr>
      <w:hidden/>
    </w:trPr>
    <w:tcPr>
      <w:shd w:val="clear" w:color="auto" w:fill="DFD8E8" w:themeFill="accent4" w:themeFillTint="3F"/>
    </w:tcPr>
    <w:tblStylePr w:type="firstRow">
      <w:rPr>
        <w:b/>
        <w:bCs/>
        <w:color w:val="000000" w:themeColor="text1"/>
      </w:rPr>
      <w:tblPr/>
      <w:trPr>
        <w:hidden/>
      </w:trPr>
      <w:tcPr>
        <w:shd w:val="clear" w:color="auto" w:fill="F2EFF6" w:themeFill="accent4" w:themeFillTint="19"/>
      </w:tcPr>
    </w:tblStylePr>
    <w:tblStylePr w:type="lastRow">
      <w:rPr>
        <w:b/>
        <w:bCs/>
        <w:color w:val="000000" w:themeColor="text1"/>
      </w:rPr>
      <w:tblPr/>
      <w:trPr>
        <w:hidden/>
      </w:tr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rPr>
        <w:hidden/>
      </w:t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rPr>
        <w:hidden/>
      </w:trPr>
      <w:tcPr>
        <w:tcBorders>
          <w:top w:val="nil"/>
          <w:left w:val="nil"/>
          <w:bottom w:val="nil"/>
          <w:right w:val="nil"/>
          <w:insideH w:val="nil"/>
          <w:insideV w:val="nil"/>
        </w:tcBorders>
        <w:shd w:val="clear" w:color="auto" w:fill="E5DFEC" w:themeFill="accent4" w:themeFillTint="33"/>
      </w:tcPr>
    </w:tblStylePr>
    <w:tblStylePr w:type="band1Vert">
      <w:tblPr/>
      <w:trPr>
        <w:hidden/>
      </w:trPr>
      <w:tcPr>
        <w:shd w:val="clear" w:color="auto" w:fill="BFB1D0" w:themeFill="accent4" w:themeFillTint="7F"/>
      </w:tcPr>
    </w:tblStylePr>
    <w:tblStylePr w:type="band1Horz">
      <w:tblPr/>
      <w:trPr>
        <w:hidden/>
      </w:tr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rPr>
        <w:hidden/>
      </w:trPr>
      <w:tcPr>
        <w:shd w:val="clear" w:color="auto" w:fill="FFFFFF" w:themeFill="background1"/>
      </w:tcPr>
    </w:tblStylePr>
  </w:style>
  <w:style w:type="table" w:styleId="MediumGrid2-Accent5">
    <w:name w:val="Medium Grid 2 Accent 5"/>
    <w:basedOn w:val="TableNormal"/>
    <w:uiPriority w:val="68"/>
    <w:rsid w:val="002D66D8"/>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rPr>
      <w:hidden/>
    </w:trPr>
    <w:tcPr>
      <w:shd w:val="clear" w:color="auto" w:fill="D2EAF1" w:themeFill="accent5" w:themeFillTint="3F"/>
    </w:tcPr>
    <w:tblStylePr w:type="firstRow">
      <w:rPr>
        <w:b/>
        <w:bCs/>
        <w:color w:val="000000" w:themeColor="text1"/>
      </w:rPr>
      <w:tblPr/>
      <w:trPr>
        <w:hidden/>
      </w:trPr>
      <w:tcPr>
        <w:shd w:val="clear" w:color="auto" w:fill="EDF6F9" w:themeFill="accent5" w:themeFillTint="19"/>
      </w:tcPr>
    </w:tblStylePr>
    <w:tblStylePr w:type="lastRow">
      <w:rPr>
        <w:b/>
        <w:bCs/>
        <w:color w:val="000000" w:themeColor="text1"/>
      </w:rPr>
      <w:tblPr/>
      <w:trPr>
        <w:hidden/>
      </w:tr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rPr>
        <w:hidden/>
      </w:t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rPr>
        <w:hidden/>
      </w:trPr>
      <w:tcPr>
        <w:tcBorders>
          <w:top w:val="nil"/>
          <w:left w:val="nil"/>
          <w:bottom w:val="nil"/>
          <w:right w:val="nil"/>
          <w:insideH w:val="nil"/>
          <w:insideV w:val="nil"/>
        </w:tcBorders>
        <w:shd w:val="clear" w:color="auto" w:fill="DAEEF3" w:themeFill="accent5" w:themeFillTint="33"/>
      </w:tcPr>
    </w:tblStylePr>
    <w:tblStylePr w:type="band1Vert">
      <w:tblPr/>
      <w:trPr>
        <w:hidden/>
      </w:trPr>
      <w:tcPr>
        <w:shd w:val="clear" w:color="auto" w:fill="A5D5E2" w:themeFill="accent5" w:themeFillTint="7F"/>
      </w:tcPr>
    </w:tblStylePr>
    <w:tblStylePr w:type="band1Horz">
      <w:tblPr/>
      <w:trPr>
        <w:hidden/>
      </w:tr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rPr>
        <w:hidden/>
      </w:trPr>
      <w:tcPr>
        <w:shd w:val="clear" w:color="auto" w:fill="FFFFFF" w:themeFill="background1"/>
      </w:tcPr>
    </w:tblStylePr>
  </w:style>
  <w:style w:type="table" w:styleId="MediumGrid2-Accent6">
    <w:name w:val="Medium Grid 2 Accent 6"/>
    <w:basedOn w:val="TableNormal"/>
    <w:uiPriority w:val="68"/>
    <w:rsid w:val="002D66D8"/>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rPr>
      <w:hidden/>
    </w:trPr>
    <w:tcPr>
      <w:shd w:val="clear" w:color="auto" w:fill="FDE4D0" w:themeFill="accent6" w:themeFillTint="3F"/>
    </w:tcPr>
    <w:tblStylePr w:type="firstRow">
      <w:rPr>
        <w:b/>
        <w:bCs/>
        <w:color w:val="000000" w:themeColor="text1"/>
      </w:rPr>
      <w:tblPr/>
      <w:trPr>
        <w:hidden/>
      </w:trPr>
      <w:tcPr>
        <w:shd w:val="clear" w:color="auto" w:fill="FEF4EC" w:themeFill="accent6" w:themeFillTint="19"/>
      </w:tcPr>
    </w:tblStylePr>
    <w:tblStylePr w:type="lastRow">
      <w:rPr>
        <w:b/>
        <w:bCs/>
        <w:color w:val="000000" w:themeColor="text1"/>
      </w:rPr>
      <w:tblPr/>
      <w:trPr>
        <w:hidden/>
      </w:tr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rPr>
        <w:hidden/>
      </w:t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rPr>
        <w:hidden/>
      </w:trPr>
      <w:tcPr>
        <w:tcBorders>
          <w:top w:val="nil"/>
          <w:left w:val="nil"/>
          <w:bottom w:val="nil"/>
          <w:right w:val="nil"/>
          <w:insideH w:val="nil"/>
          <w:insideV w:val="nil"/>
        </w:tcBorders>
        <w:shd w:val="clear" w:color="auto" w:fill="FDE9D9" w:themeFill="accent6" w:themeFillTint="33"/>
      </w:tcPr>
    </w:tblStylePr>
    <w:tblStylePr w:type="band1Vert">
      <w:tblPr/>
      <w:trPr>
        <w:hidden/>
      </w:trPr>
      <w:tcPr>
        <w:shd w:val="clear" w:color="auto" w:fill="FBCAA2" w:themeFill="accent6" w:themeFillTint="7F"/>
      </w:tcPr>
    </w:tblStylePr>
    <w:tblStylePr w:type="band1Horz">
      <w:tblPr/>
      <w:trPr>
        <w:hidden/>
      </w:tr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rPr>
        <w:hidden/>
      </w:trPr>
      <w:tcPr>
        <w:shd w:val="clear" w:color="auto" w:fill="FFFFFF" w:themeFill="background1"/>
      </w:tcPr>
    </w:tblStylePr>
  </w:style>
  <w:style w:type="table" w:styleId="MediumGrid3">
    <w:name w:val="Medium Grid 3"/>
    <w:basedOn w:val="TableNormal"/>
    <w:uiPriority w:val="69"/>
    <w:rsid w:val="002D66D8"/>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rPr>
      <w:hidden/>
    </w:trPr>
    <w:tcPr>
      <w:shd w:val="clear" w:color="auto" w:fill="C0C0C0" w:themeFill="text1" w:themeFillTint="3F"/>
    </w:tcPr>
    <w:tblStylePr w:type="firstRow">
      <w:rPr>
        <w:b/>
        <w:bCs/>
        <w:i w:val="0"/>
        <w:iCs w:val="0"/>
        <w:color w:val="FFFFFF" w:themeColor="background1"/>
      </w:rPr>
      <w:tblPr/>
      <w:trPr>
        <w:hidden/>
      </w:tr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rPr>
        <w:hidden/>
      </w:tr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rPr>
        <w:hidden/>
      </w:tr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rPr>
        <w:hidden/>
      </w:tr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2D66D8"/>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rPr>
      <w:hidden/>
    </w:trPr>
    <w:tcPr>
      <w:shd w:val="clear" w:color="auto" w:fill="D3DFEE" w:themeFill="accent1" w:themeFillTint="3F"/>
    </w:tcPr>
    <w:tblStylePr w:type="firstRow">
      <w:rPr>
        <w:b/>
        <w:bCs/>
        <w:i w:val="0"/>
        <w:iCs w:val="0"/>
        <w:color w:val="FFFFFF" w:themeColor="background1"/>
      </w:rPr>
      <w:tblPr/>
      <w:trPr>
        <w:hidden/>
      </w:tr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rPr>
        <w:hidden/>
      </w:tr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rPr>
        <w:hidden/>
      </w:tr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rPr>
        <w:hidden/>
      </w:tr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2D66D8"/>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rPr>
      <w:hidden/>
    </w:trPr>
    <w:tcPr>
      <w:shd w:val="clear" w:color="auto" w:fill="EFD3D2" w:themeFill="accent2" w:themeFillTint="3F"/>
    </w:tcPr>
    <w:tblStylePr w:type="firstRow">
      <w:rPr>
        <w:b/>
        <w:bCs/>
        <w:i w:val="0"/>
        <w:iCs w:val="0"/>
        <w:color w:val="FFFFFF" w:themeColor="background1"/>
      </w:rPr>
      <w:tblPr/>
      <w:trPr>
        <w:hidden/>
      </w:tr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rPr>
        <w:hidden/>
      </w:tr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rPr>
        <w:hidden/>
      </w:tr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rPr>
        <w:hidden/>
      </w:tr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2D66D8"/>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rPr>
      <w:hidden/>
    </w:trPr>
    <w:tcPr>
      <w:shd w:val="clear" w:color="auto" w:fill="E6EED5" w:themeFill="accent3" w:themeFillTint="3F"/>
    </w:tcPr>
    <w:tblStylePr w:type="firstRow">
      <w:rPr>
        <w:b/>
        <w:bCs/>
        <w:i w:val="0"/>
        <w:iCs w:val="0"/>
        <w:color w:val="FFFFFF" w:themeColor="background1"/>
      </w:rPr>
      <w:tblPr/>
      <w:trPr>
        <w:hidden/>
      </w:tr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rPr>
        <w:hidden/>
      </w:tr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rPr>
        <w:hidden/>
      </w:tr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rPr>
        <w:hidden/>
      </w:tr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2D66D8"/>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rPr>
      <w:hidden/>
    </w:trPr>
    <w:tcPr>
      <w:shd w:val="clear" w:color="auto" w:fill="DFD8E8" w:themeFill="accent4" w:themeFillTint="3F"/>
    </w:tcPr>
    <w:tblStylePr w:type="firstRow">
      <w:rPr>
        <w:b/>
        <w:bCs/>
        <w:i w:val="0"/>
        <w:iCs w:val="0"/>
        <w:color w:val="FFFFFF" w:themeColor="background1"/>
      </w:rPr>
      <w:tblPr/>
      <w:trPr>
        <w:hidden/>
      </w:tr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rPr>
        <w:hidden/>
      </w:tr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rPr>
        <w:hidden/>
      </w:tr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rPr>
        <w:hidden/>
      </w:tr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2D66D8"/>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rPr>
      <w:hidden/>
    </w:trPr>
    <w:tcPr>
      <w:shd w:val="clear" w:color="auto" w:fill="D2EAF1" w:themeFill="accent5" w:themeFillTint="3F"/>
    </w:tcPr>
    <w:tblStylePr w:type="firstRow">
      <w:rPr>
        <w:b/>
        <w:bCs/>
        <w:i w:val="0"/>
        <w:iCs w:val="0"/>
        <w:color w:val="FFFFFF" w:themeColor="background1"/>
      </w:rPr>
      <w:tblPr/>
      <w:trPr>
        <w:hidden/>
      </w:tr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rPr>
        <w:hidden/>
      </w:tr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rPr>
        <w:hidden/>
      </w:tr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rPr>
        <w:hidden/>
      </w:tr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2D66D8"/>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rPr>
      <w:hidden/>
    </w:trPr>
    <w:tcPr>
      <w:shd w:val="clear" w:color="auto" w:fill="FDE4D0" w:themeFill="accent6" w:themeFillTint="3F"/>
    </w:tcPr>
    <w:tblStylePr w:type="firstRow">
      <w:rPr>
        <w:b/>
        <w:bCs/>
        <w:i w:val="0"/>
        <w:iCs w:val="0"/>
        <w:color w:val="FFFFFF" w:themeColor="background1"/>
      </w:rPr>
      <w:tblPr/>
      <w:trPr>
        <w:hidden/>
      </w:tr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rPr>
        <w:hidden/>
      </w:tr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rPr>
        <w:hidden/>
      </w:tr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rPr>
        <w:hidden/>
      </w:tr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rsid w:val="002D66D8"/>
    <w:rPr>
      <w:color w:val="000000" w:themeColor="text1"/>
    </w:rPr>
    <w:tblPr>
      <w:tblStyleRowBandSize w:val="1"/>
      <w:tblStyleColBandSize w:val="1"/>
      <w:tblBorders>
        <w:top w:val="single" w:sz="8" w:space="0" w:color="000000" w:themeColor="text1"/>
        <w:bottom w:val="single" w:sz="8" w:space="0" w:color="000000" w:themeColor="text1"/>
      </w:tblBorders>
    </w:tblPr>
    <w:trPr>
      <w:hidden/>
    </w:trPr>
    <w:tblStylePr w:type="firstRow">
      <w:rPr>
        <w:rFonts w:asciiTheme="majorHAnsi" w:eastAsiaTheme="majorEastAsia" w:hAnsiTheme="majorHAnsi" w:cstheme="majorBidi"/>
      </w:rPr>
      <w:tblPr/>
      <w:trPr>
        <w:hidden/>
      </w:trPr>
      <w:tcPr>
        <w:tcBorders>
          <w:top w:val="nil"/>
          <w:bottom w:val="single" w:sz="8" w:space="0" w:color="000000" w:themeColor="text1"/>
        </w:tcBorders>
      </w:tcPr>
    </w:tblStylePr>
    <w:tblStylePr w:type="lastRow">
      <w:rPr>
        <w:b/>
        <w:bCs/>
        <w:color w:val="1F497D" w:themeColor="text2"/>
      </w:rPr>
      <w:tblPr/>
      <w:trPr>
        <w:hidden/>
      </w:trPr>
      <w:tcPr>
        <w:tcBorders>
          <w:top w:val="single" w:sz="8" w:space="0" w:color="000000" w:themeColor="text1"/>
          <w:bottom w:val="single" w:sz="8" w:space="0" w:color="000000" w:themeColor="text1"/>
        </w:tcBorders>
      </w:tcPr>
    </w:tblStylePr>
    <w:tblStylePr w:type="firstCol">
      <w:rPr>
        <w:b/>
        <w:bCs/>
      </w:rPr>
    </w:tblStylePr>
    <w:tblStylePr w:type="lastCol">
      <w:rPr>
        <w:b/>
        <w:bCs/>
      </w:rPr>
      <w:tblPr/>
      <w:trPr>
        <w:hidden/>
      </w:trPr>
      <w:tcPr>
        <w:tcBorders>
          <w:top w:val="single" w:sz="8" w:space="0" w:color="000000" w:themeColor="text1"/>
          <w:bottom w:val="single" w:sz="8" w:space="0" w:color="000000" w:themeColor="text1"/>
        </w:tcBorders>
      </w:tcPr>
    </w:tblStylePr>
    <w:tblStylePr w:type="band1Vert">
      <w:tblPr/>
      <w:trPr>
        <w:hidden/>
      </w:trPr>
      <w:tcPr>
        <w:shd w:val="clear" w:color="auto" w:fill="C0C0C0" w:themeFill="text1" w:themeFillTint="3F"/>
      </w:tcPr>
    </w:tblStylePr>
    <w:tblStylePr w:type="band1Horz">
      <w:tblPr/>
      <w:trPr>
        <w:hidden/>
      </w:trPr>
      <w:tcPr>
        <w:shd w:val="clear" w:color="auto" w:fill="C0C0C0" w:themeFill="text1" w:themeFillTint="3F"/>
      </w:tcPr>
    </w:tblStylePr>
  </w:style>
  <w:style w:type="table" w:styleId="MediumList1-Accent1">
    <w:name w:val="Medium List 1 Accent 1"/>
    <w:basedOn w:val="TableNormal"/>
    <w:uiPriority w:val="65"/>
    <w:rsid w:val="002D66D8"/>
    <w:rPr>
      <w:color w:val="000000" w:themeColor="text1"/>
    </w:rPr>
    <w:tblPr>
      <w:tblStyleRowBandSize w:val="1"/>
      <w:tblStyleColBandSize w:val="1"/>
      <w:tblBorders>
        <w:top w:val="single" w:sz="8" w:space="0" w:color="4F81BD" w:themeColor="accent1"/>
        <w:bottom w:val="single" w:sz="8" w:space="0" w:color="4F81BD" w:themeColor="accent1"/>
      </w:tblBorders>
    </w:tblPr>
    <w:trPr>
      <w:hidden/>
    </w:trPr>
    <w:tblStylePr w:type="firstRow">
      <w:rPr>
        <w:rFonts w:asciiTheme="majorHAnsi" w:eastAsiaTheme="majorEastAsia" w:hAnsiTheme="majorHAnsi" w:cstheme="majorBidi"/>
      </w:rPr>
      <w:tblPr/>
      <w:trPr>
        <w:hidden/>
      </w:trPr>
      <w:tcPr>
        <w:tcBorders>
          <w:top w:val="nil"/>
          <w:bottom w:val="single" w:sz="8" w:space="0" w:color="4F81BD" w:themeColor="accent1"/>
        </w:tcBorders>
      </w:tcPr>
    </w:tblStylePr>
    <w:tblStylePr w:type="lastRow">
      <w:rPr>
        <w:b/>
        <w:bCs/>
        <w:color w:val="1F497D" w:themeColor="text2"/>
      </w:rPr>
      <w:tblPr/>
      <w:trPr>
        <w:hidden/>
      </w:tr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rPr>
        <w:hidden/>
      </w:trPr>
      <w:tcPr>
        <w:tcBorders>
          <w:top w:val="single" w:sz="8" w:space="0" w:color="4F81BD" w:themeColor="accent1"/>
          <w:bottom w:val="single" w:sz="8" w:space="0" w:color="4F81BD" w:themeColor="accent1"/>
        </w:tcBorders>
      </w:tcPr>
    </w:tblStylePr>
    <w:tblStylePr w:type="band1Vert">
      <w:tblPr/>
      <w:trPr>
        <w:hidden/>
      </w:trPr>
      <w:tcPr>
        <w:shd w:val="clear" w:color="auto" w:fill="D3DFEE" w:themeFill="accent1" w:themeFillTint="3F"/>
      </w:tcPr>
    </w:tblStylePr>
    <w:tblStylePr w:type="band1Horz">
      <w:tblPr/>
      <w:trPr>
        <w:hidden/>
      </w:trPr>
      <w:tcPr>
        <w:shd w:val="clear" w:color="auto" w:fill="D3DFEE" w:themeFill="accent1" w:themeFillTint="3F"/>
      </w:tcPr>
    </w:tblStylePr>
  </w:style>
  <w:style w:type="table" w:styleId="MediumList1-Accent2">
    <w:name w:val="Medium List 1 Accent 2"/>
    <w:basedOn w:val="TableNormal"/>
    <w:uiPriority w:val="65"/>
    <w:rsid w:val="002D66D8"/>
    <w:rPr>
      <w:color w:val="000000" w:themeColor="text1"/>
    </w:rPr>
    <w:tblPr>
      <w:tblStyleRowBandSize w:val="1"/>
      <w:tblStyleColBandSize w:val="1"/>
      <w:tblBorders>
        <w:top w:val="single" w:sz="8" w:space="0" w:color="C0504D" w:themeColor="accent2"/>
        <w:bottom w:val="single" w:sz="8" w:space="0" w:color="C0504D" w:themeColor="accent2"/>
      </w:tblBorders>
    </w:tblPr>
    <w:trPr>
      <w:hidden/>
    </w:trPr>
    <w:tblStylePr w:type="firstRow">
      <w:rPr>
        <w:rFonts w:asciiTheme="majorHAnsi" w:eastAsiaTheme="majorEastAsia" w:hAnsiTheme="majorHAnsi" w:cstheme="majorBidi"/>
      </w:rPr>
      <w:tblPr/>
      <w:trPr>
        <w:hidden/>
      </w:trPr>
      <w:tcPr>
        <w:tcBorders>
          <w:top w:val="nil"/>
          <w:bottom w:val="single" w:sz="8" w:space="0" w:color="C0504D" w:themeColor="accent2"/>
        </w:tcBorders>
      </w:tcPr>
    </w:tblStylePr>
    <w:tblStylePr w:type="lastRow">
      <w:rPr>
        <w:b/>
        <w:bCs/>
        <w:color w:val="1F497D" w:themeColor="text2"/>
      </w:rPr>
      <w:tblPr/>
      <w:trPr>
        <w:hidden/>
      </w:tr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rPr>
        <w:hidden/>
      </w:trPr>
      <w:tcPr>
        <w:tcBorders>
          <w:top w:val="single" w:sz="8" w:space="0" w:color="C0504D" w:themeColor="accent2"/>
          <w:bottom w:val="single" w:sz="8" w:space="0" w:color="C0504D" w:themeColor="accent2"/>
        </w:tcBorders>
      </w:tcPr>
    </w:tblStylePr>
    <w:tblStylePr w:type="band1Vert">
      <w:tblPr/>
      <w:trPr>
        <w:hidden/>
      </w:trPr>
      <w:tcPr>
        <w:shd w:val="clear" w:color="auto" w:fill="EFD3D2" w:themeFill="accent2" w:themeFillTint="3F"/>
      </w:tcPr>
    </w:tblStylePr>
    <w:tblStylePr w:type="band1Horz">
      <w:tblPr/>
      <w:trPr>
        <w:hidden/>
      </w:trPr>
      <w:tcPr>
        <w:shd w:val="clear" w:color="auto" w:fill="EFD3D2" w:themeFill="accent2" w:themeFillTint="3F"/>
      </w:tcPr>
    </w:tblStylePr>
  </w:style>
  <w:style w:type="table" w:styleId="MediumList1-Accent3">
    <w:name w:val="Medium List 1 Accent 3"/>
    <w:basedOn w:val="TableNormal"/>
    <w:uiPriority w:val="65"/>
    <w:rsid w:val="002D66D8"/>
    <w:rPr>
      <w:color w:val="000000" w:themeColor="text1"/>
    </w:rPr>
    <w:tblPr>
      <w:tblStyleRowBandSize w:val="1"/>
      <w:tblStyleColBandSize w:val="1"/>
      <w:tblBorders>
        <w:top w:val="single" w:sz="8" w:space="0" w:color="9BBB59" w:themeColor="accent3"/>
        <w:bottom w:val="single" w:sz="8" w:space="0" w:color="9BBB59" w:themeColor="accent3"/>
      </w:tblBorders>
    </w:tblPr>
    <w:trPr>
      <w:hidden/>
    </w:trPr>
    <w:tblStylePr w:type="firstRow">
      <w:rPr>
        <w:rFonts w:asciiTheme="majorHAnsi" w:eastAsiaTheme="majorEastAsia" w:hAnsiTheme="majorHAnsi" w:cstheme="majorBidi"/>
      </w:rPr>
      <w:tblPr/>
      <w:trPr>
        <w:hidden/>
      </w:trPr>
      <w:tcPr>
        <w:tcBorders>
          <w:top w:val="nil"/>
          <w:bottom w:val="single" w:sz="8" w:space="0" w:color="9BBB59" w:themeColor="accent3"/>
        </w:tcBorders>
      </w:tcPr>
    </w:tblStylePr>
    <w:tblStylePr w:type="lastRow">
      <w:rPr>
        <w:b/>
        <w:bCs/>
        <w:color w:val="1F497D" w:themeColor="text2"/>
      </w:rPr>
      <w:tblPr/>
      <w:trPr>
        <w:hidden/>
      </w:tr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rPr>
        <w:hidden/>
      </w:trPr>
      <w:tcPr>
        <w:tcBorders>
          <w:top w:val="single" w:sz="8" w:space="0" w:color="9BBB59" w:themeColor="accent3"/>
          <w:bottom w:val="single" w:sz="8" w:space="0" w:color="9BBB59" w:themeColor="accent3"/>
        </w:tcBorders>
      </w:tcPr>
    </w:tblStylePr>
    <w:tblStylePr w:type="band1Vert">
      <w:tblPr/>
      <w:trPr>
        <w:hidden/>
      </w:trPr>
      <w:tcPr>
        <w:shd w:val="clear" w:color="auto" w:fill="E6EED5" w:themeFill="accent3" w:themeFillTint="3F"/>
      </w:tcPr>
    </w:tblStylePr>
    <w:tblStylePr w:type="band1Horz">
      <w:tblPr/>
      <w:trPr>
        <w:hidden/>
      </w:trPr>
      <w:tcPr>
        <w:shd w:val="clear" w:color="auto" w:fill="E6EED5" w:themeFill="accent3" w:themeFillTint="3F"/>
      </w:tcPr>
    </w:tblStylePr>
  </w:style>
  <w:style w:type="table" w:styleId="MediumList1-Accent4">
    <w:name w:val="Medium List 1 Accent 4"/>
    <w:basedOn w:val="TableNormal"/>
    <w:uiPriority w:val="65"/>
    <w:rsid w:val="002D66D8"/>
    <w:rPr>
      <w:color w:val="000000" w:themeColor="text1"/>
    </w:rPr>
    <w:tblPr>
      <w:tblStyleRowBandSize w:val="1"/>
      <w:tblStyleColBandSize w:val="1"/>
      <w:tblBorders>
        <w:top w:val="single" w:sz="8" w:space="0" w:color="8064A2" w:themeColor="accent4"/>
        <w:bottom w:val="single" w:sz="8" w:space="0" w:color="8064A2" w:themeColor="accent4"/>
      </w:tblBorders>
    </w:tblPr>
    <w:trPr>
      <w:hidden/>
    </w:trPr>
    <w:tblStylePr w:type="firstRow">
      <w:rPr>
        <w:rFonts w:asciiTheme="majorHAnsi" w:eastAsiaTheme="majorEastAsia" w:hAnsiTheme="majorHAnsi" w:cstheme="majorBidi"/>
      </w:rPr>
      <w:tblPr/>
      <w:trPr>
        <w:hidden/>
      </w:trPr>
      <w:tcPr>
        <w:tcBorders>
          <w:top w:val="nil"/>
          <w:bottom w:val="single" w:sz="8" w:space="0" w:color="8064A2" w:themeColor="accent4"/>
        </w:tcBorders>
      </w:tcPr>
    </w:tblStylePr>
    <w:tblStylePr w:type="lastRow">
      <w:rPr>
        <w:b/>
        <w:bCs/>
        <w:color w:val="1F497D" w:themeColor="text2"/>
      </w:rPr>
      <w:tblPr/>
      <w:trPr>
        <w:hidden/>
      </w:tr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rPr>
        <w:hidden/>
      </w:trPr>
      <w:tcPr>
        <w:tcBorders>
          <w:top w:val="single" w:sz="8" w:space="0" w:color="8064A2" w:themeColor="accent4"/>
          <w:bottom w:val="single" w:sz="8" w:space="0" w:color="8064A2" w:themeColor="accent4"/>
        </w:tcBorders>
      </w:tcPr>
    </w:tblStylePr>
    <w:tblStylePr w:type="band1Vert">
      <w:tblPr/>
      <w:trPr>
        <w:hidden/>
      </w:trPr>
      <w:tcPr>
        <w:shd w:val="clear" w:color="auto" w:fill="DFD8E8" w:themeFill="accent4" w:themeFillTint="3F"/>
      </w:tcPr>
    </w:tblStylePr>
    <w:tblStylePr w:type="band1Horz">
      <w:tblPr/>
      <w:trPr>
        <w:hidden/>
      </w:trPr>
      <w:tcPr>
        <w:shd w:val="clear" w:color="auto" w:fill="DFD8E8" w:themeFill="accent4" w:themeFillTint="3F"/>
      </w:tcPr>
    </w:tblStylePr>
  </w:style>
  <w:style w:type="table" w:styleId="MediumList1-Accent5">
    <w:name w:val="Medium List 1 Accent 5"/>
    <w:basedOn w:val="TableNormal"/>
    <w:uiPriority w:val="65"/>
    <w:rsid w:val="002D66D8"/>
    <w:rPr>
      <w:color w:val="000000" w:themeColor="text1"/>
    </w:rPr>
    <w:tblPr>
      <w:tblStyleRowBandSize w:val="1"/>
      <w:tblStyleColBandSize w:val="1"/>
      <w:tblBorders>
        <w:top w:val="single" w:sz="8" w:space="0" w:color="4BACC6" w:themeColor="accent5"/>
        <w:bottom w:val="single" w:sz="8" w:space="0" w:color="4BACC6" w:themeColor="accent5"/>
      </w:tblBorders>
    </w:tblPr>
    <w:trPr>
      <w:hidden/>
    </w:trPr>
    <w:tblStylePr w:type="firstRow">
      <w:rPr>
        <w:rFonts w:asciiTheme="majorHAnsi" w:eastAsiaTheme="majorEastAsia" w:hAnsiTheme="majorHAnsi" w:cstheme="majorBidi"/>
      </w:rPr>
      <w:tblPr/>
      <w:trPr>
        <w:hidden/>
      </w:trPr>
      <w:tcPr>
        <w:tcBorders>
          <w:top w:val="nil"/>
          <w:bottom w:val="single" w:sz="8" w:space="0" w:color="4BACC6" w:themeColor="accent5"/>
        </w:tcBorders>
      </w:tcPr>
    </w:tblStylePr>
    <w:tblStylePr w:type="lastRow">
      <w:rPr>
        <w:b/>
        <w:bCs/>
        <w:color w:val="1F497D" w:themeColor="text2"/>
      </w:rPr>
      <w:tblPr/>
      <w:trPr>
        <w:hidden/>
      </w:tr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rPr>
        <w:hidden/>
      </w:trPr>
      <w:tcPr>
        <w:tcBorders>
          <w:top w:val="single" w:sz="8" w:space="0" w:color="4BACC6" w:themeColor="accent5"/>
          <w:bottom w:val="single" w:sz="8" w:space="0" w:color="4BACC6" w:themeColor="accent5"/>
        </w:tcBorders>
      </w:tcPr>
    </w:tblStylePr>
    <w:tblStylePr w:type="band1Vert">
      <w:tblPr/>
      <w:trPr>
        <w:hidden/>
      </w:trPr>
      <w:tcPr>
        <w:shd w:val="clear" w:color="auto" w:fill="D2EAF1" w:themeFill="accent5" w:themeFillTint="3F"/>
      </w:tcPr>
    </w:tblStylePr>
    <w:tblStylePr w:type="band1Horz">
      <w:tblPr/>
      <w:trPr>
        <w:hidden/>
      </w:trPr>
      <w:tcPr>
        <w:shd w:val="clear" w:color="auto" w:fill="D2EAF1" w:themeFill="accent5" w:themeFillTint="3F"/>
      </w:tcPr>
    </w:tblStylePr>
  </w:style>
  <w:style w:type="table" w:styleId="MediumList1-Accent6">
    <w:name w:val="Medium List 1 Accent 6"/>
    <w:basedOn w:val="TableNormal"/>
    <w:uiPriority w:val="65"/>
    <w:rsid w:val="002D66D8"/>
    <w:rPr>
      <w:color w:val="000000" w:themeColor="text1"/>
    </w:rPr>
    <w:tblPr>
      <w:tblStyleRowBandSize w:val="1"/>
      <w:tblStyleColBandSize w:val="1"/>
      <w:tblBorders>
        <w:top w:val="single" w:sz="8" w:space="0" w:color="F79646" w:themeColor="accent6"/>
        <w:bottom w:val="single" w:sz="8" w:space="0" w:color="F79646" w:themeColor="accent6"/>
      </w:tblBorders>
    </w:tblPr>
    <w:trPr>
      <w:hidden/>
    </w:trPr>
    <w:tblStylePr w:type="firstRow">
      <w:rPr>
        <w:rFonts w:asciiTheme="majorHAnsi" w:eastAsiaTheme="majorEastAsia" w:hAnsiTheme="majorHAnsi" w:cstheme="majorBidi"/>
      </w:rPr>
      <w:tblPr/>
      <w:trPr>
        <w:hidden/>
      </w:trPr>
      <w:tcPr>
        <w:tcBorders>
          <w:top w:val="nil"/>
          <w:bottom w:val="single" w:sz="8" w:space="0" w:color="F79646" w:themeColor="accent6"/>
        </w:tcBorders>
      </w:tcPr>
    </w:tblStylePr>
    <w:tblStylePr w:type="lastRow">
      <w:rPr>
        <w:b/>
        <w:bCs/>
        <w:color w:val="1F497D" w:themeColor="text2"/>
      </w:rPr>
      <w:tblPr/>
      <w:trPr>
        <w:hidden/>
      </w:tr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rPr>
        <w:hidden/>
      </w:trPr>
      <w:tcPr>
        <w:tcBorders>
          <w:top w:val="single" w:sz="8" w:space="0" w:color="F79646" w:themeColor="accent6"/>
          <w:bottom w:val="single" w:sz="8" w:space="0" w:color="F79646" w:themeColor="accent6"/>
        </w:tcBorders>
      </w:tcPr>
    </w:tblStylePr>
    <w:tblStylePr w:type="band1Vert">
      <w:tblPr/>
      <w:trPr>
        <w:hidden/>
      </w:trPr>
      <w:tcPr>
        <w:shd w:val="clear" w:color="auto" w:fill="FDE4D0" w:themeFill="accent6" w:themeFillTint="3F"/>
      </w:tcPr>
    </w:tblStylePr>
    <w:tblStylePr w:type="band1Horz">
      <w:tblPr/>
      <w:trPr>
        <w:hidden/>
      </w:trPr>
      <w:tcPr>
        <w:shd w:val="clear" w:color="auto" w:fill="FDE4D0" w:themeFill="accent6" w:themeFillTint="3F"/>
      </w:tcPr>
    </w:tblStylePr>
  </w:style>
  <w:style w:type="table" w:styleId="MediumList2">
    <w:name w:val="Medium List 2"/>
    <w:basedOn w:val="TableNormal"/>
    <w:uiPriority w:val="66"/>
    <w:rsid w:val="002D66D8"/>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rPr>
      <w:hidden/>
    </w:trPr>
    <w:tblStylePr w:type="firstRow">
      <w:rPr>
        <w:sz w:val="24"/>
        <w:szCs w:val="24"/>
      </w:rPr>
      <w:tblPr/>
      <w:trPr>
        <w:hidden/>
      </w:tr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rPr>
        <w:hidden/>
      </w:tr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rPr>
        <w:hidden/>
      </w:tr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rPr>
        <w:hidden/>
      </w:tr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rPr>
        <w:hidden/>
      </w:trPr>
      <w:tcPr>
        <w:tcBorders>
          <w:left w:val="nil"/>
          <w:right w:val="nil"/>
          <w:insideH w:val="nil"/>
          <w:insideV w:val="nil"/>
        </w:tcBorders>
        <w:shd w:val="clear" w:color="auto" w:fill="C0C0C0" w:themeFill="text1" w:themeFillTint="3F"/>
      </w:tcPr>
    </w:tblStylePr>
    <w:tblStylePr w:type="band1Horz">
      <w:tblPr/>
      <w:trPr>
        <w:hidden/>
      </w:trPr>
      <w:tcPr>
        <w:tcBorders>
          <w:top w:val="nil"/>
          <w:bottom w:val="nil"/>
          <w:insideH w:val="nil"/>
          <w:insideV w:val="nil"/>
        </w:tcBorders>
        <w:shd w:val="clear" w:color="auto" w:fill="C0C0C0" w:themeFill="text1" w:themeFillTint="3F"/>
      </w:tcPr>
    </w:tblStylePr>
    <w:tblStylePr w:type="nwCell">
      <w:tblPr/>
      <w:trPr>
        <w:hidden/>
      </w:trPr>
      <w:tcPr>
        <w:shd w:val="clear" w:color="auto" w:fill="FFFFFF" w:themeFill="background1"/>
      </w:tcPr>
    </w:tblStylePr>
    <w:tblStylePr w:type="swCell">
      <w:tblPr/>
      <w:trPr>
        <w:hidden/>
      </w:trPr>
      <w:tcPr>
        <w:tcBorders>
          <w:top w:val="nil"/>
        </w:tcBorders>
      </w:tcPr>
    </w:tblStylePr>
  </w:style>
  <w:style w:type="table" w:styleId="MediumList2-Accent1">
    <w:name w:val="Medium List 2 Accent 1"/>
    <w:basedOn w:val="TableNormal"/>
    <w:uiPriority w:val="66"/>
    <w:rsid w:val="002D66D8"/>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rPr>
      <w:hidden/>
    </w:trPr>
    <w:tblStylePr w:type="firstRow">
      <w:rPr>
        <w:sz w:val="24"/>
        <w:szCs w:val="24"/>
      </w:rPr>
      <w:tblPr/>
      <w:trPr>
        <w:hidden/>
      </w:tr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rPr>
        <w:hidden/>
      </w:tr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rPr>
        <w:hidden/>
      </w:tr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rPr>
        <w:hidden/>
      </w:tr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rPr>
        <w:hidden/>
      </w:trPr>
      <w:tcPr>
        <w:tcBorders>
          <w:left w:val="nil"/>
          <w:right w:val="nil"/>
          <w:insideH w:val="nil"/>
          <w:insideV w:val="nil"/>
        </w:tcBorders>
        <w:shd w:val="clear" w:color="auto" w:fill="D3DFEE" w:themeFill="accent1" w:themeFillTint="3F"/>
      </w:tcPr>
    </w:tblStylePr>
    <w:tblStylePr w:type="band1Horz">
      <w:tblPr/>
      <w:trPr>
        <w:hidden/>
      </w:trPr>
      <w:tcPr>
        <w:tcBorders>
          <w:top w:val="nil"/>
          <w:bottom w:val="nil"/>
          <w:insideH w:val="nil"/>
          <w:insideV w:val="nil"/>
        </w:tcBorders>
        <w:shd w:val="clear" w:color="auto" w:fill="D3DFEE" w:themeFill="accent1" w:themeFillTint="3F"/>
      </w:tcPr>
    </w:tblStylePr>
    <w:tblStylePr w:type="nwCell">
      <w:tblPr/>
      <w:trPr>
        <w:hidden/>
      </w:trPr>
      <w:tcPr>
        <w:shd w:val="clear" w:color="auto" w:fill="FFFFFF" w:themeFill="background1"/>
      </w:tcPr>
    </w:tblStylePr>
    <w:tblStylePr w:type="swCell">
      <w:tblPr/>
      <w:trPr>
        <w:hidden/>
      </w:trPr>
      <w:tcPr>
        <w:tcBorders>
          <w:top w:val="nil"/>
        </w:tcBorders>
      </w:tcPr>
    </w:tblStylePr>
  </w:style>
  <w:style w:type="table" w:styleId="MediumList2-Accent2">
    <w:name w:val="Medium List 2 Accent 2"/>
    <w:basedOn w:val="TableNormal"/>
    <w:uiPriority w:val="66"/>
    <w:rsid w:val="002D66D8"/>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rPr>
      <w:hidden/>
    </w:trPr>
    <w:tblStylePr w:type="firstRow">
      <w:rPr>
        <w:sz w:val="24"/>
        <w:szCs w:val="24"/>
      </w:rPr>
      <w:tblPr/>
      <w:trPr>
        <w:hidden/>
      </w:tr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rPr>
        <w:hidden/>
      </w:tr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rPr>
        <w:hidden/>
      </w:tr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rPr>
        <w:hidden/>
      </w:tr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rPr>
        <w:hidden/>
      </w:trPr>
      <w:tcPr>
        <w:tcBorders>
          <w:left w:val="nil"/>
          <w:right w:val="nil"/>
          <w:insideH w:val="nil"/>
          <w:insideV w:val="nil"/>
        </w:tcBorders>
        <w:shd w:val="clear" w:color="auto" w:fill="EFD3D2" w:themeFill="accent2" w:themeFillTint="3F"/>
      </w:tcPr>
    </w:tblStylePr>
    <w:tblStylePr w:type="band1Horz">
      <w:tblPr/>
      <w:trPr>
        <w:hidden/>
      </w:trPr>
      <w:tcPr>
        <w:tcBorders>
          <w:top w:val="nil"/>
          <w:bottom w:val="nil"/>
          <w:insideH w:val="nil"/>
          <w:insideV w:val="nil"/>
        </w:tcBorders>
        <w:shd w:val="clear" w:color="auto" w:fill="EFD3D2" w:themeFill="accent2" w:themeFillTint="3F"/>
      </w:tcPr>
    </w:tblStylePr>
    <w:tblStylePr w:type="nwCell">
      <w:tblPr/>
      <w:trPr>
        <w:hidden/>
      </w:trPr>
      <w:tcPr>
        <w:shd w:val="clear" w:color="auto" w:fill="FFFFFF" w:themeFill="background1"/>
      </w:tcPr>
    </w:tblStylePr>
    <w:tblStylePr w:type="swCell">
      <w:tblPr/>
      <w:trPr>
        <w:hidden/>
      </w:trPr>
      <w:tcPr>
        <w:tcBorders>
          <w:top w:val="nil"/>
        </w:tcBorders>
      </w:tcPr>
    </w:tblStylePr>
  </w:style>
  <w:style w:type="table" w:styleId="MediumList2-Accent3">
    <w:name w:val="Medium List 2 Accent 3"/>
    <w:basedOn w:val="TableNormal"/>
    <w:uiPriority w:val="66"/>
    <w:rsid w:val="002D66D8"/>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rPr>
      <w:hidden/>
    </w:trPr>
    <w:tblStylePr w:type="firstRow">
      <w:rPr>
        <w:sz w:val="24"/>
        <w:szCs w:val="24"/>
      </w:rPr>
      <w:tblPr/>
      <w:trPr>
        <w:hidden/>
      </w:tr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rPr>
        <w:hidden/>
      </w:tr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rPr>
        <w:hidden/>
      </w:tr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rPr>
        <w:hidden/>
      </w:tr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rPr>
        <w:hidden/>
      </w:trPr>
      <w:tcPr>
        <w:tcBorders>
          <w:left w:val="nil"/>
          <w:right w:val="nil"/>
          <w:insideH w:val="nil"/>
          <w:insideV w:val="nil"/>
        </w:tcBorders>
        <w:shd w:val="clear" w:color="auto" w:fill="E6EED5" w:themeFill="accent3" w:themeFillTint="3F"/>
      </w:tcPr>
    </w:tblStylePr>
    <w:tblStylePr w:type="band1Horz">
      <w:tblPr/>
      <w:trPr>
        <w:hidden/>
      </w:trPr>
      <w:tcPr>
        <w:tcBorders>
          <w:top w:val="nil"/>
          <w:bottom w:val="nil"/>
          <w:insideH w:val="nil"/>
          <w:insideV w:val="nil"/>
        </w:tcBorders>
        <w:shd w:val="clear" w:color="auto" w:fill="E6EED5" w:themeFill="accent3" w:themeFillTint="3F"/>
      </w:tcPr>
    </w:tblStylePr>
    <w:tblStylePr w:type="nwCell">
      <w:tblPr/>
      <w:trPr>
        <w:hidden/>
      </w:trPr>
      <w:tcPr>
        <w:shd w:val="clear" w:color="auto" w:fill="FFFFFF" w:themeFill="background1"/>
      </w:tcPr>
    </w:tblStylePr>
    <w:tblStylePr w:type="swCell">
      <w:tblPr/>
      <w:trPr>
        <w:hidden/>
      </w:trPr>
      <w:tcPr>
        <w:tcBorders>
          <w:top w:val="nil"/>
        </w:tcBorders>
      </w:tcPr>
    </w:tblStylePr>
  </w:style>
  <w:style w:type="table" w:styleId="MediumList2-Accent4">
    <w:name w:val="Medium List 2 Accent 4"/>
    <w:basedOn w:val="TableNormal"/>
    <w:uiPriority w:val="66"/>
    <w:rsid w:val="002D66D8"/>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rPr>
      <w:hidden/>
    </w:trPr>
    <w:tblStylePr w:type="firstRow">
      <w:rPr>
        <w:sz w:val="24"/>
        <w:szCs w:val="24"/>
      </w:rPr>
      <w:tblPr/>
      <w:trPr>
        <w:hidden/>
      </w:tr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rPr>
        <w:hidden/>
      </w:tr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rPr>
        <w:hidden/>
      </w:tr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rPr>
        <w:hidden/>
      </w:tr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rPr>
        <w:hidden/>
      </w:trPr>
      <w:tcPr>
        <w:tcBorders>
          <w:left w:val="nil"/>
          <w:right w:val="nil"/>
          <w:insideH w:val="nil"/>
          <w:insideV w:val="nil"/>
        </w:tcBorders>
        <w:shd w:val="clear" w:color="auto" w:fill="DFD8E8" w:themeFill="accent4" w:themeFillTint="3F"/>
      </w:tcPr>
    </w:tblStylePr>
    <w:tblStylePr w:type="band1Horz">
      <w:tblPr/>
      <w:trPr>
        <w:hidden/>
      </w:trPr>
      <w:tcPr>
        <w:tcBorders>
          <w:top w:val="nil"/>
          <w:bottom w:val="nil"/>
          <w:insideH w:val="nil"/>
          <w:insideV w:val="nil"/>
        </w:tcBorders>
        <w:shd w:val="clear" w:color="auto" w:fill="DFD8E8" w:themeFill="accent4" w:themeFillTint="3F"/>
      </w:tcPr>
    </w:tblStylePr>
    <w:tblStylePr w:type="nwCell">
      <w:tblPr/>
      <w:trPr>
        <w:hidden/>
      </w:trPr>
      <w:tcPr>
        <w:shd w:val="clear" w:color="auto" w:fill="FFFFFF" w:themeFill="background1"/>
      </w:tcPr>
    </w:tblStylePr>
    <w:tblStylePr w:type="swCell">
      <w:tblPr/>
      <w:trPr>
        <w:hidden/>
      </w:trPr>
      <w:tcPr>
        <w:tcBorders>
          <w:top w:val="nil"/>
        </w:tcBorders>
      </w:tcPr>
    </w:tblStylePr>
  </w:style>
  <w:style w:type="table" w:styleId="MediumList2-Accent5">
    <w:name w:val="Medium List 2 Accent 5"/>
    <w:basedOn w:val="TableNormal"/>
    <w:uiPriority w:val="66"/>
    <w:rsid w:val="002D66D8"/>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rPr>
      <w:hidden/>
    </w:trPr>
    <w:tblStylePr w:type="firstRow">
      <w:rPr>
        <w:sz w:val="24"/>
        <w:szCs w:val="24"/>
      </w:rPr>
      <w:tblPr/>
      <w:trPr>
        <w:hidden/>
      </w:tr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rPr>
        <w:hidden/>
      </w:tr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rPr>
        <w:hidden/>
      </w:tr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rPr>
        <w:hidden/>
      </w:tr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rPr>
        <w:hidden/>
      </w:trPr>
      <w:tcPr>
        <w:tcBorders>
          <w:left w:val="nil"/>
          <w:right w:val="nil"/>
          <w:insideH w:val="nil"/>
          <w:insideV w:val="nil"/>
        </w:tcBorders>
        <w:shd w:val="clear" w:color="auto" w:fill="D2EAF1" w:themeFill="accent5" w:themeFillTint="3F"/>
      </w:tcPr>
    </w:tblStylePr>
    <w:tblStylePr w:type="band1Horz">
      <w:tblPr/>
      <w:trPr>
        <w:hidden/>
      </w:trPr>
      <w:tcPr>
        <w:tcBorders>
          <w:top w:val="nil"/>
          <w:bottom w:val="nil"/>
          <w:insideH w:val="nil"/>
          <w:insideV w:val="nil"/>
        </w:tcBorders>
        <w:shd w:val="clear" w:color="auto" w:fill="D2EAF1" w:themeFill="accent5" w:themeFillTint="3F"/>
      </w:tcPr>
    </w:tblStylePr>
    <w:tblStylePr w:type="nwCell">
      <w:tblPr/>
      <w:trPr>
        <w:hidden/>
      </w:trPr>
      <w:tcPr>
        <w:shd w:val="clear" w:color="auto" w:fill="FFFFFF" w:themeFill="background1"/>
      </w:tcPr>
    </w:tblStylePr>
    <w:tblStylePr w:type="swCell">
      <w:tblPr/>
      <w:trPr>
        <w:hidden/>
      </w:trPr>
      <w:tcPr>
        <w:tcBorders>
          <w:top w:val="nil"/>
        </w:tcBorders>
      </w:tcPr>
    </w:tblStylePr>
  </w:style>
  <w:style w:type="table" w:styleId="MediumList2-Accent6">
    <w:name w:val="Medium List 2 Accent 6"/>
    <w:basedOn w:val="TableNormal"/>
    <w:uiPriority w:val="66"/>
    <w:rsid w:val="002D66D8"/>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rPr>
      <w:hidden/>
    </w:trPr>
    <w:tblStylePr w:type="firstRow">
      <w:rPr>
        <w:sz w:val="24"/>
        <w:szCs w:val="24"/>
      </w:rPr>
      <w:tblPr/>
      <w:trPr>
        <w:hidden/>
      </w:tr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rPr>
        <w:hidden/>
      </w:tr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rPr>
        <w:hidden/>
      </w:tr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rPr>
        <w:hidden/>
      </w:tr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rPr>
        <w:hidden/>
      </w:trPr>
      <w:tcPr>
        <w:tcBorders>
          <w:left w:val="nil"/>
          <w:right w:val="nil"/>
          <w:insideH w:val="nil"/>
          <w:insideV w:val="nil"/>
        </w:tcBorders>
        <w:shd w:val="clear" w:color="auto" w:fill="FDE4D0" w:themeFill="accent6" w:themeFillTint="3F"/>
      </w:tcPr>
    </w:tblStylePr>
    <w:tblStylePr w:type="band1Horz">
      <w:tblPr/>
      <w:trPr>
        <w:hidden/>
      </w:trPr>
      <w:tcPr>
        <w:tcBorders>
          <w:top w:val="nil"/>
          <w:bottom w:val="nil"/>
          <w:insideH w:val="nil"/>
          <w:insideV w:val="nil"/>
        </w:tcBorders>
        <w:shd w:val="clear" w:color="auto" w:fill="FDE4D0" w:themeFill="accent6" w:themeFillTint="3F"/>
      </w:tcPr>
    </w:tblStylePr>
    <w:tblStylePr w:type="nwCell">
      <w:tblPr/>
      <w:trPr>
        <w:hidden/>
      </w:trPr>
      <w:tcPr>
        <w:shd w:val="clear" w:color="auto" w:fill="FFFFFF" w:themeFill="background1"/>
      </w:tcPr>
    </w:tblStylePr>
    <w:tblStylePr w:type="swCell">
      <w:tblPr/>
      <w:trPr>
        <w:hidden/>
      </w:trPr>
      <w:tcPr>
        <w:tcBorders>
          <w:top w:val="nil"/>
        </w:tcBorders>
      </w:tcPr>
    </w:tblStylePr>
  </w:style>
  <w:style w:type="table" w:styleId="MediumShading1">
    <w:name w:val="Medium Shading 1"/>
    <w:basedOn w:val="TableNormal"/>
    <w:uiPriority w:val="63"/>
    <w:rsid w:val="002D66D8"/>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rPr>
      <w:hidden/>
    </w:trPr>
    <w:tblStylePr w:type="firstRow">
      <w:pPr>
        <w:spacing w:before="0" w:after="0" w:line="240" w:lineRule="auto"/>
      </w:pPr>
      <w:rPr>
        <w:b/>
        <w:bCs/>
        <w:color w:val="FFFFFF" w:themeColor="background1"/>
      </w:rPr>
      <w:tblPr/>
      <w:trPr>
        <w:hidden/>
      </w:tr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rPr>
        <w:hidden/>
      </w:tr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rPr>
        <w:hidden/>
      </w:trPr>
      <w:tcPr>
        <w:shd w:val="clear" w:color="auto" w:fill="C0C0C0" w:themeFill="text1" w:themeFillTint="3F"/>
      </w:tcPr>
    </w:tblStylePr>
    <w:tblStylePr w:type="band1Horz">
      <w:tblPr/>
      <w:trPr>
        <w:hidden/>
      </w:trPr>
      <w:tcPr>
        <w:tcBorders>
          <w:insideH w:val="nil"/>
          <w:insideV w:val="nil"/>
        </w:tcBorders>
        <w:shd w:val="clear" w:color="auto" w:fill="C0C0C0" w:themeFill="text1" w:themeFillTint="3F"/>
      </w:tcPr>
    </w:tblStylePr>
    <w:tblStylePr w:type="band2Horz">
      <w:tblPr/>
      <w:trPr>
        <w:hidden/>
      </w:trPr>
      <w:tcPr>
        <w:tcBorders>
          <w:insideH w:val="nil"/>
          <w:insideV w:val="nil"/>
        </w:tcBorders>
      </w:tcPr>
    </w:tblStylePr>
  </w:style>
  <w:style w:type="table" w:styleId="MediumShading1-Accent1">
    <w:name w:val="Medium Shading 1 Accent 1"/>
    <w:basedOn w:val="TableNormal"/>
    <w:uiPriority w:val="63"/>
    <w:rsid w:val="002D66D8"/>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rPr>
      <w:hidden/>
    </w:trPr>
    <w:tblStylePr w:type="firstRow">
      <w:pPr>
        <w:spacing w:before="0" w:after="0" w:line="240" w:lineRule="auto"/>
      </w:pPr>
      <w:rPr>
        <w:b/>
        <w:bCs/>
        <w:color w:val="FFFFFF" w:themeColor="background1"/>
      </w:rPr>
      <w:tblPr/>
      <w:trPr>
        <w:hidden/>
      </w:tr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rPr>
        <w:hidden/>
      </w:tr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rPr>
        <w:hidden/>
      </w:trPr>
      <w:tcPr>
        <w:shd w:val="clear" w:color="auto" w:fill="D3DFEE" w:themeFill="accent1" w:themeFillTint="3F"/>
      </w:tcPr>
    </w:tblStylePr>
    <w:tblStylePr w:type="band1Horz">
      <w:tblPr/>
      <w:trPr>
        <w:hidden/>
      </w:trPr>
      <w:tcPr>
        <w:tcBorders>
          <w:insideH w:val="nil"/>
          <w:insideV w:val="nil"/>
        </w:tcBorders>
        <w:shd w:val="clear" w:color="auto" w:fill="D3DFEE" w:themeFill="accent1" w:themeFillTint="3F"/>
      </w:tcPr>
    </w:tblStylePr>
    <w:tblStylePr w:type="band2Horz">
      <w:tblPr/>
      <w:trPr>
        <w:hidden/>
      </w:trPr>
      <w:tcPr>
        <w:tcBorders>
          <w:insideH w:val="nil"/>
          <w:insideV w:val="nil"/>
        </w:tcBorders>
      </w:tcPr>
    </w:tblStylePr>
  </w:style>
  <w:style w:type="table" w:styleId="MediumShading1-Accent2">
    <w:name w:val="Medium Shading 1 Accent 2"/>
    <w:basedOn w:val="TableNormal"/>
    <w:uiPriority w:val="63"/>
    <w:rsid w:val="002D66D8"/>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rPr>
      <w:hidden/>
    </w:trPr>
    <w:tblStylePr w:type="firstRow">
      <w:pPr>
        <w:spacing w:before="0" w:after="0" w:line="240" w:lineRule="auto"/>
      </w:pPr>
      <w:rPr>
        <w:b/>
        <w:bCs/>
        <w:color w:val="FFFFFF" w:themeColor="background1"/>
      </w:rPr>
      <w:tblPr/>
      <w:trPr>
        <w:hidden/>
      </w:tr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rPr>
        <w:hidden/>
      </w:tr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rPr>
        <w:hidden/>
      </w:trPr>
      <w:tcPr>
        <w:shd w:val="clear" w:color="auto" w:fill="EFD3D2" w:themeFill="accent2" w:themeFillTint="3F"/>
      </w:tcPr>
    </w:tblStylePr>
    <w:tblStylePr w:type="band1Horz">
      <w:tblPr/>
      <w:trPr>
        <w:hidden/>
      </w:trPr>
      <w:tcPr>
        <w:tcBorders>
          <w:insideH w:val="nil"/>
          <w:insideV w:val="nil"/>
        </w:tcBorders>
        <w:shd w:val="clear" w:color="auto" w:fill="EFD3D2" w:themeFill="accent2" w:themeFillTint="3F"/>
      </w:tcPr>
    </w:tblStylePr>
    <w:tblStylePr w:type="band2Horz">
      <w:tblPr/>
      <w:trPr>
        <w:hidden/>
      </w:trPr>
      <w:tcPr>
        <w:tcBorders>
          <w:insideH w:val="nil"/>
          <w:insideV w:val="nil"/>
        </w:tcBorders>
      </w:tcPr>
    </w:tblStylePr>
  </w:style>
  <w:style w:type="table" w:styleId="MediumShading1-Accent3">
    <w:name w:val="Medium Shading 1 Accent 3"/>
    <w:basedOn w:val="TableNormal"/>
    <w:uiPriority w:val="63"/>
    <w:rsid w:val="002D66D8"/>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rPr>
      <w:hidden/>
    </w:trPr>
    <w:tblStylePr w:type="firstRow">
      <w:pPr>
        <w:spacing w:before="0" w:after="0" w:line="240" w:lineRule="auto"/>
      </w:pPr>
      <w:rPr>
        <w:b/>
        <w:bCs/>
        <w:color w:val="FFFFFF" w:themeColor="background1"/>
      </w:rPr>
      <w:tblPr/>
      <w:trPr>
        <w:hidden/>
      </w:tr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rPr>
        <w:hidden/>
      </w:tr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rPr>
        <w:hidden/>
      </w:trPr>
      <w:tcPr>
        <w:shd w:val="clear" w:color="auto" w:fill="E6EED5" w:themeFill="accent3" w:themeFillTint="3F"/>
      </w:tcPr>
    </w:tblStylePr>
    <w:tblStylePr w:type="band1Horz">
      <w:tblPr/>
      <w:trPr>
        <w:hidden/>
      </w:trPr>
      <w:tcPr>
        <w:tcBorders>
          <w:insideH w:val="nil"/>
          <w:insideV w:val="nil"/>
        </w:tcBorders>
        <w:shd w:val="clear" w:color="auto" w:fill="E6EED5" w:themeFill="accent3" w:themeFillTint="3F"/>
      </w:tcPr>
    </w:tblStylePr>
    <w:tblStylePr w:type="band2Horz">
      <w:tblPr/>
      <w:trPr>
        <w:hidden/>
      </w:trPr>
      <w:tcPr>
        <w:tcBorders>
          <w:insideH w:val="nil"/>
          <w:insideV w:val="nil"/>
        </w:tcBorders>
      </w:tcPr>
    </w:tblStylePr>
  </w:style>
  <w:style w:type="table" w:styleId="MediumShading1-Accent4">
    <w:name w:val="Medium Shading 1 Accent 4"/>
    <w:basedOn w:val="TableNormal"/>
    <w:uiPriority w:val="63"/>
    <w:rsid w:val="002D66D8"/>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rPr>
      <w:hidden/>
    </w:trPr>
    <w:tblStylePr w:type="firstRow">
      <w:pPr>
        <w:spacing w:before="0" w:after="0" w:line="240" w:lineRule="auto"/>
      </w:pPr>
      <w:rPr>
        <w:b/>
        <w:bCs/>
        <w:color w:val="FFFFFF" w:themeColor="background1"/>
      </w:rPr>
      <w:tblPr/>
      <w:trPr>
        <w:hidden/>
      </w:tr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rPr>
        <w:hidden/>
      </w:tr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rPr>
        <w:hidden/>
      </w:trPr>
      <w:tcPr>
        <w:shd w:val="clear" w:color="auto" w:fill="DFD8E8" w:themeFill="accent4" w:themeFillTint="3F"/>
      </w:tcPr>
    </w:tblStylePr>
    <w:tblStylePr w:type="band1Horz">
      <w:tblPr/>
      <w:trPr>
        <w:hidden/>
      </w:trPr>
      <w:tcPr>
        <w:tcBorders>
          <w:insideH w:val="nil"/>
          <w:insideV w:val="nil"/>
        </w:tcBorders>
        <w:shd w:val="clear" w:color="auto" w:fill="DFD8E8" w:themeFill="accent4" w:themeFillTint="3F"/>
      </w:tcPr>
    </w:tblStylePr>
    <w:tblStylePr w:type="band2Horz">
      <w:tblPr/>
      <w:trPr>
        <w:hidden/>
      </w:trPr>
      <w:tcPr>
        <w:tcBorders>
          <w:insideH w:val="nil"/>
          <w:insideV w:val="nil"/>
        </w:tcBorders>
      </w:tcPr>
    </w:tblStylePr>
  </w:style>
  <w:style w:type="table" w:styleId="MediumShading1-Accent5">
    <w:name w:val="Medium Shading 1 Accent 5"/>
    <w:basedOn w:val="TableNormal"/>
    <w:uiPriority w:val="63"/>
    <w:rsid w:val="002D66D8"/>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rPr>
      <w:hidden/>
    </w:trPr>
    <w:tblStylePr w:type="firstRow">
      <w:pPr>
        <w:spacing w:before="0" w:after="0" w:line="240" w:lineRule="auto"/>
      </w:pPr>
      <w:rPr>
        <w:b/>
        <w:bCs/>
        <w:color w:val="FFFFFF" w:themeColor="background1"/>
      </w:rPr>
      <w:tblPr/>
      <w:trPr>
        <w:hidden/>
      </w:tr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rPr>
        <w:hidden/>
      </w:tr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rPr>
        <w:hidden/>
      </w:trPr>
      <w:tcPr>
        <w:shd w:val="clear" w:color="auto" w:fill="D2EAF1" w:themeFill="accent5" w:themeFillTint="3F"/>
      </w:tcPr>
    </w:tblStylePr>
    <w:tblStylePr w:type="band1Horz">
      <w:tblPr/>
      <w:trPr>
        <w:hidden/>
      </w:trPr>
      <w:tcPr>
        <w:tcBorders>
          <w:insideH w:val="nil"/>
          <w:insideV w:val="nil"/>
        </w:tcBorders>
        <w:shd w:val="clear" w:color="auto" w:fill="D2EAF1" w:themeFill="accent5" w:themeFillTint="3F"/>
      </w:tcPr>
    </w:tblStylePr>
    <w:tblStylePr w:type="band2Horz">
      <w:tblPr/>
      <w:trPr>
        <w:hidden/>
      </w:trPr>
      <w:tcPr>
        <w:tcBorders>
          <w:insideH w:val="nil"/>
          <w:insideV w:val="nil"/>
        </w:tcBorders>
      </w:tcPr>
    </w:tblStylePr>
  </w:style>
  <w:style w:type="table" w:styleId="MediumShading1-Accent6">
    <w:name w:val="Medium Shading 1 Accent 6"/>
    <w:basedOn w:val="TableNormal"/>
    <w:uiPriority w:val="63"/>
    <w:rsid w:val="002D66D8"/>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rPr>
      <w:hidden/>
    </w:trPr>
    <w:tblStylePr w:type="firstRow">
      <w:pPr>
        <w:spacing w:before="0" w:after="0" w:line="240" w:lineRule="auto"/>
      </w:pPr>
      <w:rPr>
        <w:b/>
        <w:bCs/>
        <w:color w:val="FFFFFF" w:themeColor="background1"/>
      </w:rPr>
      <w:tblPr/>
      <w:trPr>
        <w:hidden/>
      </w:tr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rPr>
        <w:hidden/>
      </w:tr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rPr>
        <w:hidden/>
      </w:trPr>
      <w:tcPr>
        <w:shd w:val="clear" w:color="auto" w:fill="FDE4D0" w:themeFill="accent6" w:themeFillTint="3F"/>
      </w:tcPr>
    </w:tblStylePr>
    <w:tblStylePr w:type="band1Horz">
      <w:tblPr/>
      <w:trPr>
        <w:hidden/>
      </w:trPr>
      <w:tcPr>
        <w:tcBorders>
          <w:insideH w:val="nil"/>
          <w:insideV w:val="nil"/>
        </w:tcBorders>
        <w:shd w:val="clear" w:color="auto" w:fill="FDE4D0" w:themeFill="accent6" w:themeFillTint="3F"/>
      </w:tcPr>
    </w:tblStylePr>
    <w:tblStylePr w:type="band2Horz">
      <w:tblPr/>
      <w:trPr>
        <w:hidden/>
      </w:trPr>
      <w:tcPr>
        <w:tcBorders>
          <w:insideH w:val="nil"/>
          <w:insideV w:val="nil"/>
        </w:tcBorders>
      </w:tcPr>
    </w:tblStylePr>
  </w:style>
  <w:style w:type="table" w:styleId="MediumShading2">
    <w:name w:val="Medium Shading 2"/>
    <w:basedOn w:val="TableNormal"/>
    <w:uiPriority w:val="64"/>
    <w:rsid w:val="002D66D8"/>
    <w:tblPr>
      <w:tblStyleRowBandSize w:val="1"/>
      <w:tblStyleColBandSize w:val="1"/>
      <w:tblBorders>
        <w:top w:val="single" w:sz="18" w:space="0" w:color="auto"/>
        <w:bottom w:val="single" w:sz="18" w:space="0" w:color="auto"/>
      </w:tblBorders>
    </w:tblPr>
    <w:trPr>
      <w:hidden/>
    </w:trPr>
    <w:tblStylePr w:type="firstRow">
      <w:pPr>
        <w:spacing w:before="0" w:after="0" w:line="240" w:lineRule="auto"/>
      </w:pPr>
      <w:rPr>
        <w:b/>
        <w:bCs/>
        <w:color w:val="FFFFFF" w:themeColor="background1"/>
      </w:rPr>
      <w:tblPr/>
      <w:trPr>
        <w:hidden/>
      </w:tr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rPr>
        <w:hidden/>
      </w:tr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rPr>
        <w:hidden/>
      </w:tr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rPr>
        <w:hidden/>
      </w:trPr>
      <w:tcPr>
        <w:tcBorders>
          <w:left w:val="nil"/>
          <w:right w:val="nil"/>
          <w:insideH w:val="nil"/>
          <w:insideV w:val="nil"/>
        </w:tcBorders>
        <w:shd w:val="clear" w:color="auto" w:fill="000000" w:themeFill="text1"/>
      </w:tcPr>
    </w:tblStylePr>
    <w:tblStylePr w:type="band1Vert">
      <w:tblPr/>
      <w:trPr>
        <w:hidden/>
      </w:trPr>
      <w:tcPr>
        <w:tcBorders>
          <w:left w:val="nil"/>
          <w:right w:val="nil"/>
          <w:insideH w:val="nil"/>
          <w:insideV w:val="nil"/>
        </w:tcBorders>
        <w:shd w:val="clear" w:color="auto" w:fill="D8D8D8" w:themeFill="background1" w:themeFillShade="D8"/>
      </w:tcPr>
    </w:tblStylePr>
    <w:tblStylePr w:type="band1Horz">
      <w:tblPr/>
      <w:trPr>
        <w:hidden/>
      </w:trPr>
      <w:tcPr>
        <w:shd w:val="clear" w:color="auto" w:fill="D8D8D8" w:themeFill="background1" w:themeFillShade="D8"/>
      </w:tcPr>
    </w:tblStylePr>
    <w:tblStylePr w:type="neCell">
      <w:tblPr/>
      <w:trPr>
        <w:hidden/>
      </w:tr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rPr>
        <w:hidden/>
      </w:tr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2D66D8"/>
    <w:tblPr>
      <w:tblStyleRowBandSize w:val="1"/>
      <w:tblStyleColBandSize w:val="1"/>
      <w:tblBorders>
        <w:top w:val="single" w:sz="18" w:space="0" w:color="auto"/>
        <w:bottom w:val="single" w:sz="18" w:space="0" w:color="auto"/>
      </w:tblBorders>
    </w:tblPr>
    <w:trPr>
      <w:hidden/>
    </w:trPr>
    <w:tblStylePr w:type="firstRow">
      <w:pPr>
        <w:spacing w:before="0" w:after="0" w:line="240" w:lineRule="auto"/>
      </w:pPr>
      <w:rPr>
        <w:b/>
        <w:bCs/>
        <w:color w:val="FFFFFF" w:themeColor="background1"/>
      </w:rPr>
      <w:tblPr/>
      <w:trPr>
        <w:hidden/>
      </w:tr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rPr>
        <w:hidden/>
      </w:tr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rPr>
        <w:hidden/>
      </w:tr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rPr>
        <w:hidden/>
      </w:trPr>
      <w:tcPr>
        <w:tcBorders>
          <w:left w:val="nil"/>
          <w:right w:val="nil"/>
          <w:insideH w:val="nil"/>
          <w:insideV w:val="nil"/>
        </w:tcBorders>
        <w:shd w:val="clear" w:color="auto" w:fill="4F81BD" w:themeFill="accent1"/>
      </w:tcPr>
    </w:tblStylePr>
    <w:tblStylePr w:type="band1Vert">
      <w:tblPr/>
      <w:trPr>
        <w:hidden/>
      </w:trPr>
      <w:tcPr>
        <w:tcBorders>
          <w:left w:val="nil"/>
          <w:right w:val="nil"/>
          <w:insideH w:val="nil"/>
          <w:insideV w:val="nil"/>
        </w:tcBorders>
        <w:shd w:val="clear" w:color="auto" w:fill="D8D8D8" w:themeFill="background1" w:themeFillShade="D8"/>
      </w:tcPr>
    </w:tblStylePr>
    <w:tblStylePr w:type="band1Horz">
      <w:tblPr/>
      <w:trPr>
        <w:hidden/>
      </w:trPr>
      <w:tcPr>
        <w:shd w:val="clear" w:color="auto" w:fill="D8D8D8" w:themeFill="background1" w:themeFillShade="D8"/>
      </w:tcPr>
    </w:tblStylePr>
    <w:tblStylePr w:type="neCell">
      <w:tblPr/>
      <w:trPr>
        <w:hidden/>
      </w:tr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rPr>
        <w:hidden/>
      </w:tr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2D66D8"/>
    <w:tblPr>
      <w:tblStyleRowBandSize w:val="1"/>
      <w:tblStyleColBandSize w:val="1"/>
      <w:tblBorders>
        <w:top w:val="single" w:sz="18" w:space="0" w:color="auto"/>
        <w:bottom w:val="single" w:sz="18" w:space="0" w:color="auto"/>
      </w:tblBorders>
    </w:tblPr>
    <w:trPr>
      <w:hidden/>
    </w:trPr>
    <w:tblStylePr w:type="firstRow">
      <w:pPr>
        <w:spacing w:before="0" w:after="0" w:line="240" w:lineRule="auto"/>
      </w:pPr>
      <w:rPr>
        <w:b/>
        <w:bCs/>
        <w:color w:val="FFFFFF" w:themeColor="background1"/>
      </w:rPr>
      <w:tblPr/>
      <w:trPr>
        <w:hidden/>
      </w:tr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rPr>
        <w:hidden/>
      </w:tr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rPr>
        <w:hidden/>
      </w:tr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rPr>
        <w:hidden/>
      </w:trPr>
      <w:tcPr>
        <w:tcBorders>
          <w:left w:val="nil"/>
          <w:right w:val="nil"/>
          <w:insideH w:val="nil"/>
          <w:insideV w:val="nil"/>
        </w:tcBorders>
        <w:shd w:val="clear" w:color="auto" w:fill="C0504D" w:themeFill="accent2"/>
      </w:tcPr>
    </w:tblStylePr>
    <w:tblStylePr w:type="band1Vert">
      <w:tblPr/>
      <w:trPr>
        <w:hidden/>
      </w:trPr>
      <w:tcPr>
        <w:tcBorders>
          <w:left w:val="nil"/>
          <w:right w:val="nil"/>
          <w:insideH w:val="nil"/>
          <w:insideV w:val="nil"/>
        </w:tcBorders>
        <w:shd w:val="clear" w:color="auto" w:fill="D8D8D8" w:themeFill="background1" w:themeFillShade="D8"/>
      </w:tcPr>
    </w:tblStylePr>
    <w:tblStylePr w:type="band1Horz">
      <w:tblPr/>
      <w:trPr>
        <w:hidden/>
      </w:trPr>
      <w:tcPr>
        <w:shd w:val="clear" w:color="auto" w:fill="D8D8D8" w:themeFill="background1" w:themeFillShade="D8"/>
      </w:tcPr>
    </w:tblStylePr>
    <w:tblStylePr w:type="neCell">
      <w:tblPr/>
      <w:trPr>
        <w:hidden/>
      </w:tr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rPr>
        <w:hidden/>
      </w:tr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2D66D8"/>
    <w:tblPr>
      <w:tblStyleRowBandSize w:val="1"/>
      <w:tblStyleColBandSize w:val="1"/>
      <w:tblBorders>
        <w:top w:val="single" w:sz="18" w:space="0" w:color="auto"/>
        <w:bottom w:val="single" w:sz="18" w:space="0" w:color="auto"/>
      </w:tblBorders>
    </w:tblPr>
    <w:trPr>
      <w:hidden/>
    </w:trPr>
    <w:tblStylePr w:type="firstRow">
      <w:pPr>
        <w:spacing w:before="0" w:after="0" w:line="240" w:lineRule="auto"/>
      </w:pPr>
      <w:rPr>
        <w:b/>
        <w:bCs/>
        <w:color w:val="FFFFFF" w:themeColor="background1"/>
      </w:rPr>
      <w:tblPr/>
      <w:trPr>
        <w:hidden/>
      </w:tr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rPr>
        <w:hidden/>
      </w:tr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rPr>
        <w:hidden/>
      </w:tr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rPr>
        <w:hidden/>
      </w:trPr>
      <w:tcPr>
        <w:tcBorders>
          <w:left w:val="nil"/>
          <w:right w:val="nil"/>
          <w:insideH w:val="nil"/>
          <w:insideV w:val="nil"/>
        </w:tcBorders>
        <w:shd w:val="clear" w:color="auto" w:fill="9BBB59" w:themeFill="accent3"/>
      </w:tcPr>
    </w:tblStylePr>
    <w:tblStylePr w:type="band1Vert">
      <w:tblPr/>
      <w:trPr>
        <w:hidden/>
      </w:trPr>
      <w:tcPr>
        <w:tcBorders>
          <w:left w:val="nil"/>
          <w:right w:val="nil"/>
          <w:insideH w:val="nil"/>
          <w:insideV w:val="nil"/>
        </w:tcBorders>
        <w:shd w:val="clear" w:color="auto" w:fill="D8D8D8" w:themeFill="background1" w:themeFillShade="D8"/>
      </w:tcPr>
    </w:tblStylePr>
    <w:tblStylePr w:type="band1Horz">
      <w:tblPr/>
      <w:trPr>
        <w:hidden/>
      </w:trPr>
      <w:tcPr>
        <w:shd w:val="clear" w:color="auto" w:fill="D8D8D8" w:themeFill="background1" w:themeFillShade="D8"/>
      </w:tcPr>
    </w:tblStylePr>
    <w:tblStylePr w:type="neCell">
      <w:tblPr/>
      <w:trPr>
        <w:hidden/>
      </w:tr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rPr>
        <w:hidden/>
      </w:tr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2D66D8"/>
    <w:tblPr>
      <w:tblStyleRowBandSize w:val="1"/>
      <w:tblStyleColBandSize w:val="1"/>
      <w:tblBorders>
        <w:top w:val="single" w:sz="18" w:space="0" w:color="auto"/>
        <w:bottom w:val="single" w:sz="18" w:space="0" w:color="auto"/>
      </w:tblBorders>
    </w:tblPr>
    <w:trPr>
      <w:hidden/>
    </w:trPr>
    <w:tblStylePr w:type="firstRow">
      <w:pPr>
        <w:spacing w:before="0" w:after="0" w:line="240" w:lineRule="auto"/>
      </w:pPr>
      <w:rPr>
        <w:b/>
        <w:bCs/>
        <w:color w:val="FFFFFF" w:themeColor="background1"/>
      </w:rPr>
      <w:tblPr/>
      <w:trPr>
        <w:hidden/>
      </w:tr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rPr>
        <w:hidden/>
      </w:tr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rPr>
        <w:hidden/>
      </w:tr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rPr>
        <w:hidden/>
      </w:trPr>
      <w:tcPr>
        <w:tcBorders>
          <w:left w:val="nil"/>
          <w:right w:val="nil"/>
          <w:insideH w:val="nil"/>
          <w:insideV w:val="nil"/>
        </w:tcBorders>
        <w:shd w:val="clear" w:color="auto" w:fill="8064A2" w:themeFill="accent4"/>
      </w:tcPr>
    </w:tblStylePr>
    <w:tblStylePr w:type="band1Vert">
      <w:tblPr/>
      <w:trPr>
        <w:hidden/>
      </w:trPr>
      <w:tcPr>
        <w:tcBorders>
          <w:left w:val="nil"/>
          <w:right w:val="nil"/>
          <w:insideH w:val="nil"/>
          <w:insideV w:val="nil"/>
        </w:tcBorders>
        <w:shd w:val="clear" w:color="auto" w:fill="D8D8D8" w:themeFill="background1" w:themeFillShade="D8"/>
      </w:tcPr>
    </w:tblStylePr>
    <w:tblStylePr w:type="band1Horz">
      <w:tblPr/>
      <w:trPr>
        <w:hidden/>
      </w:trPr>
      <w:tcPr>
        <w:shd w:val="clear" w:color="auto" w:fill="D8D8D8" w:themeFill="background1" w:themeFillShade="D8"/>
      </w:tcPr>
    </w:tblStylePr>
    <w:tblStylePr w:type="neCell">
      <w:tblPr/>
      <w:trPr>
        <w:hidden/>
      </w:tr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rPr>
        <w:hidden/>
      </w:tr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2D66D8"/>
    <w:tblPr>
      <w:tblStyleRowBandSize w:val="1"/>
      <w:tblStyleColBandSize w:val="1"/>
      <w:tblBorders>
        <w:top w:val="single" w:sz="18" w:space="0" w:color="auto"/>
        <w:bottom w:val="single" w:sz="18" w:space="0" w:color="auto"/>
      </w:tblBorders>
    </w:tblPr>
    <w:trPr>
      <w:hidden/>
    </w:trPr>
    <w:tblStylePr w:type="firstRow">
      <w:pPr>
        <w:spacing w:before="0" w:after="0" w:line="240" w:lineRule="auto"/>
      </w:pPr>
      <w:rPr>
        <w:b/>
        <w:bCs/>
        <w:color w:val="FFFFFF" w:themeColor="background1"/>
      </w:rPr>
      <w:tblPr/>
      <w:trPr>
        <w:hidden/>
      </w:tr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rPr>
        <w:hidden/>
      </w:tr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rPr>
        <w:hidden/>
      </w:tr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rPr>
        <w:hidden/>
      </w:trPr>
      <w:tcPr>
        <w:tcBorders>
          <w:left w:val="nil"/>
          <w:right w:val="nil"/>
          <w:insideH w:val="nil"/>
          <w:insideV w:val="nil"/>
        </w:tcBorders>
        <w:shd w:val="clear" w:color="auto" w:fill="4BACC6" w:themeFill="accent5"/>
      </w:tcPr>
    </w:tblStylePr>
    <w:tblStylePr w:type="band1Vert">
      <w:tblPr/>
      <w:trPr>
        <w:hidden/>
      </w:trPr>
      <w:tcPr>
        <w:tcBorders>
          <w:left w:val="nil"/>
          <w:right w:val="nil"/>
          <w:insideH w:val="nil"/>
          <w:insideV w:val="nil"/>
        </w:tcBorders>
        <w:shd w:val="clear" w:color="auto" w:fill="D8D8D8" w:themeFill="background1" w:themeFillShade="D8"/>
      </w:tcPr>
    </w:tblStylePr>
    <w:tblStylePr w:type="band1Horz">
      <w:tblPr/>
      <w:trPr>
        <w:hidden/>
      </w:trPr>
      <w:tcPr>
        <w:shd w:val="clear" w:color="auto" w:fill="D8D8D8" w:themeFill="background1" w:themeFillShade="D8"/>
      </w:tcPr>
    </w:tblStylePr>
    <w:tblStylePr w:type="neCell">
      <w:tblPr/>
      <w:trPr>
        <w:hidden/>
      </w:tr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rPr>
        <w:hidden/>
      </w:tr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2D66D8"/>
    <w:tblPr>
      <w:tblStyleRowBandSize w:val="1"/>
      <w:tblStyleColBandSize w:val="1"/>
      <w:tblBorders>
        <w:top w:val="single" w:sz="18" w:space="0" w:color="auto"/>
        <w:bottom w:val="single" w:sz="18" w:space="0" w:color="auto"/>
      </w:tblBorders>
    </w:tblPr>
    <w:trPr>
      <w:hidden/>
    </w:trPr>
    <w:tblStylePr w:type="firstRow">
      <w:pPr>
        <w:spacing w:before="0" w:after="0" w:line="240" w:lineRule="auto"/>
      </w:pPr>
      <w:rPr>
        <w:b/>
        <w:bCs/>
        <w:color w:val="FFFFFF" w:themeColor="background1"/>
      </w:rPr>
      <w:tblPr/>
      <w:trPr>
        <w:hidden/>
      </w:tr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rPr>
        <w:hidden/>
      </w:tr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rPr>
        <w:hidden/>
      </w:tr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rPr>
        <w:hidden/>
      </w:trPr>
      <w:tcPr>
        <w:tcBorders>
          <w:left w:val="nil"/>
          <w:right w:val="nil"/>
          <w:insideH w:val="nil"/>
          <w:insideV w:val="nil"/>
        </w:tcBorders>
        <w:shd w:val="clear" w:color="auto" w:fill="F79646" w:themeFill="accent6"/>
      </w:tcPr>
    </w:tblStylePr>
    <w:tblStylePr w:type="band1Vert">
      <w:tblPr/>
      <w:trPr>
        <w:hidden/>
      </w:trPr>
      <w:tcPr>
        <w:tcBorders>
          <w:left w:val="nil"/>
          <w:right w:val="nil"/>
          <w:insideH w:val="nil"/>
          <w:insideV w:val="nil"/>
        </w:tcBorders>
        <w:shd w:val="clear" w:color="auto" w:fill="D8D8D8" w:themeFill="background1" w:themeFillShade="D8"/>
      </w:tcPr>
    </w:tblStylePr>
    <w:tblStylePr w:type="band1Horz">
      <w:tblPr/>
      <w:trPr>
        <w:hidden/>
      </w:trPr>
      <w:tcPr>
        <w:shd w:val="clear" w:color="auto" w:fill="D8D8D8" w:themeFill="background1" w:themeFillShade="D8"/>
      </w:tcPr>
    </w:tblStylePr>
    <w:tblStylePr w:type="neCell">
      <w:tblPr/>
      <w:trPr>
        <w:hidden/>
      </w:tr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rPr>
        <w:hidden/>
      </w:tr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semiHidden/>
    <w:unhideWhenUsed/>
    <w:rsid w:val="002D66D8"/>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080" w:hanging="1080"/>
    </w:pPr>
    <w:rPr>
      <w:rFonts w:asciiTheme="majorHAnsi" w:eastAsiaTheme="majorEastAsia" w:hAnsiTheme="majorHAnsi" w:cstheme="majorBidi"/>
      <w:szCs w:val="24"/>
    </w:rPr>
  </w:style>
  <w:style w:type="character" w:customStyle="1" w:styleId="MessageHeaderChar">
    <w:name w:val="Message Header Char"/>
    <w:basedOn w:val="DefaultParagraphFont"/>
    <w:link w:val="MessageHeader"/>
    <w:semiHidden/>
    <w:rsid w:val="002D66D8"/>
    <w:rPr>
      <w:rFonts w:asciiTheme="majorHAnsi" w:eastAsiaTheme="majorEastAsia" w:hAnsiTheme="majorHAnsi" w:cstheme="majorBidi"/>
      <w:sz w:val="24"/>
      <w:szCs w:val="24"/>
      <w:shd w:val="pct20" w:color="auto" w:fill="auto"/>
    </w:rPr>
  </w:style>
  <w:style w:type="paragraph" w:styleId="NoteHeading">
    <w:name w:val="Note Heading"/>
    <w:basedOn w:val="Normal"/>
    <w:next w:val="Normal"/>
    <w:link w:val="NoteHeadingChar"/>
    <w:semiHidden/>
    <w:unhideWhenUsed/>
    <w:rsid w:val="002D66D8"/>
    <w:pPr>
      <w:spacing w:before="0" w:after="0" w:line="240" w:lineRule="auto"/>
    </w:pPr>
  </w:style>
  <w:style w:type="character" w:customStyle="1" w:styleId="NoteHeadingChar">
    <w:name w:val="Note Heading Char"/>
    <w:basedOn w:val="DefaultParagraphFont"/>
    <w:link w:val="NoteHeading"/>
    <w:semiHidden/>
    <w:rsid w:val="002D66D8"/>
    <w:rPr>
      <w:rFonts w:eastAsia="Calibri" w:cs="Cordia New"/>
      <w:sz w:val="24"/>
      <w:szCs w:val="22"/>
    </w:rPr>
  </w:style>
  <w:style w:type="paragraph" w:styleId="PlainText">
    <w:name w:val="Plain Text"/>
    <w:basedOn w:val="Normal"/>
    <w:link w:val="PlainTextChar"/>
    <w:semiHidden/>
    <w:unhideWhenUsed/>
    <w:rsid w:val="002D66D8"/>
    <w:pPr>
      <w:spacing w:before="0" w:after="0" w:line="240" w:lineRule="auto"/>
    </w:pPr>
    <w:rPr>
      <w:rFonts w:ascii="Consolas" w:hAnsi="Consolas" w:cs="Consolas"/>
      <w:sz w:val="21"/>
      <w:szCs w:val="21"/>
    </w:rPr>
  </w:style>
  <w:style w:type="character" w:customStyle="1" w:styleId="PlainTextChar">
    <w:name w:val="Plain Text Char"/>
    <w:basedOn w:val="DefaultParagraphFont"/>
    <w:link w:val="PlainText"/>
    <w:semiHidden/>
    <w:rsid w:val="002D66D8"/>
    <w:rPr>
      <w:rFonts w:ascii="Consolas" w:eastAsia="Calibri" w:hAnsi="Consolas" w:cs="Consolas"/>
      <w:sz w:val="21"/>
      <w:szCs w:val="21"/>
    </w:rPr>
  </w:style>
  <w:style w:type="paragraph" w:styleId="Signature">
    <w:name w:val="Signature"/>
    <w:basedOn w:val="Normal"/>
    <w:link w:val="SignatureChar"/>
    <w:semiHidden/>
    <w:unhideWhenUsed/>
    <w:rsid w:val="002D66D8"/>
    <w:pPr>
      <w:spacing w:before="0" w:after="0" w:line="240" w:lineRule="auto"/>
      <w:ind w:left="4320"/>
    </w:pPr>
  </w:style>
  <w:style w:type="character" w:customStyle="1" w:styleId="SignatureChar">
    <w:name w:val="Signature Char"/>
    <w:basedOn w:val="DefaultParagraphFont"/>
    <w:link w:val="Signature"/>
    <w:semiHidden/>
    <w:rsid w:val="002D66D8"/>
    <w:rPr>
      <w:rFonts w:eastAsia="Calibri" w:cs="Cordia New"/>
      <w:sz w:val="24"/>
      <w:szCs w:val="22"/>
    </w:rPr>
  </w:style>
  <w:style w:type="table" w:styleId="Table3Deffects1">
    <w:name w:val="Table 3D effects 1"/>
    <w:basedOn w:val="TableNormal"/>
    <w:semiHidden/>
    <w:unhideWhenUsed/>
    <w:rsid w:val="002D66D8"/>
    <w:pPr>
      <w:spacing w:before="120" w:after="120" w:line="280" w:lineRule="atLeast"/>
    </w:pPr>
    <w:tblPr/>
    <w:trPr>
      <w:hidden/>
    </w:trPr>
    <w:tcPr>
      <w:shd w:val="solid" w:color="C0C0C0" w:fill="FFFFFF"/>
    </w:tcPr>
    <w:tblStylePr w:type="firstRow">
      <w:rPr>
        <w:b/>
        <w:bCs/>
        <w:color w:val="800080"/>
      </w:rPr>
      <w:tblPr/>
      <w:trPr>
        <w:hidden/>
      </w:trPr>
      <w:tcPr>
        <w:tcBorders>
          <w:bottom w:val="single" w:sz="6" w:space="0" w:color="808080"/>
          <w:tl2br w:val="none" w:sz="0" w:space="0" w:color="auto"/>
          <w:tr2bl w:val="none" w:sz="0" w:space="0" w:color="auto"/>
        </w:tcBorders>
      </w:tcPr>
    </w:tblStylePr>
    <w:tblStylePr w:type="lastRow">
      <w:tblPr/>
      <w:trPr>
        <w:hidden/>
      </w:trPr>
      <w:tcPr>
        <w:tcBorders>
          <w:top w:val="single" w:sz="6" w:space="0" w:color="FFFFFF"/>
          <w:tl2br w:val="none" w:sz="0" w:space="0" w:color="auto"/>
          <w:tr2bl w:val="none" w:sz="0" w:space="0" w:color="auto"/>
        </w:tcBorders>
      </w:tcPr>
    </w:tblStylePr>
    <w:tblStylePr w:type="firstCol">
      <w:rPr>
        <w:b/>
        <w:bCs/>
      </w:rPr>
      <w:tblPr/>
      <w:trPr>
        <w:hidden/>
      </w:trPr>
      <w:tcPr>
        <w:tcBorders>
          <w:right w:val="single" w:sz="6" w:space="0" w:color="808080"/>
          <w:tl2br w:val="none" w:sz="0" w:space="0" w:color="auto"/>
          <w:tr2bl w:val="none" w:sz="0" w:space="0" w:color="auto"/>
        </w:tcBorders>
      </w:tcPr>
    </w:tblStylePr>
    <w:tblStylePr w:type="lastCol">
      <w:tblPr/>
      <w:trPr>
        <w:hidden/>
      </w:trPr>
      <w:tcPr>
        <w:tcBorders>
          <w:left w:val="single" w:sz="6" w:space="0" w:color="FFFFFF"/>
          <w:tl2br w:val="none" w:sz="0" w:space="0" w:color="auto"/>
          <w:tr2bl w:val="none" w:sz="0" w:space="0" w:color="auto"/>
        </w:tcBorders>
      </w:tcPr>
    </w:tblStylePr>
    <w:tblStylePr w:type="neCell">
      <w:tblPr/>
      <w:trPr>
        <w:hidden/>
      </w:trPr>
      <w:tcPr>
        <w:tcBorders>
          <w:left w:val="none" w:sz="0" w:space="0" w:color="auto"/>
          <w:bottom w:val="none" w:sz="0" w:space="0" w:color="auto"/>
          <w:tl2br w:val="none" w:sz="0" w:space="0" w:color="auto"/>
          <w:tr2bl w:val="none" w:sz="0" w:space="0" w:color="auto"/>
        </w:tcBorders>
      </w:tcPr>
    </w:tblStylePr>
    <w:tblStylePr w:type="nwCell">
      <w:tblPr/>
      <w:trPr>
        <w:hidden/>
      </w:trPr>
      <w:tcPr>
        <w:tcBorders>
          <w:bottom w:val="none" w:sz="0" w:space="0" w:color="auto"/>
          <w:right w:val="none" w:sz="0" w:space="0" w:color="auto"/>
          <w:tl2br w:val="none" w:sz="0" w:space="0" w:color="auto"/>
          <w:tr2bl w:val="none" w:sz="0" w:space="0" w:color="auto"/>
        </w:tcBorders>
      </w:tcPr>
    </w:tblStylePr>
    <w:tblStylePr w:type="seCell">
      <w:tblPr/>
      <w:trPr>
        <w:hidden/>
      </w:trPr>
      <w:tcPr>
        <w:tcBorders>
          <w:top w:val="none" w:sz="0" w:space="0" w:color="auto"/>
          <w:left w:val="none" w:sz="0" w:space="0" w:color="auto"/>
          <w:tl2br w:val="none" w:sz="0" w:space="0" w:color="auto"/>
          <w:tr2bl w:val="none" w:sz="0" w:space="0" w:color="auto"/>
        </w:tcBorders>
      </w:tcPr>
    </w:tblStylePr>
    <w:tblStylePr w:type="swCell">
      <w:rPr>
        <w:color w:val="000080"/>
      </w:rPr>
      <w:tblPr/>
      <w:trPr>
        <w:hidden/>
      </w:tr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unhideWhenUsed/>
    <w:rsid w:val="002D66D8"/>
    <w:pPr>
      <w:spacing w:before="120" w:after="120" w:line="280" w:lineRule="atLeast"/>
    </w:pPr>
    <w:tblPr>
      <w:tblStyleRowBandSize w:val="1"/>
    </w:tblPr>
    <w:trPr>
      <w:hidden/>
    </w:trPr>
    <w:tcPr>
      <w:shd w:val="solid" w:color="C0C0C0" w:fill="FFFFFF"/>
    </w:tcPr>
    <w:tblStylePr w:type="firstRow">
      <w:rPr>
        <w:b/>
        <w:bCs/>
      </w:rPr>
      <w:tblPr/>
      <w:trPr>
        <w:hidden/>
      </w:trPr>
      <w:tcPr>
        <w:tcBorders>
          <w:tl2br w:val="none" w:sz="0" w:space="0" w:color="auto"/>
          <w:tr2bl w:val="none" w:sz="0" w:space="0" w:color="auto"/>
        </w:tcBorders>
      </w:tcPr>
    </w:tblStylePr>
    <w:tblStylePr w:type="firstCol">
      <w:tblPr/>
      <w:trPr>
        <w:hidden/>
      </w:tr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rPr>
        <w:hidden/>
      </w:trPr>
      <w:tcPr>
        <w:tcBorders>
          <w:right w:val="single" w:sz="6" w:space="0" w:color="FFFFFF"/>
          <w:tl2br w:val="none" w:sz="0" w:space="0" w:color="auto"/>
          <w:tr2bl w:val="none" w:sz="0" w:space="0" w:color="auto"/>
        </w:tcBorders>
      </w:tcPr>
    </w:tblStylePr>
    <w:tblStylePr w:type="band1Horz">
      <w:tblPr/>
      <w:trPr>
        <w:hidden/>
      </w:trPr>
      <w:tcPr>
        <w:tcBorders>
          <w:top w:val="single" w:sz="6" w:space="0" w:color="808080"/>
          <w:bottom w:val="single" w:sz="6" w:space="0" w:color="FFFFFF"/>
          <w:tl2br w:val="none" w:sz="0" w:space="0" w:color="auto"/>
          <w:tr2bl w:val="none" w:sz="0" w:space="0" w:color="auto"/>
        </w:tcBorders>
      </w:tcPr>
    </w:tblStylePr>
    <w:tblStylePr w:type="swCell">
      <w:rPr>
        <w:b/>
        <w:bCs/>
      </w:rPr>
      <w:tblPr/>
      <w:trPr>
        <w:hidden/>
      </w:trPr>
      <w:tcPr>
        <w:tcBorders>
          <w:tl2br w:val="none" w:sz="0" w:space="0" w:color="auto"/>
          <w:tr2bl w:val="none" w:sz="0" w:space="0" w:color="auto"/>
        </w:tcBorders>
      </w:tcPr>
    </w:tblStylePr>
  </w:style>
  <w:style w:type="table" w:styleId="Table3Deffects3">
    <w:name w:val="Table 3D effects 3"/>
    <w:basedOn w:val="TableNormal"/>
    <w:semiHidden/>
    <w:unhideWhenUsed/>
    <w:rsid w:val="002D66D8"/>
    <w:pPr>
      <w:spacing w:before="120" w:after="120" w:line="280" w:lineRule="atLeast"/>
    </w:pPr>
    <w:tblPr>
      <w:tblStyleRowBandSize w:val="1"/>
      <w:tblStyleColBandSize w:val="1"/>
    </w:tblPr>
    <w:trPr>
      <w:hidden/>
    </w:trPr>
    <w:tblStylePr w:type="firstRow">
      <w:rPr>
        <w:b/>
        <w:bCs/>
      </w:rPr>
      <w:tblPr/>
      <w:trPr>
        <w:hidden/>
      </w:trPr>
      <w:tcPr>
        <w:tcBorders>
          <w:tl2br w:val="none" w:sz="0" w:space="0" w:color="auto"/>
          <w:tr2bl w:val="none" w:sz="0" w:space="0" w:color="auto"/>
        </w:tcBorders>
      </w:tcPr>
    </w:tblStylePr>
    <w:tblStylePr w:type="firstCol">
      <w:tblPr/>
      <w:trPr>
        <w:hidden/>
      </w:tr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rPr>
        <w:hidden/>
      </w:trPr>
      <w:tcPr>
        <w:tcBorders>
          <w:right w:val="single" w:sz="6" w:space="0" w:color="FFFFFF"/>
          <w:tl2br w:val="none" w:sz="0" w:space="0" w:color="auto"/>
          <w:tr2bl w:val="none" w:sz="0" w:space="0" w:color="auto"/>
        </w:tcBorders>
      </w:tcPr>
    </w:tblStylePr>
    <w:tblStylePr w:type="band1Vert">
      <w:rPr>
        <w:color w:val="auto"/>
      </w:rPr>
      <w:tblPr/>
      <w:trPr>
        <w:hidden/>
      </w:trPr>
      <w:tcPr>
        <w:shd w:val="solid" w:color="C0C0C0" w:fill="FFFFFF"/>
      </w:tcPr>
    </w:tblStylePr>
    <w:tblStylePr w:type="band2Vert">
      <w:rPr>
        <w:color w:val="auto"/>
      </w:rPr>
      <w:tblPr/>
      <w:trPr>
        <w:hidden/>
      </w:trPr>
      <w:tcPr>
        <w:shd w:val="pct50" w:color="C0C0C0" w:fill="FFFFFF"/>
      </w:tcPr>
    </w:tblStylePr>
    <w:tblStylePr w:type="band1Horz">
      <w:tblPr/>
      <w:trPr>
        <w:hidden/>
      </w:trPr>
      <w:tcPr>
        <w:tcBorders>
          <w:top w:val="single" w:sz="6" w:space="0" w:color="808080"/>
          <w:bottom w:val="single" w:sz="6" w:space="0" w:color="FFFFFF"/>
          <w:tl2br w:val="none" w:sz="0" w:space="0" w:color="auto"/>
          <w:tr2bl w:val="none" w:sz="0" w:space="0" w:color="auto"/>
        </w:tcBorders>
      </w:tcPr>
    </w:tblStylePr>
    <w:tblStylePr w:type="swCell">
      <w:rPr>
        <w:b/>
        <w:bCs/>
      </w:rPr>
      <w:tblPr/>
      <w:trPr>
        <w:hidden/>
      </w:trPr>
      <w:tcPr>
        <w:tcBorders>
          <w:tl2br w:val="none" w:sz="0" w:space="0" w:color="auto"/>
          <w:tr2bl w:val="none" w:sz="0" w:space="0" w:color="auto"/>
        </w:tcBorders>
      </w:tcPr>
    </w:tblStylePr>
  </w:style>
  <w:style w:type="table" w:styleId="TableClassic1">
    <w:name w:val="Table Classic 1"/>
    <w:basedOn w:val="TableNormal"/>
    <w:semiHidden/>
    <w:unhideWhenUsed/>
    <w:rsid w:val="002D66D8"/>
    <w:pPr>
      <w:spacing w:before="120" w:after="120" w:line="280" w:lineRule="atLeast"/>
    </w:pPr>
    <w:tblPr>
      <w:tblBorders>
        <w:top w:val="single" w:sz="12" w:space="0" w:color="000000"/>
        <w:bottom w:val="single" w:sz="12" w:space="0" w:color="000000"/>
      </w:tblBorders>
    </w:tblPr>
    <w:trPr>
      <w:hidden/>
    </w:trPr>
    <w:tcPr>
      <w:shd w:val="clear" w:color="auto" w:fill="auto"/>
    </w:tcPr>
    <w:tblStylePr w:type="firstRow">
      <w:rPr>
        <w:i/>
        <w:iCs/>
      </w:rPr>
      <w:tblPr/>
      <w:trPr>
        <w:hidden/>
      </w:trPr>
      <w:tcPr>
        <w:tcBorders>
          <w:bottom w:val="single" w:sz="6" w:space="0" w:color="000000"/>
          <w:tl2br w:val="none" w:sz="0" w:space="0" w:color="auto"/>
          <w:tr2bl w:val="none" w:sz="0" w:space="0" w:color="auto"/>
        </w:tcBorders>
      </w:tcPr>
    </w:tblStylePr>
    <w:tblStylePr w:type="lastRow">
      <w:rPr>
        <w:color w:val="auto"/>
      </w:rPr>
      <w:tblPr/>
      <w:trPr>
        <w:hidden/>
      </w:trPr>
      <w:tcPr>
        <w:tcBorders>
          <w:top w:val="single" w:sz="6" w:space="0" w:color="000000"/>
          <w:tl2br w:val="none" w:sz="0" w:space="0" w:color="auto"/>
          <w:tr2bl w:val="none" w:sz="0" w:space="0" w:color="auto"/>
        </w:tcBorders>
      </w:tcPr>
    </w:tblStylePr>
    <w:tblStylePr w:type="firstCol">
      <w:tblPr/>
      <w:trPr>
        <w:hidden/>
      </w:trPr>
      <w:tcPr>
        <w:tcBorders>
          <w:right w:val="single" w:sz="6" w:space="0" w:color="000000"/>
          <w:tl2br w:val="none" w:sz="0" w:space="0" w:color="auto"/>
          <w:tr2bl w:val="none" w:sz="0" w:space="0" w:color="auto"/>
        </w:tcBorders>
      </w:tcPr>
    </w:tblStylePr>
    <w:tblStylePr w:type="neCell">
      <w:rPr>
        <w:b/>
        <w:bCs/>
        <w:i w:val="0"/>
        <w:iCs w:val="0"/>
      </w:rPr>
      <w:tblPr/>
      <w:trPr>
        <w:hidden/>
      </w:trPr>
      <w:tcPr>
        <w:tcBorders>
          <w:tl2br w:val="none" w:sz="0" w:space="0" w:color="auto"/>
          <w:tr2bl w:val="none" w:sz="0" w:space="0" w:color="auto"/>
        </w:tcBorders>
      </w:tcPr>
    </w:tblStylePr>
    <w:tblStylePr w:type="swCell">
      <w:rPr>
        <w:b/>
        <w:bCs/>
      </w:rPr>
      <w:tblPr/>
      <w:trPr>
        <w:hidden/>
      </w:trPr>
      <w:tcPr>
        <w:tcBorders>
          <w:tl2br w:val="none" w:sz="0" w:space="0" w:color="auto"/>
          <w:tr2bl w:val="none" w:sz="0" w:space="0" w:color="auto"/>
        </w:tcBorders>
      </w:tcPr>
    </w:tblStylePr>
  </w:style>
  <w:style w:type="table" w:styleId="TableClassic2">
    <w:name w:val="Table Classic 2"/>
    <w:basedOn w:val="TableNormal"/>
    <w:semiHidden/>
    <w:unhideWhenUsed/>
    <w:rsid w:val="002D66D8"/>
    <w:pPr>
      <w:spacing w:before="120" w:after="120" w:line="280" w:lineRule="atLeast"/>
    </w:pPr>
    <w:tblPr>
      <w:tblBorders>
        <w:top w:val="single" w:sz="12" w:space="0" w:color="000000"/>
        <w:bottom w:val="single" w:sz="12" w:space="0" w:color="000000"/>
      </w:tblBorders>
    </w:tblPr>
    <w:trPr>
      <w:hidden/>
    </w:trPr>
    <w:tcPr>
      <w:shd w:val="clear" w:color="auto" w:fill="auto"/>
    </w:tcPr>
    <w:tblStylePr w:type="firstRow">
      <w:rPr>
        <w:color w:val="FFFFFF"/>
      </w:rPr>
      <w:tblPr/>
      <w:trPr>
        <w:hidden/>
      </w:trPr>
      <w:tcPr>
        <w:tcBorders>
          <w:bottom w:val="single" w:sz="6" w:space="0" w:color="000000"/>
          <w:tl2br w:val="none" w:sz="0" w:space="0" w:color="auto"/>
          <w:tr2bl w:val="none" w:sz="0" w:space="0" w:color="auto"/>
        </w:tcBorders>
        <w:shd w:val="solid" w:color="800080" w:fill="FFFFFF"/>
      </w:tcPr>
    </w:tblStylePr>
    <w:tblStylePr w:type="lastRow">
      <w:tblPr/>
      <w:trPr>
        <w:hidden/>
      </w:trPr>
      <w:tcPr>
        <w:tcBorders>
          <w:top w:val="single" w:sz="6" w:space="0" w:color="000000"/>
          <w:tl2br w:val="none" w:sz="0" w:space="0" w:color="auto"/>
          <w:tr2bl w:val="none" w:sz="0" w:space="0" w:color="auto"/>
        </w:tcBorders>
      </w:tcPr>
    </w:tblStylePr>
    <w:tblStylePr w:type="firstCol">
      <w:rPr>
        <w:b/>
        <w:bCs/>
      </w:rPr>
      <w:tblPr/>
      <w:trPr>
        <w:hidden/>
      </w:trPr>
      <w:tcPr>
        <w:tcBorders>
          <w:tl2br w:val="none" w:sz="0" w:space="0" w:color="auto"/>
          <w:tr2bl w:val="none" w:sz="0" w:space="0" w:color="auto"/>
        </w:tcBorders>
        <w:shd w:val="solid" w:color="C0C0C0" w:fill="FFFFFF"/>
      </w:tcPr>
    </w:tblStylePr>
    <w:tblStylePr w:type="neCell">
      <w:rPr>
        <w:b/>
        <w:bCs/>
      </w:rPr>
      <w:tblPr/>
      <w:trPr>
        <w:hidden/>
      </w:trPr>
      <w:tcPr>
        <w:tcBorders>
          <w:tl2br w:val="none" w:sz="0" w:space="0" w:color="auto"/>
          <w:tr2bl w:val="none" w:sz="0" w:space="0" w:color="auto"/>
        </w:tcBorders>
      </w:tcPr>
    </w:tblStylePr>
    <w:tblStylePr w:type="nwCell">
      <w:tblPr/>
      <w:trPr>
        <w:hidden/>
      </w:trPr>
      <w:tcPr>
        <w:tcBorders>
          <w:tl2br w:val="none" w:sz="0" w:space="0" w:color="auto"/>
          <w:tr2bl w:val="none" w:sz="0" w:space="0" w:color="auto"/>
        </w:tcBorders>
        <w:shd w:val="solid" w:color="800080" w:fill="FFFFFF"/>
      </w:tcPr>
    </w:tblStylePr>
    <w:tblStylePr w:type="swCell">
      <w:rPr>
        <w:color w:val="000080"/>
      </w:rPr>
      <w:tblPr/>
      <w:trPr>
        <w:hidden/>
      </w:trPr>
      <w:tcPr>
        <w:tcBorders>
          <w:tl2br w:val="none" w:sz="0" w:space="0" w:color="auto"/>
          <w:tr2bl w:val="none" w:sz="0" w:space="0" w:color="auto"/>
        </w:tcBorders>
      </w:tcPr>
    </w:tblStylePr>
  </w:style>
  <w:style w:type="table" w:styleId="TableClassic3">
    <w:name w:val="Table Classic 3"/>
    <w:basedOn w:val="TableNormal"/>
    <w:semiHidden/>
    <w:unhideWhenUsed/>
    <w:rsid w:val="002D66D8"/>
    <w:pPr>
      <w:spacing w:before="120" w:after="120" w:line="280" w:lineRule="atLeast"/>
    </w:pPr>
    <w:rPr>
      <w:color w:val="000080"/>
    </w:rPr>
    <w:tblPr>
      <w:tblBorders>
        <w:top w:val="single" w:sz="12" w:space="0" w:color="000000"/>
        <w:left w:val="single" w:sz="12" w:space="0" w:color="000000"/>
        <w:bottom w:val="single" w:sz="12" w:space="0" w:color="000000"/>
        <w:right w:val="single" w:sz="12" w:space="0" w:color="000000"/>
      </w:tblBorders>
    </w:tblPr>
    <w:trPr>
      <w:hidden/>
    </w:trPr>
    <w:tcPr>
      <w:shd w:val="solid" w:color="C0C0C0" w:fill="FFFFFF"/>
    </w:tcPr>
    <w:tblStylePr w:type="firstRow">
      <w:rPr>
        <w:b/>
        <w:bCs/>
        <w:i/>
        <w:iCs/>
        <w:color w:val="FFFFFF"/>
      </w:rPr>
      <w:tblPr/>
      <w:trPr>
        <w:hidden/>
      </w:trPr>
      <w:tcPr>
        <w:tcBorders>
          <w:bottom w:val="single" w:sz="6" w:space="0" w:color="000000"/>
          <w:tl2br w:val="none" w:sz="0" w:space="0" w:color="auto"/>
          <w:tr2bl w:val="none" w:sz="0" w:space="0" w:color="auto"/>
        </w:tcBorders>
        <w:shd w:val="solid" w:color="000080" w:fill="FFFFFF"/>
      </w:tcPr>
    </w:tblStylePr>
    <w:tblStylePr w:type="lastRow">
      <w:rPr>
        <w:color w:val="000080"/>
      </w:rPr>
      <w:tblPr/>
      <w:trPr>
        <w:hidden/>
      </w:tr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rPr>
        <w:hidden/>
      </w:trPr>
      <w:tcPr>
        <w:tcBorders>
          <w:tl2br w:val="none" w:sz="0" w:space="0" w:color="auto"/>
          <w:tr2bl w:val="none" w:sz="0" w:space="0" w:color="auto"/>
        </w:tcBorders>
      </w:tcPr>
    </w:tblStylePr>
  </w:style>
  <w:style w:type="table" w:styleId="TableClassic4">
    <w:name w:val="Table Classic 4"/>
    <w:basedOn w:val="TableNormal"/>
    <w:semiHidden/>
    <w:unhideWhenUsed/>
    <w:rsid w:val="002D66D8"/>
    <w:pPr>
      <w:spacing w:before="120" w:after="120" w:line="280" w:lineRule="atLeast"/>
    </w:pPr>
    <w:tblPr>
      <w:tblBorders>
        <w:top w:val="single" w:sz="12" w:space="0" w:color="000000"/>
        <w:left w:val="single" w:sz="6" w:space="0" w:color="000000"/>
        <w:bottom w:val="single" w:sz="12" w:space="0" w:color="000000"/>
        <w:right w:val="single" w:sz="6" w:space="0" w:color="000000"/>
      </w:tblBorders>
    </w:tblPr>
    <w:trPr>
      <w:hidden/>
    </w:trPr>
    <w:tcPr>
      <w:shd w:val="clear" w:color="auto" w:fill="auto"/>
    </w:tcPr>
    <w:tblStylePr w:type="firstRow">
      <w:rPr>
        <w:b/>
        <w:bCs/>
        <w:i/>
        <w:iCs/>
        <w:color w:val="FFFFFF"/>
      </w:rPr>
      <w:tblPr/>
      <w:trPr>
        <w:hidden/>
      </w:trPr>
      <w:tcPr>
        <w:tcBorders>
          <w:bottom w:val="single" w:sz="6" w:space="0" w:color="000000"/>
          <w:tl2br w:val="none" w:sz="0" w:space="0" w:color="auto"/>
          <w:tr2bl w:val="none" w:sz="0" w:space="0" w:color="auto"/>
        </w:tcBorders>
        <w:shd w:val="pct50" w:color="000080" w:fill="FFFFFF"/>
      </w:tcPr>
    </w:tblStylePr>
    <w:tblStylePr w:type="lastRow">
      <w:rPr>
        <w:color w:val="000080"/>
      </w:rPr>
      <w:tblPr/>
      <w:trPr>
        <w:hidden/>
      </w:trPr>
      <w:tcPr>
        <w:tcBorders>
          <w:bottom w:val="single" w:sz="6" w:space="0" w:color="000000"/>
          <w:tl2br w:val="none" w:sz="0" w:space="0" w:color="auto"/>
          <w:tr2bl w:val="none" w:sz="0" w:space="0" w:color="auto"/>
        </w:tcBorders>
        <w:shd w:val="pct50" w:color="000000" w:fill="FFFFFF"/>
      </w:tcPr>
    </w:tblStylePr>
    <w:tblStylePr w:type="firstCol">
      <w:rPr>
        <w:b/>
        <w:bCs/>
      </w:rPr>
      <w:tblPr/>
      <w:trPr>
        <w:hidden/>
      </w:trPr>
      <w:tcPr>
        <w:tcBorders>
          <w:tl2br w:val="none" w:sz="0" w:space="0" w:color="auto"/>
          <w:tr2bl w:val="none" w:sz="0" w:space="0" w:color="auto"/>
        </w:tcBorders>
      </w:tcPr>
    </w:tblStylePr>
    <w:tblStylePr w:type="nwCell">
      <w:rPr>
        <w:b/>
        <w:bCs/>
      </w:rPr>
      <w:tblPr/>
      <w:trPr>
        <w:hidden/>
      </w:trPr>
      <w:tcPr>
        <w:tcBorders>
          <w:tl2br w:val="none" w:sz="0" w:space="0" w:color="auto"/>
          <w:tr2bl w:val="none" w:sz="0" w:space="0" w:color="auto"/>
        </w:tcBorders>
      </w:tcPr>
    </w:tblStylePr>
    <w:tblStylePr w:type="swCell">
      <w:rPr>
        <w:color w:val="000080"/>
      </w:rPr>
      <w:tblPr/>
      <w:trPr>
        <w:hidden/>
      </w:trPr>
      <w:tcPr>
        <w:tcBorders>
          <w:tl2br w:val="none" w:sz="0" w:space="0" w:color="auto"/>
          <w:tr2bl w:val="none" w:sz="0" w:space="0" w:color="auto"/>
        </w:tcBorders>
      </w:tcPr>
    </w:tblStylePr>
  </w:style>
  <w:style w:type="table" w:styleId="TableColorful1">
    <w:name w:val="Table Colorful 1"/>
    <w:basedOn w:val="TableNormal"/>
    <w:semiHidden/>
    <w:unhideWhenUsed/>
    <w:rsid w:val="002D66D8"/>
    <w:pPr>
      <w:spacing w:before="120" w:after="120" w:line="280" w:lineRule="atLeast"/>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rPr>
      <w:hidden/>
    </w:trPr>
    <w:tcPr>
      <w:shd w:val="solid" w:color="008080" w:fill="FFFFFF"/>
    </w:tcPr>
    <w:tblStylePr w:type="firstRow">
      <w:rPr>
        <w:b/>
        <w:bCs/>
        <w:i/>
        <w:iCs/>
      </w:rPr>
      <w:tblPr/>
      <w:trPr>
        <w:hidden/>
      </w:trPr>
      <w:tcPr>
        <w:tcBorders>
          <w:tl2br w:val="none" w:sz="0" w:space="0" w:color="auto"/>
          <w:tr2bl w:val="none" w:sz="0" w:space="0" w:color="auto"/>
        </w:tcBorders>
        <w:shd w:val="solid" w:color="000000" w:fill="FFFFFF"/>
      </w:tcPr>
    </w:tblStylePr>
    <w:tblStylePr w:type="firstCol">
      <w:rPr>
        <w:b/>
        <w:bCs/>
        <w:i/>
        <w:iCs/>
      </w:rPr>
      <w:tblPr/>
      <w:trPr>
        <w:hidden/>
      </w:trPr>
      <w:tcPr>
        <w:tcBorders>
          <w:tl2br w:val="none" w:sz="0" w:space="0" w:color="auto"/>
          <w:tr2bl w:val="none" w:sz="0" w:space="0" w:color="auto"/>
        </w:tcBorders>
        <w:shd w:val="solid" w:color="000080" w:fill="FFFFFF"/>
      </w:tcPr>
    </w:tblStylePr>
    <w:tblStylePr w:type="nwCell">
      <w:tblPr/>
      <w:trPr>
        <w:hidden/>
      </w:trPr>
      <w:tcPr>
        <w:tcBorders>
          <w:tl2br w:val="none" w:sz="0" w:space="0" w:color="auto"/>
          <w:tr2bl w:val="none" w:sz="0" w:space="0" w:color="auto"/>
        </w:tcBorders>
        <w:shd w:val="solid" w:color="000000" w:fill="FFFFFF"/>
      </w:tcPr>
    </w:tblStylePr>
    <w:tblStylePr w:type="swCell">
      <w:rPr>
        <w:b/>
        <w:bCs/>
        <w:i w:val="0"/>
        <w:iCs w:val="0"/>
      </w:rPr>
      <w:tblPr/>
      <w:trPr>
        <w:hidden/>
      </w:trPr>
      <w:tcPr>
        <w:tcBorders>
          <w:tl2br w:val="none" w:sz="0" w:space="0" w:color="auto"/>
          <w:tr2bl w:val="none" w:sz="0" w:space="0" w:color="auto"/>
        </w:tcBorders>
      </w:tcPr>
    </w:tblStylePr>
  </w:style>
  <w:style w:type="table" w:styleId="TableColorful2">
    <w:name w:val="Table Colorful 2"/>
    <w:basedOn w:val="TableNormal"/>
    <w:semiHidden/>
    <w:unhideWhenUsed/>
    <w:rsid w:val="002D66D8"/>
    <w:pPr>
      <w:spacing w:before="120" w:after="120" w:line="280" w:lineRule="atLeast"/>
    </w:pPr>
    <w:tblPr>
      <w:tblBorders>
        <w:bottom w:val="single" w:sz="12" w:space="0" w:color="000000"/>
      </w:tblBorders>
    </w:tblPr>
    <w:trPr>
      <w:hidden/>
    </w:trPr>
    <w:tcPr>
      <w:shd w:val="pct20" w:color="FFFF00" w:fill="FFFFFF"/>
    </w:tcPr>
    <w:tblStylePr w:type="firstRow">
      <w:rPr>
        <w:b/>
        <w:bCs/>
        <w:i/>
        <w:iCs/>
        <w:color w:val="FFFFFF"/>
      </w:rPr>
      <w:tblPr/>
      <w:trPr>
        <w:hidden/>
      </w:trPr>
      <w:tcPr>
        <w:tcBorders>
          <w:bottom w:val="single" w:sz="12" w:space="0" w:color="000000"/>
          <w:tl2br w:val="none" w:sz="0" w:space="0" w:color="auto"/>
          <w:tr2bl w:val="none" w:sz="0" w:space="0" w:color="auto"/>
        </w:tcBorders>
        <w:shd w:val="solid" w:color="800000" w:fill="FFFFFF"/>
      </w:tcPr>
    </w:tblStylePr>
    <w:tblStylePr w:type="firstCol">
      <w:rPr>
        <w:b/>
        <w:bCs/>
        <w:i/>
        <w:iCs/>
      </w:rPr>
      <w:tblPr/>
      <w:trPr>
        <w:hidden/>
      </w:trPr>
      <w:tcPr>
        <w:tcBorders>
          <w:tl2br w:val="none" w:sz="0" w:space="0" w:color="auto"/>
          <w:tr2bl w:val="none" w:sz="0" w:space="0" w:color="auto"/>
        </w:tcBorders>
      </w:tcPr>
    </w:tblStylePr>
    <w:tblStylePr w:type="lastCol">
      <w:tblPr/>
      <w:trPr>
        <w:hidden/>
      </w:trPr>
      <w:tcPr>
        <w:tcBorders>
          <w:tl2br w:val="none" w:sz="0" w:space="0" w:color="auto"/>
          <w:tr2bl w:val="none" w:sz="0" w:space="0" w:color="auto"/>
        </w:tcBorders>
        <w:shd w:val="solid" w:color="C0C0C0" w:fill="FFFFFF"/>
      </w:tcPr>
    </w:tblStylePr>
    <w:tblStylePr w:type="swCell">
      <w:rPr>
        <w:b/>
        <w:bCs/>
        <w:i w:val="0"/>
        <w:iCs w:val="0"/>
      </w:rPr>
      <w:tblPr/>
      <w:trPr>
        <w:hidden/>
      </w:trPr>
      <w:tcPr>
        <w:tcBorders>
          <w:tl2br w:val="none" w:sz="0" w:space="0" w:color="auto"/>
          <w:tr2bl w:val="none" w:sz="0" w:space="0" w:color="auto"/>
        </w:tcBorders>
      </w:tcPr>
    </w:tblStylePr>
  </w:style>
  <w:style w:type="table" w:styleId="TableColorful3">
    <w:name w:val="Table Colorful 3"/>
    <w:basedOn w:val="TableNormal"/>
    <w:semiHidden/>
    <w:unhideWhenUsed/>
    <w:rsid w:val="002D66D8"/>
    <w:pPr>
      <w:spacing w:before="120" w:after="120" w:line="280" w:lineRule="atLeast"/>
    </w:pPr>
    <w:tblPr>
      <w:tblBorders>
        <w:top w:val="single" w:sz="18" w:space="0" w:color="000000"/>
        <w:left w:val="single" w:sz="18" w:space="0" w:color="000000"/>
        <w:bottom w:val="single" w:sz="18" w:space="0" w:color="000000"/>
        <w:right w:val="single" w:sz="18" w:space="0" w:color="000000"/>
        <w:insideH w:val="single" w:sz="6" w:space="0" w:color="C0C0C0"/>
      </w:tblBorders>
    </w:tblPr>
    <w:trPr>
      <w:hidden/>
    </w:trPr>
    <w:tcPr>
      <w:shd w:val="pct25" w:color="008080" w:fill="FFFFFF"/>
    </w:tcPr>
    <w:tblStylePr w:type="firstRow">
      <w:tblPr/>
      <w:trPr>
        <w:hidden/>
      </w:trPr>
      <w:tcPr>
        <w:tcBorders>
          <w:bottom w:val="single" w:sz="6" w:space="0" w:color="000000"/>
          <w:tl2br w:val="none" w:sz="0" w:space="0" w:color="auto"/>
          <w:tr2bl w:val="none" w:sz="0" w:space="0" w:color="auto"/>
        </w:tcBorders>
        <w:shd w:val="solid" w:color="008080" w:fill="FFFFFF"/>
      </w:tcPr>
    </w:tblStylePr>
    <w:tblStylePr w:type="firstCol">
      <w:tblPr/>
      <w:trPr>
        <w:hidden/>
      </w:tr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rPr>
        <w:hidden/>
      </w:tr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unhideWhenUsed/>
    <w:rsid w:val="002D66D8"/>
    <w:pPr>
      <w:spacing w:before="120" w:after="120" w:line="280" w:lineRule="atLeast"/>
    </w:pPr>
    <w:rPr>
      <w:b/>
      <w:bCs/>
    </w:rPr>
    <w:tblPr>
      <w:tblStyleColBandSize w:val="1"/>
      <w:tblBorders>
        <w:top w:val="single" w:sz="12" w:space="0" w:color="000000"/>
        <w:left w:val="single" w:sz="12" w:space="0" w:color="000000"/>
        <w:bottom w:val="single" w:sz="12" w:space="0" w:color="000000"/>
        <w:right w:val="single" w:sz="12" w:space="0" w:color="000000"/>
      </w:tblBorders>
    </w:tblPr>
    <w:trPr>
      <w:hidden/>
    </w:trPr>
    <w:tblStylePr w:type="firstRow">
      <w:rPr>
        <w:b w:val="0"/>
        <w:bCs w:val="0"/>
      </w:rPr>
      <w:tblPr/>
      <w:trPr>
        <w:hidden/>
      </w:trPr>
      <w:tcPr>
        <w:tcBorders>
          <w:bottom w:val="double" w:sz="6" w:space="0" w:color="000000"/>
          <w:tl2br w:val="none" w:sz="0" w:space="0" w:color="auto"/>
          <w:tr2bl w:val="none" w:sz="0" w:space="0" w:color="auto"/>
        </w:tcBorders>
      </w:tcPr>
    </w:tblStylePr>
    <w:tblStylePr w:type="lastRow">
      <w:rPr>
        <w:b w:val="0"/>
        <w:bCs w:val="0"/>
      </w:rPr>
      <w:tblPr/>
      <w:trPr>
        <w:hidden/>
      </w:trPr>
      <w:tcPr>
        <w:tcBorders>
          <w:tl2br w:val="none" w:sz="0" w:space="0" w:color="auto"/>
          <w:tr2bl w:val="none" w:sz="0" w:space="0" w:color="auto"/>
        </w:tcBorders>
      </w:tcPr>
    </w:tblStylePr>
    <w:tblStylePr w:type="firstCol">
      <w:rPr>
        <w:b w:val="0"/>
        <w:bCs w:val="0"/>
      </w:rPr>
      <w:tblPr/>
      <w:trPr>
        <w:hidden/>
      </w:trPr>
      <w:tcPr>
        <w:tcBorders>
          <w:tl2br w:val="none" w:sz="0" w:space="0" w:color="auto"/>
          <w:tr2bl w:val="none" w:sz="0" w:space="0" w:color="auto"/>
        </w:tcBorders>
      </w:tcPr>
    </w:tblStylePr>
    <w:tblStylePr w:type="lastCol">
      <w:rPr>
        <w:b w:val="0"/>
        <w:bCs w:val="0"/>
      </w:rPr>
      <w:tblPr/>
      <w:trPr>
        <w:hidden/>
      </w:trPr>
      <w:tcPr>
        <w:tcBorders>
          <w:tl2br w:val="none" w:sz="0" w:space="0" w:color="auto"/>
          <w:tr2bl w:val="none" w:sz="0" w:space="0" w:color="auto"/>
        </w:tcBorders>
      </w:tcPr>
    </w:tblStylePr>
    <w:tblStylePr w:type="band1Vert">
      <w:rPr>
        <w:color w:val="auto"/>
      </w:rPr>
      <w:tblPr/>
      <w:trPr>
        <w:hidden/>
      </w:trPr>
      <w:tcPr>
        <w:shd w:val="pct25" w:color="000000" w:fill="FFFFFF"/>
      </w:tcPr>
    </w:tblStylePr>
    <w:tblStylePr w:type="band2Vert">
      <w:rPr>
        <w:color w:val="auto"/>
      </w:rPr>
      <w:tblPr/>
      <w:trPr>
        <w:hidden/>
      </w:trPr>
      <w:tcPr>
        <w:shd w:val="pct25" w:color="FFFF00" w:fill="FFFFFF"/>
      </w:tcPr>
    </w:tblStylePr>
    <w:tblStylePr w:type="neCell">
      <w:rPr>
        <w:b/>
        <w:bCs/>
      </w:rPr>
      <w:tblPr/>
      <w:trPr>
        <w:hidden/>
      </w:trPr>
      <w:tcPr>
        <w:tcBorders>
          <w:tl2br w:val="none" w:sz="0" w:space="0" w:color="auto"/>
          <w:tr2bl w:val="none" w:sz="0" w:space="0" w:color="auto"/>
        </w:tcBorders>
      </w:tcPr>
    </w:tblStylePr>
    <w:tblStylePr w:type="swCell">
      <w:rPr>
        <w:b/>
        <w:bCs/>
      </w:rPr>
      <w:tblPr/>
      <w:trPr>
        <w:hidden/>
      </w:trPr>
      <w:tcPr>
        <w:tcBorders>
          <w:tl2br w:val="none" w:sz="0" w:space="0" w:color="auto"/>
          <w:tr2bl w:val="none" w:sz="0" w:space="0" w:color="auto"/>
        </w:tcBorders>
      </w:tcPr>
    </w:tblStylePr>
  </w:style>
  <w:style w:type="table" w:styleId="TableColumns2">
    <w:name w:val="Table Columns 2"/>
    <w:basedOn w:val="TableNormal"/>
    <w:semiHidden/>
    <w:unhideWhenUsed/>
    <w:rsid w:val="002D66D8"/>
    <w:pPr>
      <w:spacing w:before="120" w:after="120" w:line="280" w:lineRule="atLeast"/>
    </w:pPr>
    <w:rPr>
      <w:b/>
      <w:bCs/>
    </w:rPr>
    <w:tblPr>
      <w:tblStyleColBandSize w:val="1"/>
    </w:tblPr>
    <w:trPr>
      <w:hidden/>
    </w:trPr>
    <w:tblStylePr w:type="firstRow">
      <w:rPr>
        <w:color w:val="FFFFFF"/>
      </w:rPr>
      <w:tblPr/>
      <w:trPr>
        <w:hidden/>
      </w:trPr>
      <w:tcPr>
        <w:tcBorders>
          <w:tl2br w:val="none" w:sz="0" w:space="0" w:color="auto"/>
          <w:tr2bl w:val="none" w:sz="0" w:space="0" w:color="auto"/>
        </w:tcBorders>
        <w:shd w:val="solid" w:color="000080" w:fill="FFFFFF"/>
      </w:tcPr>
    </w:tblStylePr>
    <w:tblStylePr w:type="lastRow">
      <w:rPr>
        <w:b w:val="0"/>
        <w:bCs w:val="0"/>
      </w:rPr>
      <w:tblPr/>
      <w:trPr>
        <w:hidden/>
      </w:trPr>
      <w:tcPr>
        <w:tcBorders>
          <w:tl2br w:val="none" w:sz="0" w:space="0" w:color="auto"/>
          <w:tr2bl w:val="none" w:sz="0" w:space="0" w:color="auto"/>
        </w:tcBorders>
      </w:tcPr>
    </w:tblStylePr>
    <w:tblStylePr w:type="firstCol">
      <w:rPr>
        <w:b w:val="0"/>
        <w:bCs w:val="0"/>
        <w:color w:val="000000"/>
      </w:rPr>
      <w:tblPr/>
      <w:trPr>
        <w:hidden/>
      </w:trPr>
      <w:tcPr>
        <w:tcBorders>
          <w:tl2br w:val="none" w:sz="0" w:space="0" w:color="auto"/>
          <w:tr2bl w:val="none" w:sz="0" w:space="0" w:color="auto"/>
        </w:tcBorders>
      </w:tcPr>
    </w:tblStylePr>
    <w:tblStylePr w:type="lastCol">
      <w:rPr>
        <w:b w:val="0"/>
        <w:bCs w:val="0"/>
      </w:rPr>
      <w:tblPr/>
      <w:trPr>
        <w:hidden/>
      </w:trPr>
      <w:tcPr>
        <w:tcBorders>
          <w:tl2br w:val="none" w:sz="0" w:space="0" w:color="auto"/>
          <w:tr2bl w:val="none" w:sz="0" w:space="0" w:color="auto"/>
        </w:tcBorders>
      </w:tcPr>
    </w:tblStylePr>
    <w:tblStylePr w:type="band1Vert">
      <w:rPr>
        <w:color w:val="auto"/>
      </w:rPr>
      <w:tblPr/>
      <w:trPr>
        <w:hidden/>
      </w:trPr>
      <w:tcPr>
        <w:shd w:val="pct30" w:color="000000" w:fill="FFFFFF"/>
      </w:tcPr>
    </w:tblStylePr>
    <w:tblStylePr w:type="band2Vert">
      <w:rPr>
        <w:color w:val="auto"/>
      </w:rPr>
      <w:tblPr/>
      <w:trPr>
        <w:hidden/>
      </w:trPr>
      <w:tcPr>
        <w:shd w:val="pct25" w:color="00FF00" w:fill="FFFFFF"/>
      </w:tcPr>
    </w:tblStylePr>
    <w:tblStylePr w:type="neCell">
      <w:rPr>
        <w:b/>
        <w:bCs/>
      </w:rPr>
      <w:tblPr/>
      <w:trPr>
        <w:hidden/>
      </w:trPr>
      <w:tcPr>
        <w:tcBorders>
          <w:tl2br w:val="none" w:sz="0" w:space="0" w:color="auto"/>
          <w:tr2bl w:val="none" w:sz="0" w:space="0" w:color="auto"/>
        </w:tcBorders>
      </w:tcPr>
    </w:tblStylePr>
    <w:tblStylePr w:type="swCell">
      <w:rPr>
        <w:b/>
        <w:bCs/>
      </w:rPr>
      <w:tblPr/>
      <w:trPr>
        <w:hidden/>
      </w:trPr>
      <w:tcPr>
        <w:tcBorders>
          <w:tl2br w:val="none" w:sz="0" w:space="0" w:color="auto"/>
          <w:tr2bl w:val="none" w:sz="0" w:space="0" w:color="auto"/>
        </w:tcBorders>
      </w:tcPr>
    </w:tblStylePr>
  </w:style>
  <w:style w:type="table" w:styleId="TableColumns3">
    <w:name w:val="Table Columns 3"/>
    <w:basedOn w:val="TableNormal"/>
    <w:semiHidden/>
    <w:unhideWhenUsed/>
    <w:rsid w:val="002D66D8"/>
    <w:pPr>
      <w:spacing w:before="120" w:after="120" w:line="280" w:lineRule="atLeast"/>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rPr>
      <w:hidden/>
    </w:trPr>
    <w:tblStylePr w:type="firstRow">
      <w:rPr>
        <w:color w:val="FFFFFF"/>
      </w:rPr>
      <w:tblPr/>
      <w:trPr>
        <w:hidden/>
      </w:trPr>
      <w:tcPr>
        <w:tcBorders>
          <w:tl2br w:val="none" w:sz="0" w:space="0" w:color="auto"/>
          <w:tr2bl w:val="none" w:sz="0" w:space="0" w:color="auto"/>
        </w:tcBorders>
        <w:shd w:val="solid" w:color="000080" w:fill="FFFFFF"/>
      </w:tcPr>
    </w:tblStylePr>
    <w:tblStylePr w:type="lastRow">
      <w:rPr>
        <w:b w:val="0"/>
        <w:bCs w:val="0"/>
      </w:rPr>
      <w:tblPr/>
      <w:trPr>
        <w:hidden/>
      </w:trPr>
      <w:tcPr>
        <w:tcBorders>
          <w:top w:val="single" w:sz="6" w:space="0" w:color="000080"/>
          <w:tl2br w:val="none" w:sz="0" w:space="0" w:color="auto"/>
          <w:tr2bl w:val="none" w:sz="0" w:space="0" w:color="auto"/>
        </w:tcBorders>
      </w:tcPr>
    </w:tblStylePr>
    <w:tblStylePr w:type="firstCol">
      <w:rPr>
        <w:b w:val="0"/>
        <w:bCs w:val="0"/>
      </w:rPr>
      <w:tblPr/>
      <w:trPr>
        <w:hidden/>
      </w:trPr>
      <w:tcPr>
        <w:tcBorders>
          <w:tl2br w:val="none" w:sz="0" w:space="0" w:color="auto"/>
          <w:tr2bl w:val="none" w:sz="0" w:space="0" w:color="auto"/>
        </w:tcBorders>
      </w:tcPr>
    </w:tblStylePr>
    <w:tblStylePr w:type="lastCol">
      <w:rPr>
        <w:b w:val="0"/>
        <w:bCs w:val="0"/>
      </w:rPr>
      <w:tblPr/>
      <w:trPr>
        <w:hidden/>
      </w:trPr>
      <w:tcPr>
        <w:tcBorders>
          <w:tl2br w:val="none" w:sz="0" w:space="0" w:color="auto"/>
          <w:tr2bl w:val="none" w:sz="0" w:space="0" w:color="auto"/>
        </w:tcBorders>
      </w:tcPr>
    </w:tblStylePr>
    <w:tblStylePr w:type="band1Vert">
      <w:rPr>
        <w:color w:val="auto"/>
      </w:rPr>
      <w:tblPr/>
      <w:trPr>
        <w:hidden/>
      </w:trPr>
      <w:tcPr>
        <w:shd w:val="solid" w:color="C0C0C0" w:fill="FFFFFF"/>
      </w:tcPr>
    </w:tblStylePr>
    <w:tblStylePr w:type="band2Vert">
      <w:rPr>
        <w:color w:val="auto"/>
      </w:rPr>
      <w:tblPr/>
      <w:trPr>
        <w:hidden/>
      </w:trPr>
      <w:tcPr>
        <w:shd w:val="pct10" w:color="000000" w:fill="FFFFFF"/>
      </w:tcPr>
    </w:tblStylePr>
    <w:tblStylePr w:type="neCell">
      <w:rPr>
        <w:b/>
        <w:bCs/>
      </w:rPr>
      <w:tblPr/>
      <w:trPr>
        <w:hidden/>
      </w:trPr>
      <w:tcPr>
        <w:tcBorders>
          <w:tl2br w:val="none" w:sz="0" w:space="0" w:color="auto"/>
          <w:tr2bl w:val="none" w:sz="0" w:space="0" w:color="auto"/>
        </w:tcBorders>
      </w:tcPr>
    </w:tblStylePr>
  </w:style>
  <w:style w:type="table" w:styleId="TableColumns4">
    <w:name w:val="Table Columns 4"/>
    <w:basedOn w:val="TableNormal"/>
    <w:semiHidden/>
    <w:unhideWhenUsed/>
    <w:rsid w:val="002D66D8"/>
    <w:pPr>
      <w:spacing w:before="120" w:after="120" w:line="280" w:lineRule="atLeast"/>
    </w:pPr>
    <w:tblPr>
      <w:tblStyleColBandSize w:val="1"/>
    </w:tblPr>
    <w:trPr>
      <w:hidden/>
    </w:trPr>
    <w:tblStylePr w:type="firstRow">
      <w:rPr>
        <w:color w:val="FFFFFF"/>
      </w:rPr>
      <w:tblPr/>
      <w:trPr>
        <w:hidden/>
      </w:trPr>
      <w:tcPr>
        <w:tcBorders>
          <w:tl2br w:val="none" w:sz="0" w:space="0" w:color="auto"/>
          <w:tr2bl w:val="none" w:sz="0" w:space="0" w:color="auto"/>
        </w:tcBorders>
        <w:shd w:val="solid" w:color="000000" w:fill="FFFFFF"/>
      </w:tcPr>
    </w:tblStylePr>
    <w:tblStylePr w:type="lastRow">
      <w:rPr>
        <w:b/>
        <w:bCs/>
      </w:rPr>
      <w:tblPr/>
      <w:trPr>
        <w:hidden/>
      </w:trPr>
      <w:tcPr>
        <w:tcBorders>
          <w:tl2br w:val="none" w:sz="0" w:space="0" w:color="auto"/>
          <w:tr2bl w:val="none" w:sz="0" w:space="0" w:color="auto"/>
        </w:tcBorders>
      </w:tcPr>
    </w:tblStylePr>
    <w:tblStylePr w:type="lastCol">
      <w:rPr>
        <w:b/>
        <w:bCs/>
      </w:rPr>
      <w:tblPr/>
      <w:trPr>
        <w:hidden/>
      </w:trPr>
      <w:tcPr>
        <w:tcBorders>
          <w:tl2br w:val="none" w:sz="0" w:space="0" w:color="auto"/>
          <w:tr2bl w:val="none" w:sz="0" w:space="0" w:color="auto"/>
        </w:tcBorders>
      </w:tcPr>
    </w:tblStylePr>
    <w:tblStylePr w:type="band1Vert">
      <w:rPr>
        <w:color w:val="auto"/>
      </w:rPr>
      <w:tblPr/>
      <w:trPr>
        <w:hidden/>
      </w:trPr>
      <w:tcPr>
        <w:shd w:val="pct50" w:color="008080" w:fill="FFFFFF"/>
      </w:tcPr>
    </w:tblStylePr>
    <w:tblStylePr w:type="band2Vert">
      <w:rPr>
        <w:color w:val="auto"/>
      </w:rPr>
      <w:tblPr/>
      <w:trPr>
        <w:hidden/>
      </w:trPr>
      <w:tcPr>
        <w:shd w:val="pct10" w:color="000000" w:fill="FFFFFF"/>
      </w:tcPr>
    </w:tblStylePr>
  </w:style>
  <w:style w:type="table" w:styleId="TableColumns5">
    <w:name w:val="Table Columns 5"/>
    <w:basedOn w:val="TableNormal"/>
    <w:semiHidden/>
    <w:unhideWhenUsed/>
    <w:rsid w:val="002D66D8"/>
    <w:pPr>
      <w:spacing w:before="120" w:after="120" w:line="280" w:lineRule="atLeast"/>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rPr>
      <w:hidden/>
    </w:trPr>
    <w:tblStylePr w:type="firstRow">
      <w:rPr>
        <w:b/>
        <w:bCs/>
        <w:i/>
        <w:iCs/>
      </w:rPr>
      <w:tblPr/>
      <w:trPr>
        <w:hidden/>
      </w:trPr>
      <w:tcPr>
        <w:tcBorders>
          <w:bottom w:val="single" w:sz="6" w:space="0" w:color="808080"/>
          <w:tl2br w:val="none" w:sz="0" w:space="0" w:color="auto"/>
          <w:tr2bl w:val="none" w:sz="0" w:space="0" w:color="auto"/>
        </w:tcBorders>
      </w:tcPr>
    </w:tblStylePr>
    <w:tblStylePr w:type="lastRow">
      <w:rPr>
        <w:b/>
        <w:bCs/>
      </w:rPr>
      <w:tblPr/>
      <w:trPr>
        <w:hidden/>
      </w:trPr>
      <w:tcPr>
        <w:tcBorders>
          <w:top w:val="single" w:sz="6" w:space="0" w:color="808080"/>
          <w:tl2br w:val="none" w:sz="0" w:space="0" w:color="auto"/>
          <w:tr2bl w:val="none" w:sz="0" w:space="0" w:color="auto"/>
        </w:tcBorders>
      </w:tcPr>
    </w:tblStylePr>
    <w:tblStylePr w:type="firstCol">
      <w:rPr>
        <w:b/>
        <w:bCs/>
      </w:rPr>
      <w:tblPr/>
      <w:trPr>
        <w:hidden/>
      </w:trPr>
      <w:tcPr>
        <w:tcBorders>
          <w:tl2br w:val="none" w:sz="0" w:space="0" w:color="auto"/>
          <w:tr2bl w:val="none" w:sz="0" w:space="0" w:color="auto"/>
        </w:tcBorders>
      </w:tcPr>
    </w:tblStylePr>
    <w:tblStylePr w:type="lastCol">
      <w:rPr>
        <w:b/>
        <w:bCs/>
      </w:rPr>
      <w:tblPr/>
      <w:trPr>
        <w:hidden/>
      </w:trPr>
      <w:tcPr>
        <w:tcBorders>
          <w:tl2br w:val="none" w:sz="0" w:space="0" w:color="auto"/>
          <w:tr2bl w:val="none" w:sz="0" w:space="0" w:color="auto"/>
        </w:tcBorders>
      </w:tcPr>
    </w:tblStylePr>
    <w:tblStylePr w:type="band1Vert">
      <w:rPr>
        <w:color w:val="auto"/>
      </w:rPr>
      <w:tblPr/>
      <w:trPr>
        <w:hidden/>
      </w:trPr>
      <w:tcPr>
        <w:shd w:val="solid" w:color="C0C0C0" w:fill="FFFFFF"/>
      </w:tcPr>
    </w:tblStylePr>
    <w:tblStylePr w:type="band2Vert">
      <w:rPr>
        <w:color w:val="auto"/>
      </w:rPr>
    </w:tblStylePr>
  </w:style>
  <w:style w:type="table" w:styleId="TableContemporary">
    <w:name w:val="Table Contemporary"/>
    <w:basedOn w:val="TableNormal"/>
    <w:semiHidden/>
    <w:unhideWhenUsed/>
    <w:rsid w:val="002D66D8"/>
    <w:pPr>
      <w:spacing w:before="120" w:after="120" w:line="280" w:lineRule="atLeast"/>
    </w:pPr>
    <w:tblPr>
      <w:tblStyleRowBandSize w:val="1"/>
      <w:tblBorders>
        <w:insideH w:val="single" w:sz="18" w:space="0" w:color="FFFFFF"/>
        <w:insideV w:val="single" w:sz="18" w:space="0" w:color="FFFFFF"/>
      </w:tblBorders>
    </w:tblPr>
    <w:trPr>
      <w:hidden/>
    </w:trPr>
    <w:tblStylePr w:type="firstRow">
      <w:rPr>
        <w:b/>
        <w:bCs/>
        <w:color w:val="auto"/>
      </w:rPr>
      <w:tblPr/>
      <w:trPr>
        <w:hidden/>
      </w:trPr>
      <w:tcPr>
        <w:tcBorders>
          <w:tl2br w:val="none" w:sz="0" w:space="0" w:color="auto"/>
          <w:tr2bl w:val="none" w:sz="0" w:space="0" w:color="auto"/>
        </w:tcBorders>
        <w:shd w:val="pct20" w:color="000000" w:fill="FFFFFF"/>
      </w:tcPr>
    </w:tblStylePr>
    <w:tblStylePr w:type="band1Horz">
      <w:rPr>
        <w:color w:val="auto"/>
      </w:rPr>
      <w:tblPr/>
      <w:trPr>
        <w:hidden/>
      </w:trPr>
      <w:tcPr>
        <w:tcBorders>
          <w:tl2br w:val="none" w:sz="0" w:space="0" w:color="auto"/>
          <w:tr2bl w:val="none" w:sz="0" w:space="0" w:color="auto"/>
        </w:tcBorders>
        <w:shd w:val="pct5" w:color="000000" w:fill="FFFFFF"/>
      </w:tcPr>
    </w:tblStylePr>
    <w:tblStylePr w:type="band2Horz">
      <w:rPr>
        <w:color w:val="auto"/>
      </w:rPr>
      <w:tblPr/>
      <w:trPr>
        <w:hidden/>
      </w:trPr>
      <w:tcPr>
        <w:tcBorders>
          <w:tl2br w:val="none" w:sz="0" w:space="0" w:color="auto"/>
          <w:tr2bl w:val="none" w:sz="0" w:space="0" w:color="auto"/>
        </w:tcBorders>
        <w:shd w:val="pct20" w:color="000000" w:fill="FFFFFF"/>
      </w:tcPr>
    </w:tblStylePr>
  </w:style>
  <w:style w:type="table" w:styleId="TableElegant">
    <w:name w:val="Table Elegant"/>
    <w:basedOn w:val="TableNormal"/>
    <w:semiHidden/>
    <w:unhideWhenUsed/>
    <w:rsid w:val="002D66D8"/>
    <w:pPr>
      <w:spacing w:before="120" w:after="120" w:line="280" w:lineRule="atLeast"/>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rPr>
      <w:hidden/>
    </w:trPr>
    <w:tcPr>
      <w:shd w:val="clear" w:color="auto" w:fill="auto"/>
    </w:tcPr>
    <w:tblStylePr w:type="firstRow">
      <w:rPr>
        <w:caps/>
        <w:color w:val="auto"/>
      </w:rPr>
      <w:tblPr/>
      <w:trPr>
        <w:hidden/>
      </w:trPr>
      <w:tcPr>
        <w:tcBorders>
          <w:tl2br w:val="none" w:sz="0" w:space="0" w:color="auto"/>
          <w:tr2bl w:val="none" w:sz="0" w:space="0" w:color="auto"/>
        </w:tcBorders>
      </w:tcPr>
    </w:tblStylePr>
  </w:style>
  <w:style w:type="table" w:styleId="TableGrid1">
    <w:name w:val="Table Grid 1"/>
    <w:basedOn w:val="TableNormal"/>
    <w:semiHidden/>
    <w:unhideWhenUsed/>
    <w:rsid w:val="002D66D8"/>
    <w:pPr>
      <w:spacing w:before="120" w:after="120" w:line="28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rPr>
      <w:hidden/>
    </w:trPr>
    <w:tcPr>
      <w:shd w:val="clear" w:color="auto" w:fill="auto"/>
    </w:tcPr>
    <w:tblStylePr w:type="lastRow">
      <w:rPr>
        <w:i/>
        <w:iCs/>
      </w:rPr>
      <w:tblPr/>
      <w:trPr>
        <w:hidden/>
      </w:trPr>
      <w:tcPr>
        <w:tcBorders>
          <w:tl2br w:val="none" w:sz="0" w:space="0" w:color="auto"/>
          <w:tr2bl w:val="none" w:sz="0" w:space="0" w:color="auto"/>
        </w:tcBorders>
      </w:tcPr>
    </w:tblStylePr>
    <w:tblStylePr w:type="lastCol">
      <w:rPr>
        <w:i/>
        <w:iCs/>
      </w:rPr>
      <w:tblPr/>
      <w:trPr>
        <w:hidden/>
      </w:trPr>
      <w:tcPr>
        <w:tcBorders>
          <w:tl2br w:val="none" w:sz="0" w:space="0" w:color="auto"/>
          <w:tr2bl w:val="none" w:sz="0" w:space="0" w:color="auto"/>
        </w:tcBorders>
      </w:tcPr>
    </w:tblStylePr>
  </w:style>
  <w:style w:type="table" w:styleId="TableGrid2">
    <w:name w:val="Table Grid 2"/>
    <w:basedOn w:val="TableNormal"/>
    <w:semiHidden/>
    <w:unhideWhenUsed/>
    <w:rsid w:val="002D66D8"/>
    <w:pPr>
      <w:spacing w:before="120" w:after="120" w:line="280" w:lineRule="atLeast"/>
    </w:pPr>
    <w:tblPr>
      <w:tblBorders>
        <w:insideH w:val="single" w:sz="6" w:space="0" w:color="000000"/>
        <w:insideV w:val="single" w:sz="6" w:space="0" w:color="000000"/>
      </w:tblBorders>
    </w:tblPr>
    <w:trPr>
      <w:hidden/>
    </w:trPr>
    <w:tcPr>
      <w:shd w:val="clear" w:color="auto" w:fill="auto"/>
    </w:tcPr>
    <w:tblStylePr w:type="firstRow">
      <w:rPr>
        <w:b/>
        <w:bCs/>
      </w:rPr>
      <w:tblPr/>
      <w:trPr>
        <w:hidden/>
      </w:trPr>
      <w:tcPr>
        <w:tcBorders>
          <w:tl2br w:val="none" w:sz="0" w:space="0" w:color="auto"/>
          <w:tr2bl w:val="none" w:sz="0" w:space="0" w:color="auto"/>
        </w:tcBorders>
      </w:tcPr>
    </w:tblStylePr>
    <w:tblStylePr w:type="lastRow">
      <w:rPr>
        <w:b/>
        <w:bCs/>
      </w:rPr>
      <w:tblPr/>
      <w:trPr>
        <w:hidden/>
      </w:trPr>
      <w:tcPr>
        <w:tcBorders>
          <w:top w:val="single" w:sz="6" w:space="0" w:color="000000"/>
          <w:tl2br w:val="none" w:sz="0" w:space="0" w:color="auto"/>
          <w:tr2bl w:val="none" w:sz="0" w:space="0" w:color="auto"/>
        </w:tcBorders>
      </w:tcPr>
    </w:tblStylePr>
    <w:tblStylePr w:type="firstCol">
      <w:rPr>
        <w:b/>
        <w:bCs/>
      </w:rPr>
      <w:tblPr/>
      <w:trPr>
        <w:hidden/>
      </w:trPr>
      <w:tcPr>
        <w:tcBorders>
          <w:tl2br w:val="none" w:sz="0" w:space="0" w:color="auto"/>
          <w:tr2bl w:val="none" w:sz="0" w:space="0" w:color="auto"/>
        </w:tcBorders>
      </w:tcPr>
    </w:tblStylePr>
    <w:tblStylePr w:type="lastCol">
      <w:rPr>
        <w:b/>
        <w:bCs/>
      </w:rPr>
      <w:tblPr/>
      <w:trPr>
        <w:hidden/>
      </w:trPr>
      <w:tcPr>
        <w:tcBorders>
          <w:tl2br w:val="none" w:sz="0" w:space="0" w:color="auto"/>
          <w:tr2bl w:val="none" w:sz="0" w:space="0" w:color="auto"/>
        </w:tcBorders>
      </w:tcPr>
    </w:tblStylePr>
  </w:style>
  <w:style w:type="table" w:styleId="TableGrid3">
    <w:name w:val="Table Grid 3"/>
    <w:basedOn w:val="TableNormal"/>
    <w:semiHidden/>
    <w:unhideWhenUsed/>
    <w:rsid w:val="002D66D8"/>
    <w:pPr>
      <w:spacing w:before="120" w:after="120" w:line="280" w:lineRule="atLeast"/>
    </w:pPr>
    <w:tblPr>
      <w:tblBorders>
        <w:top w:val="single" w:sz="6" w:space="0" w:color="000000"/>
        <w:left w:val="single" w:sz="12" w:space="0" w:color="000000"/>
        <w:bottom w:val="single" w:sz="6" w:space="0" w:color="000000"/>
        <w:right w:val="single" w:sz="12" w:space="0" w:color="000000"/>
        <w:insideV w:val="single" w:sz="6" w:space="0" w:color="000000"/>
      </w:tblBorders>
    </w:tblPr>
    <w:trPr>
      <w:hidden/>
    </w:trPr>
    <w:tcPr>
      <w:shd w:val="clear" w:color="auto" w:fill="auto"/>
    </w:tcPr>
    <w:tblStylePr w:type="firstRow">
      <w:tblPr/>
      <w:trPr>
        <w:hidden/>
      </w:trPr>
      <w:tcPr>
        <w:tcBorders>
          <w:bottom w:val="single" w:sz="6" w:space="0" w:color="000000"/>
          <w:tl2br w:val="none" w:sz="0" w:space="0" w:color="auto"/>
          <w:tr2bl w:val="none" w:sz="0" w:space="0" w:color="auto"/>
        </w:tcBorders>
        <w:shd w:val="pct30" w:color="FFFF00" w:fill="FFFFFF"/>
      </w:tcPr>
    </w:tblStylePr>
    <w:tblStylePr w:type="lastRow">
      <w:rPr>
        <w:b/>
        <w:bCs/>
      </w:rPr>
      <w:tblPr/>
      <w:trPr>
        <w:hidden/>
      </w:trPr>
      <w:tcPr>
        <w:tcBorders>
          <w:tl2br w:val="none" w:sz="0" w:space="0" w:color="auto"/>
          <w:tr2bl w:val="none" w:sz="0" w:space="0" w:color="auto"/>
        </w:tcBorders>
      </w:tcPr>
    </w:tblStylePr>
    <w:tblStylePr w:type="lastCol">
      <w:rPr>
        <w:b/>
        <w:bCs/>
      </w:rPr>
      <w:tblPr/>
      <w:trPr>
        <w:hidden/>
      </w:trPr>
      <w:tcPr>
        <w:tcBorders>
          <w:tl2br w:val="none" w:sz="0" w:space="0" w:color="auto"/>
          <w:tr2bl w:val="none" w:sz="0" w:space="0" w:color="auto"/>
        </w:tcBorders>
      </w:tcPr>
    </w:tblStylePr>
  </w:style>
  <w:style w:type="table" w:styleId="TableGrid4">
    <w:name w:val="Table Grid 4"/>
    <w:basedOn w:val="TableNormal"/>
    <w:semiHidden/>
    <w:unhideWhenUsed/>
    <w:rsid w:val="002D66D8"/>
    <w:pPr>
      <w:spacing w:before="120" w:after="120" w:line="280" w:lineRule="atLeast"/>
    </w:pPr>
    <w:tblPr>
      <w:tblBorders>
        <w:left w:val="single" w:sz="12" w:space="0" w:color="000000"/>
        <w:right w:val="single" w:sz="12" w:space="0" w:color="000000"/>
        <w:insideH w:val="single" w:sz="6" w:space="0" w:color="000000"/>
        <w:insideV w:val="single" w:sz="6" w:space="0" w:color="000000"/>
      </w:tblBorders>
    </w:tblPr>
    <w:trPr>
      <w:hidden/>
    </w:trPr>
    <w:tcPr>
      <w:shd w:val="clear" w:color="auto" w:fill="auto"/>
    </w:tcPr>
    <w:tblStylePr w:type="firstRow">
      <w:rPr>
        <w:color w:val="auto"/>
      </w:rPr>
      <w:tblPr/>
      <w:trPr>
        <w:hidden/>
      </w:tr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rPr>
        <w:hidden/>
      </w:trPr>
      <w:tcPr>
        <w:tcBorders>
          <w:top w:val="single" w:sz="6" w:space="0" w:color="000000"/>
          <w:tl2br w:val="none" w:sz="0" w:space="0" w:color="auto"/>
          <w:tr2bl w:val="none" w:sz="0" w:space="0" w:color="auto"/>
        </w:tcBorders>
        <w:shd w:val="pct30" w:color="FFFF00" w:fill="FFFFFF"/>
      </w:tcPr>
    </w:tblStylePr>
    <w:tblStylePr w:type="lastCol">
      <w:rPr>
        <w:b/>
        <w:bCs/>
        <w:color w:val="auto"/>
      </w:rPr>
      <w:tblPr/>
      <w:trPr>
        <w:hidden/>
      </w:trPr>
      <w:tcPr>
        <w:tcBorders>
          <w:tl2br w:val="none" w:sz="0" w:space="0" w:color="auto"/>
          <w:tr2bl w:val="none" w:sz="0" w:space="0" w:color="auto"/>
        </w:tcBorders>
      </w:tcPr>
    </w:tblStylePr>
  </w:style>
  <w:style w:type="table" w:styleId="TableGrid5">
    <w:name w:val="Table Grid 5"/>
    <w:basedOn w:val="TableNormal"/>
    <w:semiHidden/>
    <w:unhideWhenUsed/>
    <w:rsid w:val="002D66D8"/>
    <w:pPr>
      <w:spacing w:before="120" w:after="120" w:line="280" w:lineRule="atLeast"/>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rPr>
      <w:hidden/>
    </w:trPr>
    <w:tcPr>
      <w:shd w:val="clear" w:color="auto" w:fill="auto"/>
    </w:tcPr>
    <w:tblStylePr w:type="firstRow">
      <w:tblPr/>
      <w:trPr>
        <w:hidden/>
      </w:trPr>
      <w:tcPr>
        <w:tcBorders>
          <w:bottom w:val="single" w:sz="12" w:space="0" w:color="000000"/>
          <w:tl2br w:val="none" w:sz="0" w:space="0" w:color="auto"/>
          <w:tr2bl w:val="none" w:sz="0" w:space="0" w:color="auto"/>
        </w:tcBorders>
      </w:tcPr>
    </w:tblStylePr>
    <w:tblStylePr w:type="lastRow">
      <w:rPr>
        <w:b/>
        <w:bCs/>
      </w:rPr>
      <w:tblPr/>
      <w:trPr>
        <w:hidden/>
      </w:trPr>
      <w:tcPr>
        <w:tcBorders>
          <w:tl2br w:val="none" w:sz="0" w:space="0" w:color="auto"/>
          <w:tr2bl w:val="none" w:sz="0" w:space="0" w:color="auto"/>
        </w:tcBorders>
      </w:tcPr>
    </w:tblStylePr>
    <w:tblStylePr w:type="lastCol">
      <w:rPr>
        <w:b/>
        <w:bCs/>
      </w:rPr>
      <w:tblPr/>
      <w:trPr>
        <w:hidden/>
      </w:trPr>
      <w:tcPr>
        <w:tcBorders>
          <w:tl2br w:val="none" w:sz="0" w:space="0" w:color="auto"/>
          <w:tr2bl w:val="none" w:sz="0" w:space="0" w:color="auto"/>
        </w:tcBorders>
      </w:tcPr>
    </w:tblStylePr>
    <w:tblStylePr w:type="nwCell">
      <w:tblPr/>
      <w:trPr>
        <w:hidden/>
      </w:trPr>
      <w:tcPr>
        <w:tcBorders>
          <w:tl2br w:val="single" w:sz="6" w:space="0" w:color="000000"/>
          <w:tr2bl w:val="none" w:sz="0" w:space="0" w:color="auto"/>
        </w:tcBorders>
      </w:tcPr>
    </w:tblStylePr>
  </w:style>
  <w:style w:type="table" w:styleId="TableGrid6">
    <w:name w:val="Table Grid 6"/>
    <w:basedOn w:val="TableNormal"/>
    <w:semiHidden/>
    <w:unhideWhenUsed/>
    <w:rsid w:val="002D66D8"/>
    <w:pPr>
      <w:spacing w:before="120" w:after="120" w:line="280" w:lineRule="atLeast"/>
    </w:pPr>
    <w:tblPr>
      <w:tblBorders>
        <w:top w:val="single" w:sz="12" w:space="0" w:color="000000"/>
        <w:left w:val="single" w:sz="12" w:space="0" w:color="000000"/>
        <w:bottom w:val="single" w:sz="12" w:space="0" w:color="000000"/>
        <w:right w:val="single" w:sz="12" w:space="0" w:color="000000"/>
        <w:insideV w:val="single" w:sz="6" w:space="0" w:color="000000"/>
      </w:tblBorders>
    </w:tblPr>
    <w:trPr>
      <w:hidden/>
    </w:trPr>
    <w:tcPr>
      <w:shd w:val="clear" w:color="auto" w:fill="auto"/>
    </w:tcPr>
    <w:tblStylePr w:type="firstRow">
      <w:rPr>
        <w:b/>
        <w:bCs/>
      </w:rPr>
      <w:tblPr/>
      <w:trPr>
        <w:hidden/>
      </w:trPr>
      <w:tcPr>
        <w:tcBorders>
          <w:bottom w:val="single" w:sz="6" w:space="0" w:color="000000"/>
          <w:tl2br w:val="none" w:sz="0" w:space="0" w:color="auto"/>
          <w:tr2bl w:val="none" w:sz="0" w:space="0" w:color="auto"/>
        </w:tcBorders>
      </w:tcPr>
    </w:tblStylePr>
    <w:tblStylePr w:type="lastRow">
      <w:rPr>
        <w:color w:val="auto"/>
      </w:rPr>
      <w:tblPr/>
      <w:trPr>
        <w:hidden/>
      </w:trPr>
      <w:tcPr>
        <w:tcBorders>
          <w:top w:val="single" w:sz="6" w:space="0" w:color="000000"/>
          <w:tl2br w:val="none" w:sz="0" w:space="0" w:color="auto"/>
          <w:tr2bl w:val="none" w:sz="0" w:space="0" w:color="auto"/>
        </w:tcBorders>
      </w:tcPr>
    </w:tblStylePr>
    <w:tblStylePr w:type="firstCol">
      <w:rPr>
        <w:b/>
        <w:bCs/>
      </w:rPr>
      <w:tblPr/>
      <w:trPr>
        <w:hidden/>
      </w:trPr>
      <w:tcPr>
        <w:tcBorders>
          <w:tl2br w:val="none" w:sz="0" w:space="0" w:color="auto"/>
          <w:tr2bl w:val="none" w:sz="0" w:space="0" w:color="auto"/>
        </w:tcBorders>
      </w:tcPr>
    </w:tblStylePr>
    <w:tblStylePr w:type="nwCell">
      <w:tblPr/>
      <w:trPr>
        <w:hidden/>
      </w:trPr>
      <w:tcPr>
        <w:tcBorders>
          <w:tl2br w:val="single" w:sz="6" w:space="0" w:color="000000"/>
          <w:tr2bl w:val="none" w:sz="0" w:space="0" w:color="auto"/>
        </w:tcBorders>
      </w:tcPr>
    </w:tblStylePr>
  </w:style>
  <w:style w:type="table" w:styleId="TableGrid7">
    <w:name w:val="Table Grid 7"/>
    <w:basedOn w:val="TableNormal"/>
    <w:semiHidden/>
    <w:unhideWhenUsed/>
    <w:rsid w:val="002D66D8"/>
    <w:pPr>
      <w:spacing w:before="120" w:after="120" w:line="280" w:lineRule="atLeast"/>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rPr>
      <w:hidden/>
    </w:trPr>
    <w:tcPr>
      <w:shd w:val="clear" w:color="auto" w:fill="auto"/>
    </w:tcPr>
    <w:tblStylePr w:type="firstRow">
      <w:rPr>
        <w:b w:val="0"/>
        <w:bCs w:val="0"/>
      </w:rPr>
      <w:tblPr/>
      <w:trPr>
        <w:hidden/>
      </w:trPr>
      <w:tcPr>
        <w:tcBorders>
          <w:bottom w:val="single" w:sz="12" w:space="0" w:color="000000"/>
          <w:tl2br w:val="none" w:sz="0" w:space="0" w:color="auto"/>
          <w:tr2bl w:val="none" w:sz="0" w:space="0" w:color="auto"/>
        </w:tcBorders>
      </w:tcPr>
    </w:tblStylePr>
    <w:tblStylePr w:type="lastRow">
      <w:rPr>
        <w:b w:val="0"/>
        <w:bCs w:val="0"/>
      </w:rPr>
      <w:tblPr/>
      <w:trPr>
        <w:hidden/>
      </w:trPr>
      <w:tcPr>
        <w:tcBorders>
          <w:top w:val="single" w:sz="6" w:space="0" w:color="000000"/>
          <w:tl2br w:val="none" w:sz="0" w:space="0" w:color="auto"/>
          <w:tr2bl w:val="none" w:sz="0" w:space="0" w:color="auto"/>
        </w:tcBorders>
      </w:tcPr>
    </w:tblStylePr>
    <w:tblStylePr w:type="firstCol">
      <w:rPr>
        <w:b w:val="0"/>
        <w:bCs w:val="0"/>
      </w:rPr>
      <w:tblPr/>
      <w:trPr>
        <w:hidden/>
      </w:trPr>
      <w:tcPr>
        <w:tcBorders>
          <w:tl2br w:val="none" w:sz="0" w:space="0" w:color="auto"/>
          <w:tr2bl w:val="none" w:sz="0" w:space="0" w:color="auto"/>
        </w:tcBorders>
      </w:tcPr>
    </w:tblStylePr>
    <w:tblStylePr w:type="lastCol">
      <w:rPr>
        <w:b w:val="0"/>
        <w:bCs w:val="0"/>
      </w:rPr>
      <w:tblPr/>
      <w:trPr>
        <w:hidden/>
      </w:trPr>
      <w:tcPr>
        <w:tcBorders>
          <w:tl2br w:val="none" w:sz="0" w:space="0" w:color="auto"/>
          <w:tr2bl w:val="none" w:sz="0" w:space="0" w:color="auto"/>
        </w:tcBorders>
      </w:tcPr>
    </w:tblStylePr>
    <w:tblStylePr w:type="nwCell">
      <w:tblPr/>
      <w:trPr>
        <w:hidden/>
      </w:trPr>
      <w:tcPr>
        <w:tcBorders>
          <w:tl2br w:val="single" w:sz="6" w:space="0" w:color="000000"/>
          <w:tr2bl w:val="none" w:sz="0" w:space="0" w:color="auto"/>
        </w:tcBorders>
      </w:tcPr>
    </w:tblStylePr>
  </w:style>
  <w:style w:type="table" w:styleId="TableGrid8">
    <w:name w:val="Table Grid 8"/>
    <w:basedOn w:val="TableNormal"/>
    <w:semiHidden/>
    <w:unhideWhenUsed/>
    <w:rsid w:val="002D66D8"/>
    <w:pPr>
      <w:spacing w:before="120" w:after="120" w:line="280" w:lineRule="atLeast"/>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rPr>
      <w:hidden/>
    </w:trPr>
    <w:tcPr>
      <w:shd w:val="clear" w:color="auto" w:fill="auto"/>
    </w:tcPr>
    <w:tblStylePr w:type="firstRow">
      <w:rPr>
        <w:b/>
        <w:bCs/>
        <w:color w:val="FFFFFF"/>
      </w:rPr>
      <w:tblPr/>
      <w:trPr>
        <w:hidden/>
      </w:trPr>
      <w:tcPr>
        <w:tcBorders>
          <w:tl2br w:val="none" w:sz="0" w:space="0" w:color="auto"/>
          <w:tr2bl w:val="none" w:sz="0" w:space="0" w:color="auto"/>
        </w:tcBorders>
        <w:shd w:val="solid" w:color="000080" w:fill="FFFFFF"/>
      </w:tcPr>
    </w:tblStylePr>
    <w:tblStylePr w:type="lastRow">
      <w:rPr>
        <w:b/>
        <w:bCs/>
        <w:color w:val="auto"/>
      </w:rPr>
      <w:tblPr/>
      <w:trPr>
        <w:hidden/>
      </w:trPr>
      <w:tcPr>
        <w:tcBorders>
          <w:tl2br w:val="none" w:sz="0" w:space="0" w:color="auto"/>
          <w:tr2bl w:val="none" w:sz="0" w:space="0" w:color="auto"/>
        </w:tcBorders>
      </w:tcPr>
    </w:tblStylePr>
    <w:tblStylePr w:type="lastCol">
      <w:rPr>
        <w:b/>
        <w:bCs/>
        <w:color w:val="auto"/>
      </w:rPr>
      <w:tblPr/>
      <w:trPr>
        <w:hidden/>
      </w:trPr>
      <w:tcPr>
        <w:tcBorders>
          <w:tl2br w:val="none" w:sz="0" w:space="0" w:color="auto"/>
          <w:tr2bl w:val="none" w:sz="0" w:space="0" w:color="auto"/>
        </w:tcBorders>
      </w:tcPr>
    </w:tblStylePr>
  </w:style>
  <w:style w:type="table" w:styleId="TableList1">
    <w:name w:val="Table List 1"/>
    <w:basedOn w:val="TableNormal"/>
    <w:semiHidden/>
    <w:unhideWhenUsed/>
    <w:rsid w:val="002D66D8"/>
    <w:pPr>
      <w:spacing w:before="120" w:after="120" w:line="280" w:lineRule="atLeast"/>
    </w:pPr>
    <w:tblPr>
      <w:tblStyleRowBandSize w:val="1"/>
      <w:tblBorders>
        <w:top w:val="single" w:sz="12" w:space="0" w:color="008080"/>
        <w:left w:val="single" w:sz="6" w:space="0" w:color="008080"/>
        <w:bottom w:val="single" w:sz="12" w:space="0" w:color="008080"/>
        <w:right w:val="single" w:sz="6" w:space="0" w:color="008080"/>
      </w:tblBorders>
    </w:tblPr>
    <w:trPr>
      <w:hidden/>
    </w:trPr>
    <w:tblStylePr w:type="firstRow">
      <w:rPr>
        <w:b/>
        <w:bCs/>
        <w:i/>
        <w:iCs/>
        <w:color w:val="800000"/>
      </w:rPr>
      <w:tblPr/>
      <w:trPr>
        <w:hidden/>
      </w:trPr>
      <w:tcPr>
        <w:tcBorders>
          <w:bottom w:val="single" w:sz="6" w:space="0" w:color="000000"/>
          <w:tl2br w:val="none" w:sz="0" w:space="0" w:color="auto"/>
          <w:tr2bl w:val="none" w:sz="0" w:space="0" w:color="auto"/>
        </w:tcBorders>
        <w:shd w:val="solid" w:color="C0C0C0" w:fill="FFFFFF"/>
      </w:tcPr>
    </w:tblStylePr>
    <w:tblStylePr w:type="lastRow">
      <w:tblPr/>
      <w:trPr>
        <w:hidden/>
      </w:trPr>
      <w:tcPr>
        <w:tcBorders>
          <w:top w:val="single" w:sz="6" w:space="0" w:color="000000"/>
          <w:tl2br w:val="none" w:sz="0" w:space="0" w:color="auto"/>
          <w:tr2bl w:val="none" w:sz="0" w:space="0" w:color="auto"/>
        </w:tcBorders>
      </w:tcPr>
    </w:tblStylePr>
    <w:tblStylePr w:type="band1Horz">
      <w:rPr>
        <w:color w:val="auto"/>
      </w:rPr>
      <w:tblPr/>
      <w:trPr>
        <w:hidden/>
      </w:trPr>
      <w:tcPr>
        <w:tcBorders>
          <w:tl2br w:val="none" w:sz="0" w:space="0" w:color="auto"/>
          <w:tr2bl w:val="none" w:sz="0" w:space="0" w:color="auto"/>
        </w:tcBorders>
        <w:shd w:val="solid" w:color="C0C0C0" w:fill="FFFFFF"/>
      </w:tcPr>
    </w:tblStylePr>
    <w:tblStylePr w:type="band2Horz">
      <w:rPr>
        <w:color w:val="auto"/>
      </w:rPr>
      <w:tblPr/>
      <w:trPr>
        <w:hidden/>
      </w:trPr>
      <w:tcPr>
        <w:tcBorders>
          <w:tl2br w:val="none" w:sz="0" w:space="0" w:color="auto"/>
          <w:tr2bl w:val="none" w:sz="0" w:space="0" w:color="auto"/>
        </w:tcBorders>
      </w:tcPr>
    </w:tblStylePr>
    <w:tblStylePr w:type="swCell">
      <w:rPr>
        <w:b/>
        <w:bCs/>
      </w:rPr>
      <w:tblPr/>
      <w:trPr>
        <w:hidden/>
      </w:trPr>
      <w:tcPr>
        <w:tcBorders>
          <w:tl2br w:val="none" w:sz="0" w:space="0" w:color="auto"/>
          <w:tr2bl w:val="none" w:sz="0" w:space="0" w:color="auto"/>
        </w:tcBorders>
      </w:tcPr>
    </w:tblStylePr>
  </w:style>
  <w:style w:type="table" w:styleId="TableList2">
    <w:name w:val="Table List 2"/>
    <w:basedOn w:val="TableNormal"/>
    <w:semiHidden/>
    <w:unhideWhenUsed/>
    <w:rsid w:val="002D66D8"/>
    <w:pPr>
      <w:spacing w:before="120" w:after="120" w:line="280" w:lineRule="atLeast"/>
    </w:pPr>
    <w:tblPr>
      <w:tblStyleRowBandSize w:val="2"/>
      <w:tblBorders>
        <w:bottom w:val="single" w:sz="12" w:space="0" w:color="808080"/>
      </w:tblBorders>
    </w:tblPr>
    <w:trPr>
      <w:hidden/>
    </w:trPr>
    <w:tblStylePr w:type="firstRow">
      <w:rPr>
        <w:b/>
        <w:bCs/>
        <w:color w:val="FFFFFF"/>
      </w:rPr>
      <w:tblPr/>
      <w:trPr>
        <w:hidden/>
      </w:trPr>
      <w:tcPr>
        <w:tcBorders>
          <w:bottom w:val="single" w:sz="6" w:space="0" w:color="000000"/>
          <w:tl2br w:val="none" w:sz="0" w:space="0" w:color="auto"/>
          <w:tr2bl w:val="none" w:sz="0" w:space="0" w:color="auto"/>
        </w:tcBorders>
        <w:shd w:val="pct75" w:color="008080" w:fill="008000"/>
      </w:tcPr>
    </w:tblStylePr>
    <w:tblStylePr w:type="lastRow">
      <w:tblPr/>
      <w:trPr>
        <w:hidden/>
      </w:trPr>
      <w:tcPr>
        <w:tcBorders>
          <w:top w:val="single" w:sz="6" w:space="0" w:color="000000"/>
          <w:tl2br w:val="none" w:sz="0" w:space="0" w:color="auto"/>
          <w:tr2bl w:val="none" w:sz="0" w:space="0" w:color="auto"/>
        </w:tcBorders>
      </w:tcPr>
    </w:tblStylePr>
    <w:tblStylePr w:type="band1Horz">
      <w:rPr>
        <w:color w:val="auto"/>
      </w:rPr>
      <w:tblPr/>
      <w:trPr>
        <w:hidden/>
      </w:trPr>
      <w:tcPr>
        <w:tcBorders>
          <w:tl2br w:val="none" w:sz="0" w:space="0" w:color="auto"/>
          <w:tr2bl w:val="none" w:sz="0" w:space="0" w:color="auto"/>
        </w:tcBorders>
        <w:shd w:val="pct20" w:color="00FF00" w:fill="FFFFFF"/>
      </w:tcPr>
    </w:tblStylePr>
    <w:tblStylePr w:type="band2Horz">
      <w:rPr>
        <w:color w:val="auto"/>
      </w:rPr>
      <w:tblPr/>
      <w:trPr>
        <w:hidden/>
      </w:trPr>
      <w:tcPr>
        <w:tcBorders>
          <w:tl2br w:val="none" w:sz="0" w:space="0" w:color="auto"/>
          <w:tr2bl w:val="none" w:sz="0" w:space="0" w:color="auto"/>
        </w:tcBorders>
      </w:tcPr>
    </w:tblStylePr>
    <w:tblStylePr w:type="swCell">
      <w:rPr>
        <w:b/>
        <w:bCs/>
      </w:rPr>
      <w:tblPr/>
      <w:trPr>
        <w:hidden/>
      </w:trPr>
      <w:tcPr>
        <w:tcBorders>
          <w:tl2br w:val="none" w:sz="0" w:space="0" w:color="auto"/>
          <w:tr2bl w:val="none" w:sz="0" w:space="0" w:color="auto"/>
        </w:tcBorders>
      </w:tcPr>
    </w:tblStylePr>
  </w:style>
  <w:style w:type="table" w:styleId="TableList3">
    <w:name w:val="Table List 3"/>
    <w:basedOn w:val="TableNormal"/>
    <w:semiHidden/>
    <w:unhideWhenUsed/>
    <w:rsid w:val="002D66D8"/>
    <w:pPr>
      <w:spacing w:before="120" w:after="120" w:line="280" w:lineRule="atLeast"/>
    </w:pPr>
    <w:tblPr>
      <w:tblBorders>
        <w:top w:val="single" w:sz="12" w:space="0" w:color="000000"/>
        <w:bottom w:val="single" w:sz="12" w:space="0" w:color="000000"/>
        <w:insideH w:val="single" w:sz="6" w:space="0" w:color="000000"/>
      </w:tblBorders>
    </w:tblPr>
    <w:trPr>
      <w:hidden/>
    </w:trPr>
    <w:tcPr>
      <w:shd w:val="clear" w:color="auto" w:fill="auto"/>
    </w:tcPr>
    <w:tblStylePr w:type="firstRow">
      <w:rPr>
        <w:b/>
        <w:bCs/>
        <w:color w:val="000080"/>
      </w:rPr>
      <w:tblPr/>
      <w:trPr>
        <w:hidden/>
      </w:trPr>
      <w:tcPr>
        <w:tcBorders>
          <w:bottom w:val="single" w:sz="12" w:space="0" w:color="000000"/>
          <w:tl2br w:val="none" w:sz="0" w:space="0" w:color="auto"/>
          <w:tr2bl w:val="none" w:sz="0" w:space="0" w:color="auto"/>
        </w:tcBorders>
      </w:tcPr>
    </w:tblStylePr>
    <w:tblStylePr w:type="lastRow">
      <w:tblPr/>
      <w:trPr>
        <w:hidden/>
      </w:trPr>
      <w:tcPr>
        <w:tcBorders>
          <w:top w:val="single" w:sz="12" w:space="0" w:color="000000"/>
          <w:tl2br w:val="none" w:sz="0" w:space="0" w:color="auto"/>
          <w:tr2bl w:val="none" w:sz="0" w:space="0" w:color="auto"/>
        </w:tcBorders>
      </w:tcPr>
    </w:tblStylePr>
    <w:tblStylePr w:type="swCell">
      <w:rPr>
        <w:i/>
        <w:iCs/>
        <w:color w:val="000080"/>
      </w:rPr>
      <w:tblPr/>
      <w:trPr>
        <w:hidden/>
      </w:trPr>
      <w:tcPr>
        <w:tcBorders>
          <w:tl2br w:val="none" w:sz="0" w:space="0" w:color="auto"/>
          <w:tr2bl w:val="none" w:sz="0" w:space="0" w:color="auto"/>
        </w:tcBorders>
      </w:tcPr>
    </w:tblStylePr>
  </w:style>
  <w:style w:type="table" w:styleId="TableList4">
    <w:name w:val="Table List 4"/>
    <w:basedOn w:val="TableNormal"/>
    <w:semiHidden/>
    <w:unhideWhenUsed/>
    <w:rsid w:val="002D66D8"/>
    <w:pPr>
      <w:spacing w:before="120" w:after="120" w:line="280" w:lineRule="atLeast"/>
    </w:pPr>
    <w:tblPr>
      <w:tblBorders>
        <w:top w:val="single" w:sz="12" w:space="0" w:color="000000"/>
        <w:left w:val="single" w:sz="12" w:space="0" w:color="000000"/>
        <w:bottom w:val="single" w:sz="12" w:space="0" w:color="000000"/>
        <w:right w:val="single" w:sz="12" w:space="0" w:color="000000"/>
        <w:insideH w:val="single" w:sz="6" w:space="0" w:color="000000"/>
      </w:tblBorders>
    </w:tblPr>
    <w:trPr>
      <w:hidden/>
    </w:trPr>
    <w:tcPr>
      <w:shd w:val="clear" w:color="auto" w:fill="auto"/>
    </w:tcPr>
    <w:tblStylePr w:type="firstRow">
      <w:rPr>
        <w:b/>
        <w:bCs/>
        <w:color w:val="FFFFFF"/>
      </w:rPr>
      <w:tblPr/>
      <w:trPr>
        <w:hidden/>
      </w:trPr>
      <w:tcPr>
        <w:tcBorders>
          <w:bottom w:val="single" w:sz="12" w:space="0" w:color="000000"/>
          <w:tl2br w:val="none" w:sz="0" w:space="0" w:color="auto"/>
          <w:tr2bl w:val="none" w:sz="0" w:space="0" w:color="auto"/>
        </w:tcBorders>
        <w:shd w:val="solid" w:color="808080" w:fill="FFFFFF"/>
      </w:tcPr>
    </w:tblStylePr>
  </w:style>
  <w:style w:type="table" w:styleId="TableList6">
    <w:name w:val="Table List 6"/>
    <w:basedOn w:val="TableNormal"/>
    <w:semiHidden/>
    <w:unhideWhenUsed/>
    <w:rsid w:val="002D66D8"/>
    <w:pPr>
      <w:spacing w:before="120" w:after="120" w:line="280" w:lineRule="atLeast"/>
    </w:pPr>
    <w:tblPr>
      <w:tblStyleRowBandSize w:val="1"/>
      <w:tblBorders>
        <w:top w:val="single" w:sz="6" w:space="0" w:color="000000"/>
        <w:left w:val="single" w:sz="6" w:space="0" w:color="000000"/>
        <w:bottom w:val="single" w:sz="6" w:space="0" w:color="000000"/>
        <w:right w:val="single" w:sz="6" w:space="0" w:color="000000"/>
      </w:tblBorders>
    </w:tblPr>
    <w:trPr>
      <w:hidden/>
    </w:trPr>
    <w:tcPr>
      <w:shd w:val="pct50" w:color="000000" w:fill="FFFFFF"/>
    </w:tcPr>
    <w:tblStylePr w:type="firstRow">
      <w:rPr>
        <w:b/>
        <w:bCs/>
      </w:rPr>
      <w:tblPr/>
      <w:trPr>
        <w:hidden/>
      </w:trPr>
      <w:tcPr>
        <w:tcBorders>
          <w:bottom w:val="single" w:sz="12" w:space="0" w:color="000000"/>
          <w:tl2br w:val="none" w:sz="0" w:space="0" w:color="auto"/>
          <w:tr2bl w:val="none" w:sz="0" w:space="0" w:color="auto"/>
        </w:tcBorders>
      </w:tcPr>
    </w:tblStylePr>
    <w:tblStylePr w:type="firstCol">
      <w:rPr>
        <w:b/>
        <w:bCs/>
      </w:rPr>
      <w:tblPr/>
      <w:trPr>
        <w:hidden/>
      </w:trPr>
      <w:tcPr>
        <w:tcBorders>
          <w:right w:val="single" w:sz="12" w:space="0" w:color="000000"/>
          <w:tl2br w:val="none" w:sz="0" w:space="0" w:color="auto"/>
          <w:tr2bl w:val="none" w:sz="0" w:space="0" w:color="auto"/>
        </w:tcBorders>
      </w:tcPr>
    </w:tblStylePr>
    <w:tblStylePr w:type="band1Horz">
      <w:tblPr/>
      <w:trPr>
        <w:hidden/>
      </w:trPr>
      <w:tcPr>
        <w:tcBorders>
          <w:tl2br w:val="none" w:sz="0" w:space="0" w:color="auto"/>
          <w:tr2bl w:val="none" w:sz="0" w:space="0" w:color="auto"/>
        </w:tcBorders>
        <w:shd w:val="pct25" w:color="000000" w:fill="FFFFFF"/>
      </w:tcPr>
    </w:tblStylePr>
  </w:style>
  <w:style w:type="table" w:styleId="TableList7">
    <w:name w:val="Table List 7"/>
    <w:basedOn w:val="TableNormal"/>
    <w:semiHidden/>
    <w:unhideWhenUsed/>
    <w:rsid w:val="002D66D8"/>
    <w:pPr>
      <w:spacing w:before="120" w:after="120" w:line="280" w:lineRule="atLeast"/>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rPr>
      <w:hidden/>
    </w:trPr>
    <w:tblStylePr w:type="firstRow">
      <w:rPr>
        <w:b/>
        <w:bCs/>
      </w:rPr>
      <w:tblPr/>
      <w:trPr>
        <w:hidden/>
      </w:trPr>
      <w:tcPr>
        <w:tcBorders>
          <w:bottom w:val="single" w:sz="12" w:space="0" w:color="008000"/>
          <w:tl2br w:val="none" w:sz="0" w:space="0" w:color="auto"/>
          <w:tr2bl w:val="none" w:sz="0" w:space="0" w:color="auto"/>
        </w:tcBorders>
        <w:shd w:val="solid" w:color="C0C0C0" w:fill="FFFFFF"/>
      </w:tcPr>
    </w:tblStylePr>
    <w:tblStylePr w:type="lastRow">
      <w:rPr>
        <w:b/>
        <w:bCs/>
      </w:rPr>
      <w:tblPr/>
      <w:trPr>
        <w:hidden/>
      </w:trPr>
      <w:tcPr>
        <w:tcBorders>
          <w:top w:val="single" w:sz="12" w:space="0" w:color="008000"/>
          <w:tl2br w:val="none" w:sz="0" w:space="0" w:color="auto"/>
          <w:tr2bl w:val="none" w:sz="0" w:space="0" w:color="auto"/>
        </w:tcBorders>
      </w:tcPr>
    </w:tblStylePr>
    <w:tblStylePr w:type="firstCol">
      <w:rPr>
        <w:b/>
        <w:bCs/>
      </w:rPr>
      <w:tblPr/>
      <w:trPr>
        <w:hidden/>
      </w:trPr>
      <w:tcPr>
        <w:tcBorders>
          <w:tl2br w:val="none" w:sz="0" w:space="0" w:color="auto"/>
          <w:tr2bl w:val="none" w:sz="0" w:space="0" w:color="auto"/>
        </w:tcBorders>
      </w:tcPr>
    </w:tblStylePr>
    <w:tblStylePr w:type="lastCol">
      <w:rPr>
        <w:b/>
        <w:bCs/>
      </w:rPr>
      <w:tblPr/>
      <w:trPr>
        <w:hidden/>
      </w:trPr>
      <w:tcPr>
        <w:tcBorders>
          <w:tl2br w:val="none" w:sz="0" w:space="0" w:color="auto"/>
          <w:tr2bl w:val="none" w:sz="0" w:space="0" w:color="auto"/>
        </w:tcBorders>
      </w:tcPr>
    </w:tblStylePr>
    <w:tblStylePr w:type="band1Horz">
      <w:rPr>
        <w:color w:val="auto"/>
      </w:rPr>
      <w:tblPr/>
      <w:trPr>
        <w:hidden/>
      </w:trPr>
      <w:tcPr>
        <w:tcBorders>
          <w:tl2br w:val="none" w:sz="0" w:space="0" w:color="auto"/>
          <w:tr2bl w:val="none" w:sz="0" w:space="0" w:color="auto"/>
        </w:tcBorders>
        <w:shd w:val="pct20" w:color="000000" w:fill="FFFFFF"/>
      </w:tcPr>
    </w:tblStylePr>
    <w:tblStylePr w:type="band2Horz">
      <w:tblPr/>
      <w:trPr>
        <w:hidden/>
      </w:trPr>
      <w:tcPr>
        <w:tcBorders>
          <w:tl2br w:val="none" w:sz="0" w:space="0" w:color="auto"/>
          <w:tr2bl w:val="none" w:sz="0" w:space="0" w:color="auto"/>
        </w:tcBorders>
        <w:shd w:val="pct25" w:color="FFFF00" w:fill="FFFFFF"/>
      </w:tcPr>
    </w:tblStylePr>
  </w:style>
  <w:style w:type="table" w:styleId="TableList8">
    <w:name w:val="Table List 8"/>
    <w:basedOn w:val="TableNormal"/>
    <w:semiHidden/>
    <w:unhideWhenUsed/>
    <w:rsid w:val="002D66D8"/>
    <w:pPr>
      <w:spacing w:before="120" w:after="120" w:line="280" w:lineRule="atLeast"/>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rPr>
      <w:hidden/>
    </w:trPr>
    <w:tblStylePr w:type="firstRow">
      <w:rPr>
        <w:b/>
        <w:bCs/>
        <w:i/>
        <w:iCs/>
      </w:rPr>
      <w:tblPr/>
      <w:trPr>
        <w:hidden/>
      </w:trPr>
      <w:tcPr>
        <w:tcBorders>
          <w:bottom w:val="single" w:sz="6" w:space="0" w:color="000000"/>
          <w:tl2br w:val="none" w:sz="0" w:space="0" w:color="auto"/>
          <w:tr2bl w:val="none" w:sz="0" w:space="0" w:color="auto"/>
        </w:tcBorders>
        <w:shd w:val="solid" w:color="FFFF00" w:fill="FFFFFF"/>
      </w:tcPr>
    </w:tblStylePr>
    <w:tblStylePr w:type="lastRow">
      <w:rPr>
        <w:b/>
        <w:bCs/>
      </w:rPr>
      <w:tblPr/>
      <w:trPr>
        <w:hidden/>
      </w:trPr>
      <w:tcPr>
        <w:tcBorders>
          <w:top w:val="single" w:sz="6" w:space="0" w:color="000000"/>
          <w:tl2br w:val="none" w:sz="0" w:space="0" w:color="auto"/>
          <w:tr2bl w:val="none" w:sz="0" w:space="0" w:color="auto"/>
        </w:tcBorders>
      </w:tcPr>
    </w:tblStylePr>
    <w:tblStylePr w:type="firstCol">
      <w:rPr>
        <w:b/>
        <w:bCs/>
      </w:rPr>
      <w:tblPr/>
      <w:trPr>
        <w:hidden/>
      </w:trPr>
      <w:tcPr>
        <w:tcBorders>
          <w:tl2br w:val="none" w:sz="0" w:space="0" w:color="auto"/>
          <w:tr2bl w:val="none" w:sz="0" w:space="0" w:color="auto"/>
        </w:tcBorders>
      </w:tcPr>
    </w:tblStylePr>
    <w:tblStylePr w:type="lastCol">
      <w:rPr>
        <w:b/>
        <w:bCs/>
      </w:rPr>
      <w:tblPr/>
      <w:trPr>
        <w:hidden/>
      </w:trPr>
      <w:tcPr>
        <w:tcBorders>
          <w:tl2br w:val="none" w:sz="0" w:space="0" w:color="auto"/>
          <w:tr2bl w:val="none" w:sz="0" w:space="0" w:color="auto"/>
        </w:tcBorders>
      </w:tcPr>
    </w:tblStylePr>
    <w:tblStylePr w:type="band1Horz">
      <w:rPr>
        <w:color w:val="auto"/>
      </w:rPr>
      <w:tblPr/>
      <w:trPr>
        <w:hidden/>
      </w:trPr>
      <w:tcPr>
        <w:tcBorders>
          <w:tl2br w:val="none" w:sz="0" w:space="0" w:color="auto"/>
          <w:tr2bl w:val="none" w:sz="0" w:space="0" w:color="auto"/>
        </w:tcBorders>
        <w:shd w:val="pct25" w:color="FFFF00" w:fill="FFFFFF"/>
      </w:tcPr>
    </w:tblStylePr>
    <w:tblStylePr w:type="band2Horz">
      <w:tblPr/>
      <w:trPr>
        <w:hidden/>
      </w:tr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unhideWhenUsed/>
    <w:rsid w:val="002D66D8"/>
    <w:pPr>
      <w:spacing w:after="0"/>
      <w:ind w:left="240" w:hanging="240"/>
    </w:pPr>
  </w:style>
  <w:style w:type="table" w:styleId="TableProfessional">
    <w:name w:val="Table Professional"/>
    <w:basedOn w:val="TableNormal"/>
    <w:semiHidden/>
    <w:unhideWhenUsed/>
    <w:rsid w:val="002D66D8"/>
    <w:pPr>
      <w:spacing w:before="120" w:after="120" w:line="28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rPr>
      <w:hidden/>
    </w:trPr>
    <w:tcPr>
      <w:shd w:val="clear" w:color="auto" w:fill="auto"/>
    </w:tcPr>
    <w:tblStylePr w:type="firstRow">
      <w:rPr>
        <w:b/>
        <w:bCs/>
        <w:color w:val="auto"/>
      </w:rPr>
      <w:tblPr/>
      <w:trPr>
        <w:hidden/>
      </w:trPr>
      <w:tcPr>
        <w:tcBorders>
          <w:tl2br w:val="none" w:sz="0" w:space="0" w:color="auto"/>
          <w:tr2bl w:val="none" w:sz="0" w:space="0" w:color="auto"/>
        </w:tcBorders>
        <w:shd w:val="solid" w:color="000000" w:fill="FFFFFF"/>
      </w:tcPr>
    </w:tblStylePr>
  </w:style>
  <w:style w:type="table" w:styleId="TableSimple1">
    <w:name w:val="Table Simple 1"/>
    <w:basedOn w:val="TableNormal"/>
    <w:semiHidden/>
    <w:unhideWhenUsed/>
    <w:rsid w:val="002D66D8"/>
    <w:pPr>
      <w:spacing w:before="120" w:after="120" w:line="280" w:lineRule="atLeast"/>
    </w:pPr>
    <w:tblPr>
      <w:tblBorders>
        <w:top w:val="single" w:sz="12" w:space="0" w:color="008000"/>
        <w:bottom w:val="single" w:sz="12" w:space="0" w:color="008000"/>
      </w:tblBorders>
    </w:tblPr>
    <w:trPr>
      <w:hidden/>
    </w:trPr>
    <w:tcPr>
      <w:shd w:val="clear" w:color="auto" w:fill="auto"/>
    </w:tcPr>
    <w:tblStylePr w:type="firstRow">
      <w:tblPr/>
      <w:trPr>
        <w:hidden/>
      </w:trPr>
      <w:tcPr>
        <w:tcBorders>
          <w:bottom w:val="single" w:sz="6" w:space="0" w:color="008000"/>
          <w:tl2br w:val="none" w:sz="0" w:space="0" w:color="auto"/>
          <w:tr2bl w:val="none" w:sz="0" w:space="0" w:color="auto"/>
        </w:tcBorders>
      </w:tcPr>
    </w:tblStylePr>
    <w:tblStylePr w:type="lastRow">
      <w:tblPr/>
      <w:trPr>
        <w:hidden/>
      </w:tr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unhideWhenUsed/>
    <w:rsid w:val="002D66D8"/>
    <w:pPr>
      <w:spacing w:before="120" w:after="120" w:line="280" w:lineRule="atLeast"/>
    </w:pPr>
    <w:tblPr/>
    <w:trPr>
      <w:hidden/>
    </w:trPr>
    <w:tblStylePr w:type="firstRow">
      <w:rPr>
        <w:b/>
        <w:bCs/>
      </w:rPr>
      <w:tblPr/>
      <w:trPr>
        <w:hidden/>
      </w:trPr>
      <w:tcPr>
        <w:tcBorders>
          <w:bottom w:val="single" w:sz="12" w:space="0" w:color="000000"/>
          <w:tl2br w:val="none" w:sz="0" w:space="0" w:color="auto"/>
          <w:tr2bl w:val="none" w:sz="0" w:space="0" w:color="auto"/>
        </w:tcBorders>
      </w:tcPr>
    </w:tblStylePr>
    <w:tblStylePr w:type="lastRow">
      <w:rPr>
        <w:b/>
        <w:bCs/>
        <w:color w:val="auto"/>
      </w:rPr>
      <w:tblPr/>
      <w:trPr>
        <w:hidden/>
      </w:trPr>
      <w:tcPr>
        <w:tcBorders>
          <w:top w:val="single" w:sz="6" w:space="0" w:color="000000"/>
          <w:tl2br w:val="none" w:sz="0" w:space="0" w:color="auto"/>
          <w:tr2bl w:val="none" w:sz="0" w:space="0" w:color="auto"/>
        </w:tcBorders>
      </w:tcPr>
    </w:tblStylePr>
    <w:tblStylePr w:type="firstCol">
      <w:rPr>
        <w:b/>
        <w:bCs/>
      </w:rPr>
      <w:tblPr/>
      <w:trPr>
        <w:hidden/>
      </w:trPr>
      <w:tcPr>
        <w:tcBorders>
          <w:right w:val="single" w:sz="12" w:space="0" w:color="000000"/>
          <w:tl2br w:val="none" w:sz="0" w:space="0" w:color="auto"/>
          <w:tr2bl w:val="none" w:sz="0" w:space="0" w:color="auto"/>
        </w:tcBorders>
      </w:tcPr>
    </w:tblStylePr>
    <w:tblStylePr w:type="lastCol">
      <w:rPr>
        <w:b/>
        <w:bCs/>
      </w:rPr>
      <w:tblPr/>
      <w:trPr>
        <w:hidden/>
      </w:trPr>
      <w:tcPr>
        <w:tcBorders>
          <w:left w:val="single" w:sz="6" w:space="0" w:color="000000"/>
          <w:tl2br w:val="none" w:sz="0" w:space="0" w:color="auto"/>
          <w:tr2bl w:val="none" w:sz="0" w:space="0" w:color="auto"/>
        </w:tcBorders>
      </w:tcPr>
    </w:tblStylePr>
    <w:tblStylePr w:type="neCell">
      <w:rPr>
        <w:b/>
        <w:bCs/>
      </w:rPr>
      <w:tblPr/>
      <w:trPr>
        <w:hidden/>
      </w:trPr>
      <w:tcPr>
        <w:tcBorders>
          <w:left w:val="none" w:sz="0" w:space="0" w:color="auto"/>
          <w:tl2br w:val="none" w:sz="0" w:space="0" w:color="auto"/>
          <w:tr2bl w:val="none" w:sz="0" w:space="0" w:color="auto"/>
        </w:tcBorders>
      </w:tcPr>
    </w:tblStylePr>
    <w:tblStylePr w:type="swCell">
      <w:rPr>
        <w:b/>
        <w:bCs/>
      </w:rPr>
      <w:tblPr/>
      <w:trPr>
        <w:hidden/>
      </w:trPr>
      <w:tcPr>
        <w:tcBorders>
          <w:top w:val="none" w:sz="0" w:space="0" w:color="auto"/>
          <w:tl2br w:val="none" w:sz="0" w:space="0" w:color="auto"/>
          <w:tr2bl w:val="none" w:sz="0" w:space="0" w:color="auto"/>
        </w:tcBorders>
      </w:tcPr>
    </w:tblStylePr>
  </w:style>
  <w:style w:type="table" w:styleId="TableSimple3">
    <w:name w:val="Table Simple 3"/>
    <w:basedOn w:val="TableNormal"/>
    <w:semiHidden/>
    <w:unhideWhenUsed/>
    <w:rsid w:val="002D66D8"/>
    <w:pPr>
      <w:spacing w:before="120" w:after="120" w:line="280" w:lineRule="atLeast"/>
    </w:pPr>
    <w:tblPr>
      <w:tblBorders>
        <w:top w:val="single" w:sz="12" w:space="0" w:color="000000"/>
        <w:left w:val="single" w:sz="12" w:space="0" w:color="000000"/>
        <w:bottom w:val="single" w:sz="12" w:space="0" w:color="000000"/>
        <w:right w:val="single" w:sz="12" w:space="0" w:color="000000"/>
      </w:tblBorders>
    </w:tblPr>
    <w:trPr>
      <w:hidden/>
    </w:trPr>
    <w:tcPr>
      <w:shd w:val="clear" w:color="auto" w:fill="auto"/>
    </w:tcPr>
    <w:tblStylePr w:type="firstRow">
      <w:rPr>
        <w:b/>
        <w:bCs/>
        <w:color w:val="FFFFFF"/>
      </w:rPr>
      <w:tblPr/>
      <w:trPr>
        <w:hidden/>
      </w:trPr>
      <w:tcPr>
        <w:tcBorders>
          <w:tl2br w:val="none" w:sz="0" w:space="0" w:color="auto"/>
          <w:tr2bl w:val="none" w:sz="0" w:space="0" w:color="auto"/>
        </w:tcBorders>
        <w:shd w:val="solid" w:color="000000" w:fill="FFFFFF"/>
      </w:tcPr>
    </w:tblStylePr>
  </w:style>
  <w:style w:type="table" w:styleId="TableSubtle1">
    <w:name w:val="Table Subtle 1"/>
    <w:basedOn w:val="TableNormal"/>
    <w:semiHidden/>
    <w:unhideWhenUsed/>
    <w:rsid w:val="002D66D8"/>
    <w:pPr>
      <w:spacing w:before="120" w:after="120" w:line="280" w:lineRule="atLeast"/>
    </w:pPr>
    <w:tblPr>
      <w:tblStyleRowBandSize w:val="1"/>
    </w:tblPr>
    <w:trPr>
      <w:hidden/>
    </w:trPr>
    <w:tblStylePr w:type="firstRow">
      <w:tblPr/>
      <w:trPr>
        <w:hidden/>
      </w:trPr>
      <w:tcPr>
        <w:tcBorders>
          <w:top w:val="single" w:sz="6" w:space="0" w:color="000000"/>
          <w:bottom w:val="single" w:sz="12" w:space="0" w:color="000000"/>
          <w:tl2br w:val="none" w:sz="0" w:space="0" w:color="auto"/>
          <w:tr2bl w:val="none" w:sz="0" w:space="0" w:color="auto"/>
        </w:tcBorders>
      </w:tcPr>
    </w:tblStylePr>
    <w:tblStylePr w:type="lastRow">
      <w:tblPr/>
      <w:trPr>
        <w:hidden/>
      </w:trPr>
      <w:tcPr>
        <w:tcBorders>
          <w:top w:val="single" w:sz="12" w:space="0" w:color="000000"/>
          <w:tl2br w:val="none" w:sz="0" w:space="0" w:color="auto"/>
          <w:tr2bl w:val="none" w:sz="0" w:space="0" w:color="auto"/>
        </w:tcBorders>
        <w:shd w:val="pct25" w:color="800080" w:fill="FFFFFF"/>
      </w:tcPr>
    </w:tblStylePr>
    <w:tblStylePr w:type="firstCol">
      <w:tblPr/>
      <w:trPr>
        <w:hidden/>
      </w:trPr>
      <w:tcPr>
        <w:tcBorders>
          <w:right w:val="single" w:sz="12" w:space="0" w:color="000000"/>
          <w:tl2br w:val="none" w:sz="0" w:space="0" w:color="auto"/>
          <w:tr2bl w:val="none" w:sz="0" w:space="0" w:color="auto"/>
        </w:tcBorders>
      </w:tcPr>
    </w:tblStylePr>
    <w:tblStylePr w:type="lastCol">
      <w:tblPr/>
      <w:trPr>
        <w:hidden/>
      </w:trPr>
      <w:tcPr>
        <w:tcBorders>
          <w:left w:val="single" w:sz="12" w:space="0" w:color="000000"/>
          <w:tl2br w:val="none" w:sz="0" w:space="0" w:color="auto"/>
          <w:tr2bl w:val="none" w:sz="0" w:space="0" w:color="auto"/>
        </w:tcBorders>
      </w:tcPr>
    </w:tblStylePr>
    <w:tblStylePr w:type="band1Horz">
      <w:tblPr/>
      <w:trPr>
        <w:hidden/>
      </w:trPr>
      <w:tcPr>
        <w:tcBorders>
          <w:bottom w:val="single" w:sz="6" w:space="0" w:color="000000"/>
          <w:tl2br w:val="none" w:sz="0" w:space="0" w:color="auto"/>
          <w:tr2bl w:val="none" w:sz="0" w:space="0" w:color="auto"/>
        </w:tcBorders>
        <w:shd w:val="pct25" w:color="808000" w:fill="FFFFFF"/>
      </w:tcPr>
    </w:tblStylePr>
    <w:tblStylePr w:type="neCell">
      <w:rPr>
        <w:b/>
        <w:bCs/>
      </w:rPr>
      <w:tblPr/>
      <w:trPr>
        <w:hidden/>
      </w:trPr>
      <w:tcPr>
        <w:tcBorders>
          <w:tl2br w:val="none" w:sz="0" w:space="0" w:color="auto"/>
          <w:tr2bl w:val="none" w:sz="0" w:space="0" w:color="auto"/>
        </w:tcBorders>
      </w:tcPr>
    </w:tblStylePr>
    <w:tblStylePr w:type="swCell">
      <w:rPr>
        <w:b/>
        <w:bCs/>
      </w:rPr>
      <w:tblPr/>
      <w:trPr>
        <w:hidden/>
      </w:trPr>
      <w:tcPr>
        <w:tcBorders>
          <w:tl2br w:val="none" w:sz="0" w:space="0" w:color="auto"/>
          <w:tr2bl w:val="none" w:sz="0" w:space="0" w:color="auto"/>
        </w:tcBorders>
      </w:tcPr>
    </w:tblStylePr>
  </w:style>
  <w:style w:type="table" w:styleId="TableSubtle2">
    <w:name w:val="Table Subtle 2"/>
    <w:basedOn w:val="TableNormal"/>
    <w:semiHidden/>
    <w:unhideWhenUsed/>
    <w:rsid w:val="002D66D8"/>
    <w:pPr>
      <w:spacing w:before="120" w:after="120" w:line="280" w:lineRule="atLeast"/>
    </w:pPr>
    <w:tblPr>
      <w:tblBorders>
        <w:left w:val="single" w:sz="6" w:space="0" w:color="000000"/>
        <w:right w:val="single" w:sz="6" w:space="0" w:color="000000"/>
      </w:tblBorders>
    </w:tblPr>
    <w:trPr>
      <w:hidden/>
    </w:trPr>
    <w:tblStylePr w:type="firstRow">
      <w:tblPr/>
      <w:trPr>
        <w:hidden/>
      </w:trPr>
      <w:tcPr>
        <w:tcBorders>
          <w:bottom w:val="single" w:sz="12" w:space="0" w:color="000000"/>
          <w:tl2br w:val="none" w:sz="0" w:space="0" w:color="auto"/>
          <w:tr2bl w:val="none" w:sz="0" w:space="0" w:color="auto"/>
        </w:tcBorders>
      </w:tcPr>
    </w:tblStylePr>
    <w:tblStylePr w:type="lastRow">
      <w:tblPr/>
      <w:trPr>
        <w:hidden/>
      </w:trPr>
      <w:tcPr>
        <w:tcBorders>
          <w:top w:val="single" w:sz="12" w:space="0" w:color="000000"/>
          <w:tl2br w:val="none" w:sz="0" w:space="0" w:color="auto"/>
          <w:tr2bl w:val="none" w:sz="0" w:space="0" w:color="auto"/>
        </w:tcBorders>
      </w:tcPr>
    </w:tblStylePr>
    <w:tblStylePr w:type="firstCol">
      <w:tblPr/>
      <w:trPr>
        <w:hidden/>
      </w:trPr>
      <w:tcPr>
        <w:tcBorders>
          <w:right w:val="single" w:sz="12" w:space="0" w:color="000000"/>
          <w:tl2br w:val="none" w:sz="0" w:space="0" w:color="auto"/>
          <w:tr2bl w:val="none" w:sz="0" w:space="0" w:color="auto"/>
        </w:tcBorders>
        <w:shd w:val="pct25" w:color="008000" w:fill="FFFFFF"/>
      </w:tcPr>
    </w:tblStylePr>
    <w:tblStylePr w:type="lastCol">
      <w:tblPr/>
      <w:trPr>
        <w:hidden/>
      </w:trPr>
      <w:tcPr>
        <w:tcBorders>
          <w:left w:val="single" w:sz="12" w:space="0" w:color="000000"/>
          <w:tl2br w:val="none" w:sz="0" w:space="0" w:color="auto"/>
          <w:tr2bl w:val="none" w:sz="0" w:space="0" w:color="auto"/>
        </w:tcBorders>
        <w:shd w:val="pct25" w:color="808000" w:fill="FFFFFF"/>
      </w:tcPr>
    </w:tblStylePr>
    <w:tblStylePr w:type="neCell">
      <w:rPr>
        <w:b/>
        <w:bCs/>
      </w:rPr>
      <w:tblPr/>
      <w:trPr>
        <w:hidden/>
      </w:trPr>
      <w:tcPr>
        <w:tcBorders>
          <w:tl2br w:val="none" w:sz="0" w:space="0" w:color="auto"/>
          <w:tr2bl w:val="none" w:sz="0" w:space="0" w:color="auto"/>
        </w:tcBorders>
      </w:tcPr>
    </w:tblStylePr>
    <w:tblStylePr w:type="swCell">
      <w:rPr>
        <w:b/>
        <w:bCs/>
      </w:rPr>
      <w:tblPr/>
      <w:trPr>
        <w:hidden/>
      </w:trPr>
      <w:tcPr>
        <w:tcBorders>
          <w:tl2br w:val="none" w:sz="0" w:space="0" w:color="auto"/>
          <w:tr2bl w:val="none" w:sz="0" w:space="0" w:color="auto"/>
        </w:tcBorders>
      </w:tcPr>
    </w:tblStylePr>
  </w:style>
  <w:style w:type="table" w:styleId="TableTheme">
    <w:name w:val="Table Theme"/>
    <w:basedOn w:val="TableNormal"/>
    <w:semiHidden/>
    <w:unhideWhenUsed/>
    <w:rsid w:val="002D66D8"/>
    <w:pPr>
      <w:spacing w:before="120" w:after="12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table" w:styleId="TableWeb1">
    <w:name w:val="Table Web 1"/>
    <w:basedOn w:val="TableNormal"/>
    <w:semiHidden/>
    <w:unhideWhenUsed/>
    <w:rsid w:val="002D66D8"/>
    <w:pPr>
      <w:spacing w:before="120" w:after="120" w:line="280" w:lineRule="atLeast"/>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hidden/>
    </w:trPr>
    <w:tcPr>
      <w:shd w:val="clear" w:color="auto" w:fill="auto"/>
    </w:tcPr>
    <w:tblStylePr w:type="firstRow">
      <w:rPr>
        <w:color w:val="auto"/>
      </w:rPr>
      <w:tblPr/>
      <w:trPr>
        <w:hidden/>
      </w:trPr>
      <w:tcPr>
        <w:tcBorders>
          <w:tl2br w:val="none" w:sz="0" w:space="0" w:color="auto"/>
          <w:tr2bl w:val="none" w:sz="0" w:space="0" w:color="auto"/>
        </w:tcBorders>
      </w:tcPr>
    </w:tblStylePr>
  </w:style>
  <w:style w:type="table" w:styleId="TableWeb2">
    <w:name w:val="Table Web 2"/>
    <w:basedOn w:val="TableNormal"/>
    <w:semiHidden/>
    <w:unhideWhenUsed/>
    <w:rsid w:val="002D66D8"/>
    <w:pPr>
      <w:spacing w:before="120" w:after="120" w:line="280" w:lineRule="atLeast"/>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hidden/>
    </w:trPr>
    <w:tcPr>
      <w:shd w:val="clear" w:color="auto" w:fill="auto"/>
    </w:tcPr>
    <w:tblStylePr w:type="firstRow">
      <w:rPr>
        <w:color w:val="auto"/>
      </w:rPr>
      <w:tblPr/>
      <w:trPr>
        <w:hidden/>
      </w:trPr>
      <w:tcPr>
        <w:tcBorders>
          <w:tl2br w:val="none" w:sz="0" w:space="0" w:color="auto"/>
          <w:tr2bl w:val="none" w:sz="0" w:space="0" w:color="auto"/>
        </w:tcBorders>
      </w:tcPr>
    </w:tblStylePr>
  </w:style>
  <w:style w:type="table" w:styleId="TableWeb3">
    <w:name w:val="Table Web 3"/>
    <w:basedOn w:val="TableNormal"/>
    <w:semiHidden/>
    <w:unhideWhenUsed/>
    <w:rsid w:val="002D66D8"/>
    <w:pPr>
      <w:spacing w:before="120" w:after="120" w:line="280" w:lineRule="atLeast"/>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hidden/>
    </w:trPr>
    <w:tcPr>
      <w:shd w:val="clear" w:color="auto" w:fill="auto"/>
    </w:tcPr>
    <w:tblStylePr w:type="firstRow">
      <w:rPr>
        <w:color w:val="auto"/>
      </w:rPr>
      <w:tblPr/>
      <w:trPr>
        <w:hidden/>
      </w:trPr>
      <w:tcPr>
        <w:tcBorders>
          <w:tl2br w:val="none" w:sz="0" w:space="0" w:color="auto"/>
          <w:tr2bl w:val="none" w:sz="0" w:space="0" w:color="auto"/>
        </w:tcBorders>
      </w:tcPr>
    </w:tblStylePr>
  </w:style>
  <w:style w:type="paragraph" w:styleId="TOAHeading">
    <w:name w:val="toa heading"/>
    <w:basedOn w:val="Normal"/>
    <w:next w:val="Normal"/>
    <w:semiHidden/>
    <w:unhideWhenUsed/>
    <w:rsid w:val="002D66D8"/>
    <w:rPr>
      <w:rFonts w:asciiTheme="majorHAnsi" w:eastAsiaTheme="majorEastAsia" w:hAnsiTheme="majorHAnsi" w:cstheme="majorBidi"/>
      <w:b/>
      <w:bCs/>
      <w:szCs w:val="24"/>
    </w:rPr>
  </w:style>
  <w:style w:type="paragraph" w:customStyle="1" w:styleId="TableHeadings">
    <w:name w:val="Table Headings"/>
    <w:basedOn w:val="Normal"/>
    <w:rsid w:val="00C44549"/>
    <w:pPr>
      <w:keepNext/>
      <w:spacing w:before="40" w:after="40" w:line="240" w:lineRule="auto"/>
      <w:jc w:val="center"/>
    </w:pPr>
    <w:rPr>
      <w:rFonts w:eastAsia="Times New Roman" w:cs="Times New Roman"/>
      <w:b/>
      <w:kern w:val="24"/>
      <w:szCs w:val="24"/>
      <w:lang w:eastAsia="ja-JP"/>
    </w:rPr>
  </w:style>
  <w:style w:type="character" w:customStyle="1" w:styleId="ListParagraphChar">
    <w:name w:val="List Paragraph Char"/>
    <w:basedOn w:val="DefaultParagraphFont"/>
    <w:link w:val="ListParagraph"/>
    <w:uiPriority w:val="34"/>
    <w:locked/>
    <w:rsid w:val="002C4DB0"/>
    <w:rPr>
      <w:rFonts w:eastAsia="Times New Roman"/>
      <w:sz w:val="24"/>
      <w:szCs w:val="24"/>
    </w:rPr>
  </w:style>
  <w:style w:type="paragraph" w:styleId="Header">
    <w:name w:val="header"/>
    <w:basedOn w:val="Normal"/>
    <w:link w:val="HeaderChar"/>
    <w:uiPriority w:val="99"/>
    <w:unhideWhenUsed/>
    <w:rsid w:val="00970CA5"/>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970CA5"/>
    <w:rPr>
      <w:rFonts w:eastAsia="Calibri" w:cs="Cordia New"/>
      <w:sz w:val="24"/>
      <w:szCs w:val="22"/>
    </w:rPr>
  </w:style>
  <w:style w:type="paragraph" w:styleId="Footer">
    <w:name w:val="footer"/>
    <w:basedOn w:val="Normal"/>
    <w:link w:val="FooterChar"/>
    <w:uiPriority w:val="99"/>
    <w:unhideWhenUsed/>
    <w:qFormat/>
    <w:rsid w:val="00970CA5"/>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970CA5"/>
    <w:rPr>
      <w:rFonts w:eastAsia="Calibri" w:cs="Cordia New"/>
      <w:sz w:val="24"/>
      <w:szCs w:val="22"/>
    </w:rPr>
  </w:style>
  <w:style w:type="paragraph" w:styleId="BlockText">
    <w:name w:val="Block Text"/>
    <w:basedOn w:val="Normal"/>
    <w:semiHidden/>
    <w:unhideWhenUsed/>
    <w:qFormat/>
    <w:rsid w:val="00DA0ACE"/>
    <w:pPr>
      <w:pBdr>
        <w:top w:val="single" w:sz="2" w:space="10" w:color="4F81BD" w:themeColor="accent1" w:shadow="1" w:frame="1"/>
        <w:left w:val="single" w:sz="2" w:space="10" w:color="4F81BD" w:themeColor="accent1" w:shadow="1" w:frame="1"/>
        <w:bottom w:val="single" w:sz="2" w:space="10" w:color="4F81BD" w:themeColor="accent1" w:shadow="1" w:frame="1"/>
        <w:right w:val="single" w:sz="2" w:space="10" w:color="4F81BD" w:themeColor="accent1" w:shadow="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semiHidden/>
    <w:unhideWhenUsed/>
    <w:rsid w:val="00DA0ACE"/>
  </w:style>
  <w:style w:type="character" w:customStyle="1" w:styleId="BodyTextChar">
    <w:name w:val="Body Text Char"/>
    <w:basedOn w:val="DefaultParagraphFont"/>
    <w:link w:val="BodyText"/>
    <w:uiPriority w:val="99"/>
    <w:semiHidden/>
    <w:rsid w:val="00DA0ACE"/>
    <w:rPr>
      <w:rFonts w:eastAsia="Calibri" w:cs="Cordia New"/>
      <w:sz w:val="24"/>
      <w:szCs w:val="22"/>
    </w:rPr>
  </w:style>
  <w:style w:type="paragraph" w:styleId="Caption">
    <w:name w:val="caption"/>
    <w:basedOn w:val="Normal"/>
    <w:next w:val="Normal"/>
    <w:unhideWhenUsed/>
    <w:rsid w:val="00DA0ACE"/>
    <w:pPr>
      <w:spacing w:before="0" w:after="200" w:line="240" w:lineRule="auto"/>
    </w:pPr>
    <w:rPr>
      <w:b/>
      <w:bCs/>
      <w:color w:val="4F81BD" w:themeColor="accent1"/>
      <w:sz w:val="18"/>
      <w:szCs w:val="18"/>
    </w:rPr>
  </w:style>
  <w:style w:type="paragraph" w:styleId="CommentText">
    <w:name w:val="annotation text"/>
    <w:basedOn w:val="Normal"/>
    <w:link w:val="CommentTextChar"/>
    <w:uiPriority w:val="99"/>
    <w:unhideWhenUsed/>
    <w:rsid w:val="00DA0ACE"/>
    <w:pPr>
      <w:spacing w:line="240" w:lineRule="auto"/>
    </w:pPr>
    <w:rPr>
      <w:sz w:val="20"/>
      <w:szCs w:val="20"/>
    </w:rPr>
  </w:style>
  <w:style w:type="character" w:customStyle="1" w:styleId="CommentTextChar">
    <w:name w:val="Comment Text Char"/>
    <w:basedOn w:val="DefaultParagraphFont"/>
    <w:link w:val="CommentText"/>
    <w:uiPriority w:val="99"/>
    <w:rsid w:val="00DA0ACE"/>
    <w:rPr>
      <w:rFonts w:eastAsia="Calibri" w:cs="Cordia New"/>
    </w:rPr>
  </w:style>
  <w:style w:type="paragraph" w:styleId="CommentSubject">
    <w:name w:val="annotation subject"/>
    <w:basedOn w:val="CommentText"/>
    <w:next w:val="CommentText"/>
    <w:link w:val="CommentSubjectChar"/>
    <w:uiPriority w:val="99"/>
    <w:semiHidden/>
    <w:unhideWhenUsed/>
    <w:rsid w:val="00DA0ACE"/>
    <w:rPr>
      <w:b/>
      <w:bCs/>
    </w:rPr>
  </w:style>
  <w:style w:type="character" w:customStyle="1" w:styleId="CommentSubjectChar">
    <w:name w:val="Comment Subject Char"/>
    <w:basedOn w:val="CommentTextChar"/>
    <w:link w:val="CommentSubject"/>
    <w:uiPriority w:val="99"/>
    <w:semiHidden/>
    <w:rsid w:val="00DA0ACE"/>
    <w:rPr>
      <w:rFonts w:eastAsia="Calibri" w:cs="Cordia New"/>
      <w:b/>
      <w:bCs/>
    </w:rPr>
  </w:style>
  <w:style w:type="paragraph" w:styleId="DocumentMap">
    <w:name w:val="Document Map"/>
    <w:basedOn w:val="Normal"/>
    <w:link w:val="DocumentMapChar"/>
    <w:uiPriority w:val="99"/>
    <w:semiHidden/>
    <w:unhideWhenUsed/>
    <w:rsid w:val="00DA0AC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DA0ACE"/>
    <w:rPr>
      <w:rFonts w:ascii="Tahoma" w:eastAsia="Calibri" w:hAnsi="Tahoma" w:cs="Tahoma"/>
      <w:sz w:val="16"/>
      <w:szCs w:val="16"/>
    </w:rPr>
  </w:style>
  <w:style w:type="paragraph" w:styleId="EndnoteText">
    <w:name w:val="endnote text"/>
    <w:basedOn w:val="Normal"/>
    <w:link w:val="EndnoteTextChar"/>
    <w:semiHidden/>
    <w:unhideWhenUsed/>
    <w:rsid w:val="00DA0ACE"/>
    <w:pPr>
      <w:spacing w:before="0" w:after="0" w:line="240" w:lineRule="auto"/>
    </w:pPr>
    <w:rPr>
      <w:sz w:val="20"/>
      <w:szCs w:val="20"/>
    </w:rPr>
  </w:style>
  <w:style w:type="character" w:customStyle="1" w:styleId="EndnoteTextChar">
    <w:name w:val="Endnote Text Char"/>
    <w:basedOn w:val="DefaultParagraphFont"/>
    <w:link w:val="EndnoteText"/>
    <w:semiHidden/>
    <w:rsid w:val="00DA0ACE"/>
    <w:rPr>
      <w:rFonts w:eastAsia="Calibri" w:cs="Cordia New"/>
    </w:rPr>
  </w:style>
  <w:style w:type="character" w:styleId="FollowedHyperlink">
    <w:name w:val="FollowedHyperlink"/>
    <w:basedOn w:val="DefaultParagraphFont"/>
    <w:uiPriority w:val="99"/>
    <w:semiHidden/>
    <w:unhideWhenUsed/>
    <w:rsid w:val="00DA0ACE"/>
    <w:rPr>
      <w:color w:val="800080" w:themeColor="followedHyperlink"/>
      <w:u w:val="single"/>
    </w:rPr>
  </w:style>
  <w:style w:type="paragraph" w:styleId="FootnoteText">
    <w:name w:val="footnote text"/>
    <w:basedOn w:val="Normal"/>
    <w:link w:val="FootnoteTextChar"/>
    <w:semiHidden/>
    <w:unhideWhenUsed/>
    <w:rsid w:val="00DA0ACE"/>
    <w:pPr>
      <w:spacing w:before="0" w:after="0" w:line="240" w:lineRule="auto"/>
    </w:pPr>
    <w:rPr>
      <w:sz w:val="20"/>
      <w:szCs w:val="20"/>
    </w:rPr>
  </w:style>
  <w:style w:type="character" w:customStyle="1" w:styleId="FootnoteTextChar">
    <w:name w:val="Footnote Text Char"/>
    <w:basedOn w:val="DefaultParagraphFont"/>
    <w:link w:val="FootnoteText"/>
    <w:semiHidden/>
    <w:rsid w:val="00DA0ACE"/>
    <w:rPr>
      <w:rFonts w:eastAsia="Calibri" w:cs="Cordia New"/>
    </w:rPr>
  </w:style>
  <w:style w:type="character" w:styleId="HTMLTypewriter">
    <w:name w:val="HTML Typewriter"/>
    <w:basedOn w:val="DefaultParagraphFont"/>
    <w:uiPriority w:val="99"/>
    <w:semiHidden/>
    <w:unhideWhenUsed/>
    <w:rsid w:val="00DA0ACE"/>
    <w:rPr>
      <w:rFonts w:ascii="Consolas" w:hAnsi="Consolas" w:cs="Consolas"/>
      <w:sz w:val="20"/>
      <w:szCs w:val="20"/>
    </w:rPr>
  </w:style>
  <w:style w:type="character" w:styleId="Hyperlink">
    <w:name w:val="Hyperlink"/>
    <w:basedOn w:val="DefaultParagraphFont"/>
    <w:uiPriority w:val="99"/>
    <w:unhideWhenUsed/>
    <w:rsid w:val="00DA0ACE"/>
    <w:rPr>
      <w:color w:val="0000FF" w:themeColor="hyperlink"/>
      <w:u w:val="single"/>
    </w:rPr>
  </w:style>
  <w:style w:type="paragraph" w:styleId="NormalWeb">
    <w:name w:val="Normal (Web)"/>
    <w:basedOn w:val="Normal"/>
    <w:uiPriority w:val="99"/>
    <w:semiHidden/>
    <w:unhideWhenUsed/>
    <w:rsid w:val="00DA0ACE"/>
    <w:rPr>
      <w:rFonts w:cs="Times New Roman"/>
      <w:szCs w:val="24"/>
    </w:rPr>
  </w:style>
  <w:style w:type="paragraph" w:styleId="NormalIndent">
    <w:name w:val="Normal Indent"/>
    <w:basedOn w:val="Normal"/>
    <w:uiPriority w:val="99"/>
    <w:semiHidden/>
    <w:unhideWhenUsed/>
    <w:rsid w:val="00DA0ACE"/>
    <w:pPr>
      <w:ind w:left="720"/>
    </w:pPr>
  </w:style>
  <w:style w:type="character" w:styleId="PageNumber">
    <w:name w:val="page number"/>
    <w:basedOn w:val="DefaultParagraphFont"/>
    <w:semiHidden/>
    <w:unhideWhenUsed/>
    <w:rsid w:val="00DA0ACE"/>
  </w:style>
  <w:style w:type="paragraph" w:styleId="TableofFigures">
    <w:name w:val="table of figures"/>
    <w:basedOn w:val="Normal"/>
    <w:next w:val="Normal"/>
    <w:uiPriority w:val="99"/>
    <w:semiHidden/>
    <w:unhideWhenUsed/>
    <w:rsid w:val="00DA0ACE"/>
    <w:pPr>
      <w:spacing w:after="0"/>
    </w:pPr>
  </w:style>
  <w:style w:type="paragraph" w:styleId="TOC5">
    <w:name w:val="toc 5"/>
    <w:basedOn w:val="Normal"/>
    <w:next w:val="Normal"/>
    <w:autoRedefine/>
    <w:uiPriority w:val="39"/>
    <w:unhideWhenUsed/>
    <w:rsid w:val="00DA0ACE"/>
    <w:pPr>
      <w:spacing w:after="100"/>
      <w:ind w:left="960"/>
    </w:pPr>
  </w:style>
  <w:style w:type="paragraph" w:styleId="TOC6">
    <w:name w:val="toc 6"/>
    <w:basedOn w:val="Normal"/>
    <w:next w:val="Normal"/>
    <w:autoRedefine/>
    <w:uiPriority w:val="39"/>
    <w:unhideWhenUsed/>
    <w:rsid w:val="00DA0ACE"/>
    <w:pPr>
      <w:spacing w:after="100"/>
      <w:ind w:left="1200"/>
    </w:pPr>
  </w:style>
  <w:style w:type="paragraph" w:styleId="TOC7">
    <w:name w:val="toc 7"/>
    <w:basedOn w:val="Normal"/>
    <w:next w:val="Normal"/>
    <w:autoRedefine/>
    <w:uiPriority w:val="39"/>
    <w:unhideWhenUsed/>
    <w:rsid w:val="00DA0ACE"/>
    <w:pPr>
      <w:spacing w:after="100"/>
      <w:ind w:left="1440"/>
    </w:pPr>
  </w:style>
  <w:style w:type="paragraph" w:styleId="TOC8">
    <w:name w:val="toc 8"/>
    <w:basedOn w:val="Normal"/>
    <w:next w:val="Normal"/>
    <w:autoRedefine/>
    <w:uiPriority w:val="39"/>
    <w:unhideWhenUsed/>
    <w:rsid w:val="00DA0ACE"/>
    <w:pPr>
      <w:spacing w:after="100"/>
      <w:ind w:left="1680"/>
    </w:pPr>
  </w:style>
  <w:style w:type="paragraph" w:styleId="TOC9">
    <w:name w:val="toc 9"/>
    <w:basedOn w:val="Normal"/>
    <w:next w:val="Normal"/>
    <w:autoRedefine/>
    <w:uiPriority w:val="39"/>
    <w:unhideWhenUsed/>
    <w:rsid w:val="00DA0ACE"/>
    <w:pPr>
      <w:spacing w:after="100"/>
      <w:ind w:left="1920"/>
    </w:pPr>
  </w:style>
  <w:style w:type="table" w:customStyle="1" w:styleId="ColorfulGrid1">
    <w:name w:val="Colorful Grid1"/>
    <w:basedOn w:val="TableNormal"/>
    <w:uiPriority w:val="73"/>
    <w:rsid w:val="00C64BC3"/>
    <w:rPr>
      <w:color w:val="000000" w:themeColor="text1"/>
    </w:rPr>
    <w:tblPr>
      <w:tblStyleRowBandSize w:val="1"/>
      <w:tblStyleColBandSize w:val="1"/>
      <w:tblBorders>
        <w:insideH w:val="single" w:sz="4" w:space="0" w:color="FFFFFF" w:themeColor="background1"/>
      </w:tblBorders>
    </w:tblPr>
    <w:trPr>
      <w:hidden/>
    </w:trPr>
    <w:tcPr>
      <w:shd w:val="clear" w:color="auto" w:fill="CCCCCC" w:themeFill="text1" w:themeFillTint="33"/>
    </w:tcPr>
    <w:tblStylePr w:type="firstRow">
      <w:rPr>
        <w:b/>
        <w:bCs/>
      </w:rPr>
      <w:tblPr/>
      <w:trPr>
        <w:hidden/>
      </w:trPr>
      <w:tcPr>
        <w:shd w:val="clear" w:color="auto" w:fill="999999" w:themeFill="text1" w:themeFillTint="66"/>
      </w:tcPr>
    </w:tblStylePr>
    <w:tblStylePr w:type="lastRow">
      <w:rPr>
        <w:b/>
        <w:bCs/>
        <w:color w:val="000000" w:themeColor="text1"/>
      </w:rPr>
      <w:tblPr/>
      <w:trPr>
        <w:hidden/>
      </w:trPr>
      <w:tcPr>
        <w:shd w:val="clear" w:color="auto" w:fill="999999" w:themeFill="text1" w:themeFillTint="66"/>
      </w:tcPr>
    </w:tblStylePr>
    <w:tblStylePr w:type="firstCol">
      <w:rPr>
        <w:color w:val="FFFFFF" w:themeColor="background1"/>
      </w:rPr>
      <w:tblPr/>
      <w:trPr>
        <w:hidden/>
      </w:trPr>
      <w:tcPr>
        <w:shd w:val="clear" w:color="auto" w:fill="000000" w:themeFill="text1" w:themeFillShade="BF"/>
      </w:tcPr>
    </w:tblStylePr>
    <w:tblStylePr w:type="lastCol">
      <w:rPr>
        <w:color w:val="FFFFFF" w:themeColor="background1"/>
      </w:rPr>
      <w:tblPr/>
      <w:trPr>
        <w:hidden/>
      </w:trPr>
      <w:tcPr>
        <w:shd w:val="clear" w:color="auto" w:fill="000000" w:themeFill="text1" w:themeFillShade="BF"/>
      </w:tcPr>
    </w:tblStylePr>
    <w:tblStylePr w:type="band1Vert">
      <w:tblPr/>
      <w:trPr>
        <w:hidden/>
      </w:trPr>
      <w:tcPr>
        <w:shd w:val="clear" w:color="auto" w:fill="808080" w:themeFill="text1" w:themeFillTint="7F"/>
      </w:tcPr>
    </w:tblStylePr>
    <w:tblStylePr w:type="band1Horz">
      <w:tblPr/>
      <w:trPr>
        <w:hidden/>
      </w:trPr>
      <w:tcPr>
        <w:shd w:val="clear" w:color="auto" w:fill="808080" w:themeFill="text1" w:themeFillTint="7F"/>
      </w:tcPr>
    </w:tblStylePr>
  </w:style>
  <w:style w:type="table" w:customStyle="1" w:styleId="ColorfulList1">
    <w:name w:val="Colorful List1"/>
    <w:basedOn w:val="TableNormal"/>
    <w:uiPriority w:val="72"/>
    <w:rsid w:val="00C64BC3"/>
    <w:rPr>
      <w:color w:val="000000" w:themeColor="text1"/>
    </w:rPr>
    <w:tblPr>
      <w:tblStyleRowBandSize w:val="1"/>
      <w:tblStyleColBandSize w:val="1"/>
    </w:tblPr>
    <w:trPr>
      <w:hidden/>
    </w:trPr>
    <w:tcPr>
      <w:shd w:val="clear" w:color="auto" w:fill="E6E6E6" w:themeFill="text1" w:themeFillTint="19"/>
    </w:tcPr>
    <w:tblStylePr w:type="firstRow">
      <w:rPr>
        <w:b/>
        <w:bCs/>
        <w:color w:val="FFFFFF" w:themeColor="background1"/>
      </w:rPr>
      <w:tblPr/>
      <w:trPr>
        <w:hidden/>
      </w:tr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rPr>
        <w:hidden/>
      </w:tr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rPr>
        <w:hidden/>
      </w:trPr>
      <w:tcPr>
        <w:tcBorders>
          <w:top w:val="nil"/>
          <w:left w:val="nil"/>
          <w:bottom w:val="nil"/>
          <w:right w:val="nil"/>
          <w:insideH w:val="nil"/>
          <w:insideV w:val="nil"/>
        </w:tcBorders>
        <w:shd w:val="clear" w:color="auto" w:fill="C0C0C0" w:themeFill="text1" w:themeFillTint="3F"/>
      </w:tcPr>
    </w:tblStylePr>
    <w:tblStylePr w:type="band1Horz">
      <w:tblPr/>
      <w:trPr>
        <w:hidden/>
      </w:trPr>
      <w:tcPr>
        <w:shd w:val="clear" w:color="auto" w:fill="CCCCCC" w:themeFill="text1" w:themeFillTint="33"/>
      </w:tcPr>
    </w:tblStylePr>
  </w:style>
  <w:style w:type="table" w:customStyle="1" w:styleId="ColorfulShading1">
    <w:name w:val="Colorful Shading1"/>
    <w:basedOn w:val="TableNormal"/>
    <w:uiPriority w:val="71"/>
    <w:rsid w:val="00C64BC3"/>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rPr>
      <w:hidden/>
    </w:trPr>
    <w:tcPr>
      <w:shd w:val="clear" w:color="auto" w:fill="E6E6E6" w:themeFill="text1" w:themeFillTint="19"/>
    </w:tcPr>
    <w:tblStylePr w:type="firstRow">
      <w:rPr>
        <w:b/>
        <w:bCs/>
      </w:rPr>
      <w:tblPr/>
      <w:trPr>
        <w:hidden/>
      </w:tr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rPr>
        <w:hidden/>
      </w:trPr>
      <w:tcPr>
        <w:tcBorders>
          <w:top w:val="single" w:sz="6" w:space="0" w:color="FFFFFF" w:themeColor="background1"/>
        </w:tcBorders>
        <w:shd w:val="clear" w:color="auto" w:fill="000000" w:themeFill="text1" w:themeFillShade="99"/>
      </w:tcPr>
    </w:tblStylePr>
    <w:tblStylePr w:type="firstCol">
      <w:rPr>
        <w:color w:val="FFFFFF" w:themeColor="background1"/>
      </w:rPr>
      <w:tblPr/>
      <w:trPr>
        <w:hidden/>
      </w:tr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rPr>
        <w:hidden/>
      </w:trPr>
      <w:tcPr>
        <w:tcBorders>
          <w:top w:val="nil"/>
          <w:left w:val="nil"/>
          <w:bottom w:val="nil"/>
          <w:right w:val="nil"/>
          <w:insideH w:val="nil"/>
          <w:insideV w:val="nil"/>
        </w:tcBorders>
        <w:shd w:val="clear" w:color="auto" w:fill="000000" w:themeFill="text1" w:themeFillShade="BF"/>
      </w:tcPr>
    </w:tblStylePr>
    <w:tblStylePr w:type="band1Vert">
      <w:tblPr/>
      <w:trPr>
        <w:hidden/>
      </w:trPr>
      <w:tcPr>
        <w:shd w:val="clear" w:color="auto" w:fill="999999" w:themeFill="text1" w:themeFillTint="66"/>
      </w:tcPr>
    </w:tblStylePr>
    <w:tblStylePr w:type="band1Horz">
      <w:tblPr/>
      <w:trPr>
        <w:hidden/>
      </w:tr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DarkList1">
    <w:name w:val="Dark List1"/>
    <w:basedOn w:val="TableNormal"/>
    <w:uiPriority w:val="70"/>
    <w:rsid w:val="00C64BC3"/>
    <w:rPr>
      <w:color w:val="FFFFFF" w:themeColor="background1"/>
    </w:rPr>
    <w:tblPr>
      <w:tblStyleRowBandSize w:val="1"/>
      <w:tblStyleColBandSize w:val="1"/>
    </w:tblPr>
    <w:trPr>
      <w:hidden/>
    </w:trPr>
    <w:tcPr>
      <w:shd w:val="clear" w:color="auto" w:fill="000000" w:themeFill="text1"/>
    </w:tcPr>
    <w:tblStylePr w:type="firstRow">
      <w:rPr>
        <w:b/>
        <w:bCs/>
      </w:rPr>
      <w:tblPr/>
      <w:trPr>
        <w:hidden/>
      </w:tr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rPr>
        <w:hidden/>
      </w:tr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rPr>
        <w:hidden/>
      </w:tr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rPr>
        <w:hidden/>
      </w:tr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rPr>
        <w:hidden/>
      </w:trPr>
      <w:tcPr>
        <w:tcBorders>
          <w:top w:val="nil"/>
          <w:left w:val="nil"/>
          <w:bottom w:val="nil"/>
          <w:right w:val="nil"/>
          <w:insideH w:val="nil"/>
          <w:insideV w:val="nil"/>
        </w:tcBorders>
        <w:shd w:val="clear" w:color="auto" w:fill="000000" w:themeFill="text1" w:themeFillShade="BF"/>
      </w:tcPr>
    </w:tblStylePr>
    <w:tblStylePr w:type="band1Horz">
      <w:tblPr/>
      <w:trPr>
        <w:hidden/>
      </w:trPr>
      <w:tcPr>
        <w:tcBorders>
          <w:top w:val="nil"/>
          <w:left w:val="nil"/>
          <w:bottom w:val="nil"/>
          <w:right w:val="nil"/>
          <w:insideH w:val="nil"/>
          <w:insideV w:val="nil"/>
        </w:tcBorders>
        <w:shd w:val="clear" w:color="auto" w:fill="000000" w:themeFill="text1" w:themeFillShade="BF"/>
      </w:tcPr>
    </w:tblStylePr>
  </w:style>
  <w:style w:type="table" w:customStyle="1" w:styleId="LightGrid1">
    <w:name w:val="Light Grid1"/>
    <w:basedOn w:val="TableNormal"/>
    <w:uiPriority w:val="62"/>
    <w:rsid w:val="00C64BC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rPr>
      <w:hidden/>
    </w:trPr>
    <w:tblStylePr w:type="firstRow">
      <w:pPr>
        <w:spacing w:before="0" w:after="0" w:line="240" w:lineRule="auto"/>
      </w:pPr>
      <w:rPr>
        <w:rFonts w:asciiTheme="majorHAnsi" w:eastAsiaTheme="majorEastAsia" w:hAnsiTheme="majorHAnsi" w:cstheme="majorBidi"/>
        <w:b/>
        <w:bCs/>
      </w:rPr>
      <w:tblPr/>
      <w:trPr>
        <w:hidden/>
      </w:tr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rPr>
        <w:hidden/>
      </w:tr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rPr>
        <w:hidden/>
      </w:tr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rPr>
        <w:hidden/>
      </w:tr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rPr>
        <w:hidden/>
      </w:tr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rPr>
        <w:hidden/>
      </w:tr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Accent11">
    <w:name w:val="Light Grid - Accent 11"/>
    <w:basedOn w:val="TableNormal"/>
    <w:uiPriority w:val="62"/>
    <w:rsid w:val="00C64BC3"/>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rPr>
      <w:hidden/>
    </w:trPr>
    <w:tblStylePr w:type="firstRow">
      <w:pPr>
        <w:spacing w:before="0" w:after="0" w:line="240" w:lineRule="auto"/>
      </w:pPr>
      <w:rPr>
        <w:rFonts w:asciiTheme="majorHAnsi" w:eastAsiaTheme="majorEastAsia" w:hAnsiTheme="majorHAnsi" w:cstheme="majorBidi"/>
        <w:b/>
        <w:bCs/>
      </w:rPr>
      <w:tblPr/>
      <w:trPr>
        <w:hidden/>
      </w:tr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rPr>
        <w:hidden/>
      </w:tr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rPr>
        <w:hidden/>
      </w:tr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rPr>
        <w:hidden/>
      </w:tr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rPr>
        <w:hidden/>
      </w:tr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rPr>
        <w:hidden/>
      </w:tr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List1">
    <w:name w:val="Light List1"/>
    <w:basedOn w:val="TableNormal"/>
    <w:uiPriority w:val="61"/>
    <w:rsid w:val="00C64BC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rPr>
      <w:hidden/>
    </w:trPr>
    <w:tblStylePr w:type="firstRow">
      <w:pPr>
        <w:spacing w:before="0" w:after="0" w:line="240" w:lineRule="auto"/>
      </w:pPr>
      <w:rPr>
        <w:b/>
        <w:bCs/>
        <w:color w:val="FFFFFF" w:themeColor="background1"/>
      </w:rPr>
      <w:tblPr/>
      <w:trPr>
        <w:hidden/>
      </w:trPr>
      <w:tcPr>
        <w:shd w:val="clear" w:color="auto" w:fill="000000" w:themeFill="text1"/>
      </w:tcPr>
    </w:tblStylePr>
    <w:tblStylePr w:type="lastRow">
      <w:pPr>
        <w:spacing w:before="0" w:after="0" w:line="240" w:lineRule="auto"/>
      </w:pPr>
      <w:rPr>
        <w:b/>
        <w:bCs/>
      </w:rPr>
      <w:tblPr/>
      <w:trPr>
        <w:hidden/>
      </w:tr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rPr>
        <w:hidden/>
      </w:tr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rPr>
        <w:hidden/>
      </w:tr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1">
    <w:name w:val="Light List - Accent 11"/>
    <w:basedOn w:val="TableNormal"/>
    <w:uiPriority w:val="61"/>
    <w:rsid w:val="00C64BC3"/>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rPr>
      <w:hidden/>
    </w:trPr>
    <w:tblStylePr w:type="firstRow">
      <w:pPr>
        <w:spacing w:before="0" w:after="0" w:line="240" w:lineRule="auto"/>
      </w:pPr>
      <w:rPr>
        <w:b/>
        <w:bCs/>
        <w:color w:val="FFFFFF" w:themeColor="background1"/>
      </w:rPr>
      <w:tblPr/>
      <w:trPr>
        <w:hidden/>
      </w:trPr>
      <w:tcPr>
        <w:shd w:val="clear" w:color="auto" w:fill="4F81BD" w:themeFill="accent1"/>
      </w:tcPr>
    </w:tblStylePr>
    <w:tblStylePr w:type="lastRow">
      <w:pPr>
        <w:spacing w:before="0" w:after="0" w:line="240" w:lineRule="auto"/>
      </w:pPr>
      <w:rPr>
        <w:b/>
        <w:bCs/>
      </w:rPr>
      <w:tblPr/>
      <w:trPr>
        <w:hidden/>
      </w:tr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rPr>
        <w:hidden/>
      </w:tr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rPr>
        <w:hidden/>
      </w:tr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LightShading1">
    <w:name w:val="Light Shading1"/>
    <w:basedOn w:val="TableNormal"/>
    <w:uiPriority w:val="60"/>
    <w:rsid w:val="00C64BC3"/>
    <w:rPr>
      <w:color w:val="000000" w:themeColor="text1" w:themeShade="BF"/>
    </w:rPr>
    <w:tblPr>
      <w:tblStyleRowBandSize w:val="1"/>
      <w:tblStyleColBandSize w:val="1"/>
      <w:tblBorders>
        <w:top w:val="single" w:sz="8" w:space="0" w:color="000000" w:themeColor="text1"/>
        <w:bottom w:val="single" w:sz="8" w:space="0" w:color="000000" w:themeColor="text1"/>
      </w:tblBorders>
    </w:tblPr>
    <w:trPr>
      <w:hidden/>
    </w:trPr>
    <w:tblStylePr w:type="firstRow">
      <w:pPr>
        <w:spacing w:before="0" w:after="0" w:line="240" w:lineRule="auto"/>
      </w:pPr>
      <w:rPr>
        <w:b/>
        <w:bCs/>
      </w:rPr>
      <w:tblPr/>
      <w:trPr>
        <w:hidden/>
      </w:tr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rPr>
        <w:hidden/>
      </w:tr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rPr>
        <w:hidden/>
      </w:trPr>
      <w:tcPr>
        <w:tcBorders>
          <w:left w:val="nil"/>
          <w:right w:val="nil"/>
          <w:insideH w:val="nil"/>
          <w:insideV w:val="nil"/>
        </w:tcBorders>
        <w:shd w:val="clear" w:color="auto" w:fill="C0C0C0" w:themeFill="text1" w:themeFillTint="3F"/>
      </w:tcPr>
    </w:tblStylePr>
    <w:tblStylePr w:type="band1Horz">
      <w:tblPr/>
      <w:trPr>
        <w:hidden/>
      </w:tr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uiPriority w:val="60"/>
    <w:rsid w:val="00C64BC3"/>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rPr>
      <w:hidden/>
    </w:trPr>
    <w:tblStylePr w:type="firstRow">
      <w:pPr>
        <w:spacing w:before="0" w:after="0" w:line="240" w:lineRule="auto"/>
      </w:pPr>
      <w:rPr>
        <w:b/>
        <w:bCs/>
      </w:rPr>
      <w:tblPr/>
      <w:trPr>
        <w:hidden/>
      </w:tr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rPr>
        <w:hidden/>
      </w:tr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rPr>
        <w:hidden/>
      </w:trPr>
      <w:tcPr>
        <w:tcBorders>
          <w:left w:val="nil"/>
          <w:right w:val="nil"/>
          <w:insideH w:val="nil"/>
          <w:insideV w:val="nil"/>
        </w:tcBorders>
        <w:shd w:val="clear" w:color="auto" w:fill="D3DFEE" w:themeFill="accent1" w:themeFillTint="3F"/>
      </w:tcPr>
    </w:tblStylePr>
    <w:tblStylePr w:type="band1Horz">
      <w:tblPr/>
      <w:trPr>
        <w:hidden/>
      </w:trPr>
      <w:tcPr>
        <w:tcBorders>
          <w:left w:val="nil"/>
          <w:right w:val="nil"/>
          <w:insideH w:val="nil"/>
          <w:insideV w:val="nil"/>
        </w:tcBorders>
        <w:shd w:val="clear" w:color="auto" w:fill="D3DFEE" w:themeFill="accent1" w:themeFillTint="3F"/>
      </w:tcPr>
    </w:tblStylePr>
  </w:style>
  <w:style w:type="table" w:customStyle="1" w:styleId="MediumGrid11">
    <w:name w:val="Medium Grid 11"/>
    <w:basedOn w:val="TableNormal"/>
    <w:uiPriority w:val="67"/>
    <w:rsid w:val="00C64BC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rPr>
      <w:hidden/>
    </w:trPr>
    <w:tcPr>
      <w:shd w:val="clear" w:color="auto" w:fill="C0C0C0" w:themeFill="text1" w:themeFillTint="3F"/>
    </w:tcPr>
    <w:tblStylePr w:type="firstRow">
      <w:rPr>
        <w:b/>
        <w:bCs/>
      </w:rPr>
    </w:tblStylePr>
    <w:tblStylePr w:type="lastRow">
      <w:rPr>
        <w:b/>
        <w:bCs/>
      </w:rPr>
      <w:tblPr/>
      <w:trPr>
        <w:hidden/>
      </w:trPr>
      <w:tcPr>
        <w:tcBorders>
          <w:top w:val="single" w:sz="18" w:space="0" w:color="404040" w:themeColor="text1" w:themeTint="BF"/>
        </w:tcBorders>
      </w:tcPr>
    </w:tblStylePr>
    <w:tblStylePr w:type="firstCol">
      <w:rPr>
        <w:b/>
        <w:bCs/>
      </w:rPr>
    </w:tblStylePr>
    <w:tblStylePr w:type="lastCol">
      <w:rPr>
        <w:b/>
        <w:bCs/>
      </w:rPr>
    </w:tblStylePr>
    <w:tblStylePr w:type="band1Vert">
      <w:tblPr/>
      <w:trPr>
        <w:hidden/>
      </w:trPr>
      <w:tcPr>
        <w:shd w:val="clear" w:color="auto" w:fill="808080" w:themeFill="text1" w:themeFillTint="7F"/>
      </w:tcPr>
    </w:tblStylePr>
    <w:tblStylePr w:type="band1Horz">
      <w:tblPr/>
      <w:trPr>
        <w:hidden/>
      </w:trPr>
      <w:tcPr>
        <w:shd w:val="clear" w:color="auto" w:fill="808080" w:themeFill="text1" w:themeFillTint="7F"/>
      </w:tcPr>
    </w:tblStylePr>
  </w:style>
  <w:style w:type="table" w:customStyle="1" w:styleId="MediumGrid21">
    <w:name w:val="Medium Grid 21"/>
    <w:basedOn w:val="TableNormal"/>
    <w:uiPriority w:val="68"/>
    <w:rsid w:val="00C64BC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rPr>
      <w:hidden/>
    </w:trPr>
    <w:tcPr>
      <w:shd w:val="clear" w:color="auto" w:fill="C0C0C0" w:themeFill="text1" w:themeFillTint="3F"/>
    </w:tcPr>
    <w:tblStylePr w:type="firstRow">
      <w:rPr>
        <w:b/>
        <w:bCs/>
        <w:color w:val="000000" w:themeColor="text1"/>
      </w:rPr>
      <w:tblPr/>
      <w:trPr>
        <w:hidden/>
      </w:trPr>
      <w:tcPr>
        <w:shd w:val="clear" w:color="auto" w:fill="E6E6E6" w:themeFill="text1" w:themeFillTint="19"/>
      </w:tcPr>
    </w:tblStylePr>
    <w:tblStylePr w:type="lastRow">
      <w:rPr>
        <w:b/>
        <w:bCs/>
        <w:color w:val="000000" w:themeColor="text1"/>
      </w:rPr>
      <w:tblPr/>
      <w:trPr>
        <w:hidden/>
      </w:tr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rPr>
        <w:hidden/>
      </w:t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rPr>
        <w:hidden/>
      </w:trPr>
      <w:tcPr>
        <w:tcBorders>
          <w:top w:val="nil"/>
          <w:left w:val="nil"/>
          <w:bottom w:val="nil"/>
          <w:right w:val="nil"/>
          <w:insideH w:val="nil"/>
          <w:insideV w:val="nil"/>
        </w:tcBorders>
        <w:shd w:val="clear" w:color="auto" w:fill="CCCCCC" w:themeFill="text1" w:themeFillTint="33"/>
      </w:tcPr>
    </w:tblStylePr>
    <w:tblStylePr w:type="band1Vert">
      <w:tblPr/>
      <w:trPr>
        <w:hidden/>
      </w:trPr>
      <w:tcPr>
        <w:shd w:val="clear" w:color="auto" w:fill="808080" w:themeFill="text1" w:themeFillTint="7F"/>
      </w:tcPr>
    </w:tblStylePr>
    <w:tblStylePr w:type="band1Horz">
      <w:tblPr/>
      <w:trPr>
        <w:hidden/>
      </w:trPr>
      <w:tcPr>
        <w:tcBorders>
          <w:insideH w:val="single" w:sz="6" w:space="0" w:color="000000" w:themeColor="text1"/>
          <w:insideV w:val="single" w:sz="6" w:space="0" w:color="000000" w:themeColor="text1"/>
        </w:tcBorders>
        <w:shd w:val="clear" w:color="auto" w:fill="808080" w:themeFill="text1" w:themeFillTint="7F"/>
      </w:tcPr>
    </w:tblStylePr>
    <w:tblStylePr w:type="nwCell">
      <w:tblPr/>
      <w:trPr>
        <w:hidden/>
      </w:trPr>
      <w:tcPr>
        <w:shd w:val="clear" w:color="auto" w:fill="FFFFFF" w:themeFill="background1"/>
      </w:tcPr>
    </w:tblStylePr>
  </w:style>
  <w:style w:type="table" w:customStyle="1" w:styleId="MediumGrid31">
    <w:name w:val="Medium Grid 31"/>
    <w:basedOn w:val="TableNormal"/>
    <w:uiPriority w:val="69"/>
    <w:rsid w:val="00C64BC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rPr>
      <w:hidden/>
    </w:trPr>
    <w:tcPr>
      <w:shd w:val="clear" w:color="auto" w:fill="C0C0C0" w:themeFill="text1" w:themeFillTint="3F"/>
    </w:tcPr>
    <w:tblStylePr w:type="firstRow">
      <w:rPr>
        <w:b/>
        <w:bCs/>
        <w:i w:val="0"/>
        <w:iCs w:val="0"/>
        <w:color w:val="FFFFFF" w:themeColor="background1"/>
      </w:rPr>
      <w:tblPr/>
      <w:trPr>
        <w:hidden/>
      </w:tr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rPr>
        <w:hidden/>
      </w:tr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rPr>
        <w:hidden/>
      </w:tr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rPr>
        <w:hidden/>
      </w:tr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rPr>
        <w:hidden/>
      </w:tr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ediumList11">
    <w:name w:val="Medium List 11"/>
    <w:basedOn w:val="TableNormal"/>
    <w:uiPriority w:val="65"/>
    <w:rsid w:val="00C64BC3"/>
    <w:rPr>
      <w:color w:val="000000" w:themeColor="text1"/>
    </w:rPr>
    <w:tblPr>
      <w:tblStyleRowBandSize w:val="1"/>
      <w:tblStyleColBandSize w:val="1"/>
      <w:tblBorders>
        <w:top w:val="single" w:sz="8" w:space="0" w:color="000000" w:themeColor="text1"/>
        <w:bottom w:val="single" w:sz="8" w:space="0" w:color="000000" w:themeColor="text1"/>
      </w:tblBorders>
    </w:tblPr>
    <w:trPr>
      <w:hidden/>
    </w:trPr>
    <w:tblStylePr w:type="firstRow">
      <w:rPr>
        <w:rFonts w:asciiTheme="majorHAnsi" w:eastAsiaTheme="majorEastAsia" w:hAnsiTheme="majorHAnsi" w:cstheme="majorBidi"/>
      </w:rPr>
      <w:tblPr/>
      <w:trPr>
        <w:hidden/>
      </w:trPr>
      <w:tcPr>
        <w:tcBorders>
          <w:top w:val="nil"/>
          <w:bottom w:val="single" w:sz="8" w:space="0" w:color="000000" w:themeColor="text1"/>
        </w:tcBorders>
      </w:tcPr>
    </w:tblStylePr>
    <w:tblStylePr w:type="lastRow">
      <w:rPr>
        <w:b/>
        <w:bCs/>
        <w:color w:val="1F497D" w:themeColor="text2"/>
      </w:rPr>
      <w:tblPr/>
      <w:trPr>
        <w:hidden/>
      </w:trPr>
      <w:tcPr>
        <w:tcBorders>
          <w:top w:val="single" w:sz="8" w:space="0" w:color="000000" w:themeColor="text1"/>
          <w:bottom w:val="single" w:sz="8" w:space="0" w:color="000000" w:themeColor="text1"/>
        </w:tcBorders>
      </w:tcPr>
    </w:tblStylePr>
    <w:tblStylePr w:type="firstCol">
      <w:rPr>
        <w:b/>
        <w:bCs/>
      </w:rPr>
    </w:tblStylePr>
    <w:tblStylePr w:type="lastCol">
      <w:rPr>
        <w:b/>
        <w:bCs/>
      </w:rPr>
      <w:tblPr/>
      <w:trPr>
        <w:hidden/>
      </w:trPr>
      <w:tcPr>
        <w:tcBorders>
          <w:top w:val="single" w:sz="8" w:space="0" w:color="000000" w:themeColor="text1"/>
          <w:bottom w:val="single" w:sz="8" w:space="0" w:color="000000" w:themeColor="text1"/>
        </w:tcBorders>
      </w:tcPr>
    </w:tblStylePr>
    <w:tblStylePr w:type="band1Vert">
      <w:tblPr/>
      <w:trPr>
        <w:hidden/>
      </w:trPr>
      <w:tcPr>
        <w:shd w:val="clear" w:color="auto" w:fill="C0C0C0" w:themeFill="text1" w:themeFillTint="3F"/>
      </w:tcPr>
    </w:tblStylePr>
    <w:tblStylePr w:type="band1Horz">
      <w:tblPr/>
      <w:trPr>
        <w:hidden/>
      </w:trPr>
      <w:tcPr>
        <w:shd w:val="clear" w:color="auto" w:fill="C0C0C0" w:themeFill="text1" w:themeFillTint="3F"/>
      </w:tcPr>
    </w:tblStylePr>
  </w:style>
  <w:style w:type="table" w:customStyle="1" w:styleId="MediumList1-Accent11">
    <w:name w:val="Medium List 1 - Accent 11"/>
    <w:basedOn w:val="TableNormal"/>
    <w:uiPriority w:val="65"/>
    <w:rsid w:val="00C64BC3"/>
    <w:rPr>
      <w:color w:val="000000" w:themeColor="text1"/>
    </w:rPr>
    <w:tblPr>
      <w:tblStyleRowBandSize w:val="1"/>
      <w:tblStyleColBandSize w:val="1"/>
      <w:tblBorders>
        <w:top w:val="single" w:sz="8" w:space="0" w:color="4F81BD" w:themeColor="accent1"/>
        <w:bottom w:val="single" w:sz="8" w:space="0" w:color="4F81BD" w:themeColor="accent1"/>
      </w:tblBorders>
    </w:tblPr>
    <w:trPr>
      <w:hidden/>
    </w:trPr>
    <w:tblStylePr w:type="firstRow">
      <w:rPr>
        <w:rFonts w:asciiTheme="majorHAnsi" w:eastAsiaTheme="majorEastAsia" w:hAnsiTheme="majorHAnsi" w:cstheme="majorBidi"/>
      </w:rPr>
      <w:tblPr/>
      <w:trPr>
        <w:hidden/>
      </w:trPr>
      <w:tcPr>
        <w:tcBorders>
          <w:top w:val="nil"/>
          <w:bottom w:val="single" w:sz="8" w:space="0" w:color="4F81BD" w:themeColor="accent1"/>
        </w:tcBorders>
      </w:tcPr>
    </w:tblStylePr>
    <w:tblStylePr w:type="lastRow">
      <w:rPr>
        <w:b/>
        <w:bCs/>
        <w:color w:val="1F497D" w:themeColor="text2"/>
      </w:rPr>
      <w:tblPr/>
      <w:trPr>
        <w:hidden/>
      </w:tr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rPr>
        <w:hidden/>
      </w:trPr>
      <w:tcPr>
        <w:tcBorders>
          <w:top w:val="single" w:sz="8" w:space="0" w:color="4F81BD" w:themeColor="accent1"/>
          <w:bottom w:val="single" w:sz="8" w:space="0" w:color="4F81BD" w:themeColor="accent1"/>
        </w:tcBorders>
      </w:tcPr>
    </w:tblStylePr>
    <w:tblStylePr w:type="band1Vert">
      <w:tblPr/>
      <w:trPr>
        <w:hidden/>
      </w:trPr>
      <w:tcPr>
        <w:shd w:val="clear" w:color="auto" w:fill="D3DFEE" w:themeFill="accent1" w:themeFillTint="3F"/>
      </w:tcPr>
    </w:tblStylePr>
    <w:tblStylePr w:type="band1Horz">
      <w:tblPr/>
      <w:trPr>
        <w:hidden/>
      </w:trPr>
      <w:tcPr>
        <w:shd w:val="clear" w:color="auto" w:fill="D3DFEE" w:themeFill="accent1" w:themeFillTint="3F"/>
      </w:tcPr>
    </w:tblStylePr>
  </w:style>
  <w:style w:type="table" w:customStyle="1" w:styleId="MediumList21">
    <w:name w:val="Medium List 21"/>
    <w:basedOn w:val="TableNormal"/>
    <w:uiPriority w:val="66"/>
    <w:rsid w:val="00C64BC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rPr>
      <w:hidden/>
    </w:trPr>
    <w:tblStylePr w:type="firstRow">
      <w:rPr>
        <w:sz w:val="24"/>
        <w:szCs w:val="24"/>
      </w:rPr>
      <w:tblPr/>
      <w:trPr>
        <w:hidden/>
      </w:tr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rPr>
        <w:hidden/>
      </w:tr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rPr>
        <w:hidden/>
      </w:tr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rPr>
        <w:hidden/>
      </w:tr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rPr>
        <w:hidden/>
      </w:trPr>
      <w:tcPr>
        <w:tcBorders>
          <w:left w:val="nil"/>
          <w:right w:val="nil"/>
          <w:insideH w:val="nil"/>
          <w:insideV w:val="nil"/>
        </w:tcBorders>
        <w:shd w:val="clear" w:color="auto" w:fill="C0C0C0" w:themeFill="text1" w:themeFillTint="3F"/>
      </w:tcPr>
    </w:tblStylePr>
    <w:tblStylePr w:type="band1Horz">
      <w:tblPr/>
      <w:trPr>
        <w:hidden/>
      </w:trPr>
      <w:tcPr>
        <w:tcBorders>
          <w:top w:val="nil"/>
          <w:bottom w:val="nil"/>
          <w:insideH w:val="nil"/>
          <w:insideV w:val="nil"/>
        </w:tcBorders>
        <w:shd w:val="clear" w:color="auto" w:fill="C0C0C0" w:themeFill="text1" w:themeFillTint="3F"/>
      </w:tcPr>
    </w:tblStylePr>
    <w:tblStylePr w:type="nwCell">
      <w:tblPr/>
      <w:trPr>
        <w:hidden/>
      </w:trPr>
      <w:tcPr>
        <w:shd w:val="clear" w:color="auto" w:fill="FFFFFF" w:themeFill="background1"/>
      </w:tcPr>
    </w:tblStylePr>
    <w:tblStylePr w:type="swCell">
      <w:tblPr/>
      <w:trPr>
        <w:hidden/>
      </w:trPr>
      <w:tcPr>
        <w:tcBorders>
          <w:top w:val="nil"/>
        </w:tcBorders>
      </w:tcPr>
    </w:tblStylePr>
  </w:style>
  <w:style w:type="table" w:customStyle="1" w:styleId="MediumShading11">
    <w:name w:val="Medium Shading 11"/>
    <w:basedOn w:val="TableNormal"/>
    <w:uiPriority w:val="63"/>
    <w:rsid w:val="00C64BC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rPr>
      <w:hidden/>
    </w:trPr>
    <w:tblStylePr w:type="firstRow">
      <w:pPr>
        <w:spacing w:before="0" w:after="0" w:line="240" w:lineRule="auto"/>
      </w:pPr>
      <w:rPr>
        <w:b/>
        <w:bCs/>
        <w:color w:val="FFFFFF" w:themeColor="background1"/>
      </w:rPr>
      <w:tblPr/>
      <w:trPr>
        <w:hidden/>
      </w:tr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rPr>
        <w:hidden/>
      </w:tr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rPr>
        <w:hidden/>
      </w:trPr>
      <w:tcPr>
        <w:shd w:val="clear" w:color="auto" w:fill="C0C0C0" w:themeFill="text1" w:themeFillTint="3F"/>
      </w:tcPr>
    </w:tblStylePr>
    <w:tblStylePr w:type="band1Horz">
      <w:tblPr/>
      <w:trPr>
        <w:hidden/>
      </w:trPr>
      <w:tcPr>
        <w:tcBorders>
          <w:insideH w:val="nil"/>
          <w:insideV w:val="nil"/>
        </w:tcBorders>
        <w:shd w:val="clear" w:color="auto" w:fill="C0C0C0" w:themeFill="text1" w:themeFillTint="3F"/>
      </w:tcPr>
    </w:tblStylePr>
    <w:tblStylePr w:type="band2Horz">
      <w:tblPr/>
      <w:trPr>
        <w:hidden/>
      </w:trPr>
      <w:tcPr>
        <w:tcBorders>
          <w:insideH w:val="nil"/>
          <w:insideV w:val="nil"/>
        </w:tcBorders>
      </w:tcPr>
    </w:tblStylePr>
  </w:style>
  <w:style w:type="table" w:customStyle="1" w:styleId="MediumShading1-Accent11">
    <w:name w:val="Medium Shading 1 - Accent 11"/>
    <w:basedOn w:val="TableNormal"/>
    <w:uiPriority w:val="63"/>
    <w:rsid w:val="00C64BC3"/>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rPr>
      <w:hidden/>
    </w:trPr>
    <w:tblStylePr w:type="firstRow">
      <w:pPr>
        <w:spacing w:before="0" w:after="0" w:line="240" w:lineRule="auto"/>
      </w:pPr>
      <w:rPr>
        <w:b/>
        <w:bCs/>
        <w:color w:val="FFFFFF" w:themeColor="background1"/>
      </w:rPr>
      <w:tblPr/>
      <w:trPr>
        <w:hidden/>
      </w:tr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rPr>
        <w:hidden/>
      </w:tr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rPr>
        <w:hidden/>
      </w:trPr>
      <w:tcPr>
        <w:shd w:val="clear" w:color="auto" w:fill="D3DFEE" w:themeFill="accent1" w:themeFillTint="3F"/>
      </w:tcPr>
    </w:tblStylePr>
    <w:tblStylePr w:type="band1Horz">
      <w:tblPr/>
      <w:trPr>
        <w:hidden/>
      </w:trPr>
      <w:tcPr>
        <w:tcBorders>
          <w:insideH w:val="nil"/>
          <w:insideV w:val="nil"/>
        </w:tcBorders>
        <w:shd w:val="clear" w:color="auto" w:fill="D3DFEE" w:themeFill="accent1" w:themeFillTint="3F"/>
      </w:tcPr>
    </w:tblStylePr>
    <w:tblStylePr w:type="band2Horz">
      <w:tblPr/>
      <w:trPr>
        <w:hidden/>
      </w:trPr>
      <w:tcPr>
        <w:tcBorders>
          <w:insideH w:val="nil"/>
          <w:insideV w:val="nil"/>
        </w:tcBorders>
      </w:tcPr>
    </w:tblStylePr>
  </w:style>
  <w:style w:type="table" w:customStyle="1" w:styleId="MediumShading21">
    <w:name w:val="Medium Shading 21"/>
    <w:basedOn w:val="TableNormal"/>
    <w:uiPriority w:val="64"/>
    <w:rsid w:val="00C64BC3"/>
    <w:tblPr>
      <w:tblStyleRowBandSize w:val="1"/>
      <w:tblStyleColBandSize w:val="1"/>
      <w:tblBorders>
        <w:top w:val="single" w:sz="18" w:space="0" w:color="auto"/>
        <w:bottom w:val="single" w:sz="18" w:space="0" w:color="auto"/>
      </w:tblBorders>
    </w:tblPr>
    <w:trPr>
      <w:hidden/>
    </w:trPr>
    <w:tblStylePr w:type="firstRow">
      <w:pPr>
        <w:spacing w:before="0" w:after="0" w:line="240" w:lineRule="auto"/>
      </w:pPr>
      <w:rPr>
        <w:b/>
        <w:bCs/>
        <w:color w:val="FFFFFF" w:themeColor="background1"/>
      </w:rPr>
      <w:tblPr/>
      <w:trPr>
        <w:hidden/>
      </w:tr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rPr>
        <w:hidden/>
      </w:tr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rPr>
        <w:hidden/>
      </w:tr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rPr>
        <w:hidden/>
      </w:trPr>
      <w:tcPr>
        <w:tcBorders>
          <w:left w:val="nil"/>
          <w:right w:val="nil"/>
          <w:insideH w:val="nil"/>
          <w:insideV w:val="nil"/>
        </w:tcBorders>
        <w:shd w:val="clear" w:color="auto" w:fill="000000" w:themeFill="text1"/>
      </w:tcPr>
    </w:tblStylePr>
    <w:tblStylePr w:type="band1Vert">
      <w:tblPr/>
      <w:trPr>
        <w:hidden/>
      </w:trPr>
      <w:tcPr>
        <w:tcBorders>
          <w:left w:val="nil"/>
          <w:right w:val="nil"/>
          <w:insideH w:val="nil"/>
          <w:insideV w:val="nil"/>
        </w:tcBorders>
        <w:shd w:val="clear" w:color="auto" w:fill="D8D8D8" w:themeFill="background1" w:themeFillShade="D8"/>
      </w:tcPr>
    </w:tblStylePr>
    <w:tblStylePr w:type="band1Horz">
      <w:tblPr/>
      <w:trPr>
        <w:hidden/>
      </w:trPr>
      <w:tcPr>
        <w:shd w:val="clear" w:color="auto" w:fill="D8D8D8" w:themeFill="background1" w:themeFillShade="D8"/>
      </w:tcPr>
    </w:tblStylePr>
    <w:tblStylePr w:type="neCell">
      <w:tblPr/>
      <w:trPr>
        <w:hidden/>
      </w:tr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rPr>
        <w:hidden/>
      </w:trPr>
      <w:tcPr>
        <w:tcBorders>
          <w:top w:val="single" w:sz="18" w:space="0" w:color="auto"/>
          <w:left w:val="nil"/>
          <w:bottom w:val="single" w:sz="18" w:space="0" w:color="auto"/>
          <w:right w:val="nil"/>
          <w:insideH w:val="nil"/>
          <w:insideV w:val="nil"/>
        </w:tcBorders>
      </w:tcPr>
    </w:tblStylePr>
  </w:style>
  <w:style w:type="table" w:customStyle="1" w:styleId="MediumShading2-Accent11">
    <w:name w:val="Medium Shading 2 - Accent 11"/>
    <w:basedOn w:val="TableNormal"/>
    <w:uiPriority w:val="64"/>
    <w:rsid w:val="00C64BC3"/>
    <w:tblPr>
      <w:tblStyleRowBandSize w:val="1"/>
      <w:tblStyleColBandSize w:val="1"/>
      <w:tblBorders>
        <w:top w:val="single" w:sz="18" w:space="0" w:color="auto"/>
        <w:bottom w:val="single" w:sz="18" w:space="0" w:color="auto"/>
      </w:tblBorders>
    </w:tblPr>
    <w:trPr>
      <w:hidden/>
    </w:trPr>
    <w:tblStylePr w:type="firstRow">
      <w:pPr>
        <w:spacing w:before="0" w:after="0" w:line="240" w:lineRule="auto"/>
      </w:pPr>
      <w:rPr>
        <w:b/>
        <w:bCs/>
        <w:color w:val="FFFFFF" w:themeColor="background1"/>
      </w:rPr>
      <w:tblPr/>
      <w:trPr>
        <w:hidden/>
      </w:tr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rPr>
        <w:hidden/>
      </w:tr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rPr>
        <w:hidden/>
      </w:tr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rPr>
        <w:hidden/>
      </w:trPr>
      <w:tcPr>
        <w:tcBorders>
          <w:left w:val="nil"/>
          <w:right w:val="nil"/>
          <w:insideH w:val="nil"/>
          <w:insideV w:val="nil"/>
        </w:tcBorders>
        <w:shd w:val="clear" w:color="auto" w:fill="4F81BD" w:themeFill="accent1"/>
      </w:tcPr>
    </w:tblStylePr>
    <w:tblStylePr w:type="band1Vert">
      <w:tblPr/>
      <w:trPr>
        <w:hidden/>
      </w:trPr>
      <w:tcPr>
        <w:tcBorders>
          <w:left w:val="nil"/>
          <w:right w:val="nil"/>
          <w:insideH w:val="nil"/>
          <w:insideV w:val="nil"/>
        </w:tcBorders>
        <w:shd w:val="clear" w:color="auto" w:fill="D8D8D8" w:themeFill="background1" w:themeFillShade="D8"/>
      </w:tcPr>
    </w:tblStylePr>
    <w:tblStylePr w:type="band1Horz">
      <w:tblPr/>
      <w:trPr>
        <w:hidden/>
      </w:trPr>
      <w:tcPr>
        <w:shd w:val="clear" w:color="auto" w:fill="D8D8D8" w:themeFill="background1" w:themeFillShade="D8"/>
      </w:tcPr>
    </w:tblStylePr>
    <w:tblStylePr w:type="neCell">
      <w:tblPr/>
      <w:trPr>
        <w:hidden/>
      </w:tr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rPr>
        <w:hidden/>
      </w:trPr>
      <w:tcPr>
        <w:tcBorders>
          <w:top w:val="single" w:sz="18" w:space="0" w:color="auto"/>
          <w:left w:val="nil"/>
          <w:bottom w:val="single" w:sz="18" w:space="0" w:color="auto"/>
          <w:right w:val="nil"/>
          <w:insideH w:val="nil"/>
          <w:insideV w:val="nil"/>
        </w:tcBorders>
      </w:tcPr>
    </w:tblStylePr>
  </w:style>
  <w:style w:type="paragraph" w:customStyle="1" w:styleId="Heading1NoTOC">
    <w:name w:val="Heading 1 (No TOC)"/>
    <w:basedOn w:val="Heading1"/>
    <w:next w:val="Normal"/>
    <w:rsid w:val="007A7A30"/>
    <w:pPr>
      <w:numPr>
        <w:numId w:val="0"/>
      </w:numPr>
      <w:jc w:val="center"/>
    </w:pPr>
    <w:rPr>
      <w:sz w:val="32"/>
    </w:rPr>
  </w:style>
  <w:style w:type="paragraph" w:customStyle="1" w:styleId="Heading3NoTOC">
    <w:name w:val="Heading 3 (No TOC)"/>
    <w:basedOn w:val="Heading1NoTOC"/>
    <w:next w:val="Normal"/>
    <w:rsid w:val="007A7A30"/>
    <w:rPr>
      <w:sz w:val="24"/>
    </w:rPr>
  </w:style>
  <w:style w:type="paragraph" w:styleId="ListNumber">
    <w:name w:val="List Number"/>
    <w:basedOn w:val="Normal"/>
    <w:rsid w:val="00261EA0"/>
    <w:pPr>
      <w:numPr>
        <w:numId w:val="13"/>
      </w:numPr>
      <w:contextualSpacing/>
    </w:pPr>
  </w:style>
  <w:style w:type="character" w:styleId="IntenseReference">
    <w:name w:val="Intense Reference"/>
    <w:basedOn w:val="DefaultParagraphFont"/>
    <w:uiPriority w:val="32"/>
    <w:rsid w:val="009C66CF"/>
    <w:rPr>
      <w:b/>
      <w:bCs/>
      <w:smallCaps/>
      <w:color w:val="C0504D" w:themeColor="accent2"/>
      <w:spacing w:val="5"/>
      <w:u w:val="single"/>
    </w:rPr>
  </w:style>
  <w:style w:type="paragraph" w:styleId="NoSpacing">
    <w:name w:val="No Spacing"/>
    <w:uiPriority w:val="1"/>
    <w:rsid w:val="009C66CF"/>
    <w:rPr>
      <w:rFonts w:eastAsia="Calibri" w:cs="Cordia New"/>
      <w:sz w:val="24"/>
      <w:szCs w:val="22"/>
    </w:rPr>
  </w:style>
  <w:style w:type="paragraph" w:styleId="Quote">
    <w:name w:val="Quote"/>
    <w:basedOn w:val="Normal"/>
    <w:next w:val="Normal"/>
    <w:link w:val="QuoteChar"/>
    <w:uiPriority w:val="29"/>
    <w:rsid w:val="009C66CF"/>
    <w:rPr>
      <w:i/>
      <w:iCs/>
      <w:color w:val="000000" w:themeColor="text1"/>
    </w:rPr>
  </w:style>
  <w:style w:type="character" w:customStyle="1" w:styleId="QuoteChar">
    <w:name w:val="Quote Char"/>
    <w:basedOn w:val="DefaultParagraphFont"/>
    <w:link w:val="Quote"/>
    <w:uiPriority w:val="29"/>
    <w:rsid w:val="009C66CF"/>
    <w:rPr>
      <w:rFonts w:eastAsia="Calibri" w:cs="Cordia New"/>
      <w:i/>
      <w:iCs/>
      <w:color w:val="000000" w:themeColor="text1"/>
      <w:sz w:val="24"/>
      <w:szCs w:val="22"/>
    </w:rPr>
  </w:style>
  <w:style w:type="paragraph" w:styleId="Salutation">
    <w:name w:val="Salutation"/>
    <w:basedOn w:val="Normal"/>
    <w:next w:val="Normal"/>
    <w:link w:val="SalutationChar"/>
    <w:rsid w:val="009C66CF"/>
  </w:style>
  <w:style w:type="character" w:customStyle="1" w:styleId="SalutationChar">
    <w:name w:val="Salutation Char"/>
    <w:basedOn w:val="DefaultParagraphFont"/>
    <w:link w:val="Salutation"/>
    <w:rsid w:val="009C66CF"/>
    <w:rPr>
      <w:rFonts w:eastAsia="Calibri" w:cs="Cordia New"/>
      <w:sz w:val="24"/>
      <w:szCs w:val="22"/>
    </w:rPr>
  </w:style>
  <w:style w:type="character" w:styleId="Strong">
    <w:name w:val="Strong"/>
    <w:basedOn w:val="DefaultParagraphFont"/>
    <w:uiPriority w:val="22"/>
    <w:qFormat/>
    <w:rsid w:val="009C66CF"/>
    <w:rPr>
      <w:b/>
      <w:bCs/>
    </w:rPr>
  </w:style>
  <w:style w:type="paragraph" w:styleId="Subtitle">
    <w:name w:val="Subtitle"/>
    <w:basedOn w:val="Normal"/>
    <w:next w:val="Normal"/>
    <w:link w:val="SubtitleChar"/>
    <w:rsid w:val="009C66C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rsid w:val="009C66CF"/>
    <w:rPr>
      <w:rFonts w:asciiTheme="majorHAnsi" w:eastAsiaTheme="majorEastAsia" w:hAnsiTheme="majorHAnsi" w:cstheme="majorBidi"/>
      <w:i/>
      <w:iCs/>
      <w:color w:val="4F81BD" w:themeColor="accent1"/>
      <w:spacing w:val="15"/>
      <w:sz w:val="24"/>
      <w:szCs w:val="24"/>
    </w:rPr>
  </w:style>
  <w:style w:type="character" w:styleId="SubtleReference">
    <w:name w:val="Subtle Reference"/>
    <w:basedOn w:val="DefaultParagraphFont"/>
    <w:uiPriority w:val="31"/>
    <w:rsid w:val="009C66CF"/>
    <w:rPr>
      <w:smallCaps/>
      <w:color w:val="C0504D" w:themeColor="accent2"/>
      <w:u w:val="single"/>
    </w:rPr>
  </w:style>
  <w:style w:type="table" w:customStyle="1" w:styleId="GridTable1Light-Accent11">
    <w:name w:val="Grid Table 1 Light - Accent 11"/>
    <w:basedOn w:val="TableNormal"/>
    <w:uiPriority w:val="46"/>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rPr>
      <w:hidden/>
    </w:trPr>
    <w:tblStylePr w:type="firstRow">
      <w:rPr>
        <w:b/>
        <w:bCs/>
      </w:rPr>
      <w:tblPr/>
      <w:trPr>
        <w:hidden/>
      </w:trPr>
      <w:tcPr>
        <w:tcBorders>
          <w:bottom w:val="single" w:sz="12" w:space="0" w:color="95B3D7" w:themeColor="accent1" w:themeTint="99"/>
        </w:tcBorders>
      </w:tcPr>
    </w:tblStylePr>
    <w:tblStylePr w:type="lastRow">
      <w:rPr>
        <w:b/>
        <w:bCs/>
      </w:rPr>
      <w:tblPr/>
      <w:trPr>
        <w:hidden/>
      </w:trPr>
      <w:tcPr>
        <w:tcBorders>
          <w:top w:val="double" w:sz="2" w:space="0" w:color="95B3D7" w:themeColor="accent1" w:themeTint="99"/>
        </w:tcBorders>
      </w:tcPr>
    </w:tblStylePr>
    <w:tblStylePr w:type="firstCol">
      <w:rPr>
        <w:b/>
        <w:bCs/>
      </w:rPr>
    </w:tblStylePr>
    <w:tblStylePr w:type="lastCol">
      <w:rPr>
        <w:b/>
        <w:bCs/>
      </w:rPr>
    </w:tblStylePr>
  </w:style>
  <w:style w:type="paragraph" w:customStyle="1" w:styleId="Paragraph">
    <w:name w:val="Paragraph"/>
    <w:link w:val="ParagraphChar"/>
    <w:rsid w:val="00AF1AE1"/>
    <w:pPr>
      <w:spacing w:after="240"/>
    </w:pPr>
    <w:rPr>
      <w:rFonts w:eastAsia="SimSun"/>
      <w:color w:val="009900"/>
      <w:sz w:val="24"/>
      <w:szCs w:val="24"/>
    </w:rPr>
  </w:style>
  <w:style w:type="character" w:customStyle="1" w:styleId="ParagraphChar">
    <w:name w:val="Paragraph Char"/>
    <w:link w:val="Paragraph"/>
    <w:rsid w:val="00AF1AE1"/>
    <w:rPr>
      <w:rFonts w:eastAsia="SimSun"/>
      <w:color w:val="009900"/>
      <w:sz w:val="24"/>
      <w:szCs w:val="24"/>
    </w:rPr>
  </w:style>
  <w:style w:type="character" w:customStyle="1" w:styleId="CPTExampleChar">
    <w:name w:val="CPT_Example Char"/>
    <w:basedOn w:val="DefaultParagraphFont"/>
    <w:link w:val="CPTExample"/>
    <w:uiPriority w:val="1"/>
    <w:rsid w:val="003B5FE8"/>
    <w:rPr>
      <w:rFonts w:ascii="Arial" w:eastAsia="Times New Roman" w:hAnsi="Arial"/>
      <w:i/>
      <w:color w:val="00B050"/>
    </w:rPr>
  </w:style>
  <w:style w:type="paragraph" w:customStyle="1" w:styleId="paragraph0">
    <w:name w:val="paragraph"/>
    <w:basedOn w:val="Normal"/>
    <w:rsid w:val="008E4430"/>
    <w:pPr>
      <w:spacing w:before="0" w:after="0" w:line="240" w:lineRule="auto"/>
    </w:pPr>
    <w:rPr>
      <w:rFonts w:eastAsia="Times New Roman" w:cs="Times New Roman"/>
      <w:szCs w:val="24"/>
      <w:lang w:eastAsia="zh-CN"/>
    </w:rPr>
  </w:style>
  <w:style w:type="paragraph" w:customStyle="1" w:styleId="TableFigureTitle">
    <w:name w:val="Table/Figure Title"/>
    <w:basedOn w:val="Caption"/>
    <w:next w:val="Normal"/>
    <w:qFormat/>
    <w:rsid w:val="004204DB"/>
    <w:pPr>
      <w:keepNext/>
      <w:spacing w:before="240" w:after="120"/>
      <w:ind w:left="2160" w:hanging="2160"/>
    </w:pPr>
    <w:rPr>
      <w:rFonts w:eastAsia="Times New Roman" w:cs="Times New Roman"/>
      <w:color w:val="auto"/>
      <w:kern w:val="24"/>
      <w:sz w:val="20"/>
      <w:szCs w:val="24"/>
      <w:lang w:eastAsia="ja-JP"/>
    </w:rPr>
  </w:style>
  <w:style w:type="character" w:customStyle="1" w:styleId="CPTVariable">
    <w:name w:val="CPT_Variable"/>
    <w:basedOn w:val="DefaultParagraphFont"/>
    <w:uiPriority w:val="1"/>
    <w:qFormat/>
    <w:rsid w:val="00355A35"/>
    <w:rPr>
      <w:color w:val="0070C0"/>
    </w:rPr>
  </w:style>
  <w:style w:type="paragraph" w:customStyle="1" w:styleId="Heading1NoNumbering">
    <w:name w:val="Heading 1 (No Numbering)"/>
    <w:basedOn w:val="Heading1"/>
    <w:next w:val="Normal"/>
    <w:rsid w:val="00825345"/>
    <w:pPr>
      <w:numPr>
        <w:numId w:val="0"/>
      </w:numPr>
    </w:pPr>
  </w:style>
  <w:style w:type="table" w:styleId="GridTable1Light">
    <w:name w:val="Grid Table 1 Light"/>
    <w:basedOn w:val="TableNormal"/>
    <w:uiPriority w:val="46"/>
    <w:rsid w:val="00150F71"/>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rPr>
      <w:hidden/>
    </w:trPr>
    <w:tblStylePr w:type="firstRow">
      <w:rPr>
        <w:b/>
        <w:bCs/>
      </w:rPr>
      <w:tblPr/>
      <w:trPr>
        <w:hidden/>
      </w:trPr>
      <w:tcPr>
        <w:tcBorders>
          <w:bottom w:val="single" w:sz="12" w:space="0" w:color="666666" w:themeColor="text1" w:themeTint="99"/>
        </w:tcBorders>
      </w:tcPr>
    </w:tblStylePr>
    <w:tblStylePr w:type="lastRow">
      <w:rPr>
        <w:b/>
        <w:bCs/>
      </w:rPr>
      <w:tblPr/>
      <w:trPr>
        <w:hidden/>
      </w:tr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150F71"/>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rPr>
      <w:hidden/>
    </w:trPr>
    <w:tblStylePr w:type="firstRow">
      <w:rPr>
        <w:b/>
        <w:bCs/>
      </w:rPr>
      <w:tblPr/>
      <w:trPr>
        <w:hidden/>
      </w:trPr>
      <w:tcPr>
        <w:tcBorders>
          <w:bottom w:val="single" w:sz="12" w:space="0" w:color="95B3D7" w:themeColor="accent1" w:themeTint="99"/>
        </w:tcBorders>
      </w:tcPr>
    </w:tblStylePr>
    <w:tblStylePr w:type="lastRow">
      <w:rPr>
        <w:b/>
        <w:bCs/>
      </w:rPr>
      <w:tblPr/>
      <w:trPr>
        <w:hidden/>
      </w:tr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150F71"/>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rPr>
      <w:hidden/>
    </w:trPr>
    <w:tblStylePr w:type="firstRow">
      <w:rPr>
        <w:b/>
        <w:bCs/>
      </w:rPr>
      <w:tblPr/>
      <w:trPr>
        <w:hidden/>
      </w:trPr>
      <w:tcPr>
        <w:tcBorders>
          <w:bottom w:val="single" w:sz="12" w:space="0" w:color="D99594" w:themeColor="accent2" w:themeTint="99"/>
        </w:tcBorders>
      </w:tcPr>
    </w:tblStylePr>
    <w:tblStylePr w:type="lastRow">
      <w:rPr>
        <w:b/>
        <w:bCs/>
      </w:rPr>
      <w:tblPr/>
      <w:trPr>
        <w:hidden/>
      </w:tr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150F71"/>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rPr>
      <w:hidden/>
    </w:trPr>
    <w:tblStylePr w:type="firstRow">
      <w:rPr>
        <w:b/>
        <w:bCs/>
      </w:rPr>
      <w:tblPr/>
      <w:trPr>
        <w:hidden/>
      </w:trPr>
      <w:tcPr>
        <w:tcBorders>
          <w:bottom w:val="single" w:sz="12" w:space="0" w:color="C2D69B" w:themeColor="accent3" w:themeTint="99"/>
        </w:tcBorders>
      </w:tcPr>
    </w:tblStylePr>
    <w:tblStylePr w:type="lastRow">
      <w:rPr>
        <w:b/>
        <w:bCs/>
      </w:rPr>
      <w:tblPr/>
      <w:trPr>
        <w:hidden/>
      </w:tr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150F71"/>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rPr>
      <w:hidden/>
    </w:trPr>
    <w:tblStylePr w:type="firstRow">
      <w:rPr>
        <w:b/>
        <w:bCs/>
      </w:rPr>
      <w:tblPr/>
      <w:trPr>
        <w:hidden/>
      </w:trPr>
      <w:tcPr>
        <w:tcBorders>
          <w:bottom w:val="single" w:sz="12" w:space="0" w:color="B2A1C7" w:themeColor="accent4" w:themeTint="99"/>
        </w:tcBorders>
      </w:tcPr>
    </w:tblStylePr>
    <w:tblStylePr w:type="lastRow">
      <w:rPr>
        <w:b/>
        <w:bCs/>
      </w:rPr>
      <w:tblPr/>
      <w:trPr>
        <w:hidden/>
      </w:tr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150F71"/>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rPr>
      <w:hidden/>
    </w:trPr>
    <w:tblStylePr w:type="firstRow">
      <w:rPr>
        <w:b/>
        <w:bCs/>
      </w:rPr>
      <w:tblPr/>
      <w:trPr>
        <w:hidden/>
      </w:trPr>
      <w:tcPr>
        <w:tcBorders>
          <w:bottom w:val="single" w:sz="12" w:space="0" w:color="92CDDC" w:themeColor="accent5" w:themeTint="99"/>
        </w:tcBorders>
      </w:tcPr>
    </w:tblStylePr>
    <w:tblStylePr w:type="lastRow">
      <w:rPr>
        <w:b/>
        <w:bCs/>
      </w:rPr>
      <w:tblPr/>
      <w:trPr>
        <w:hidden/>
      </w:tr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150F71"/>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rPr>
      <w:hidden/>
    </w:trPr>
    <w:tblStylePr w:type="firstRow">
      <w:rPr>
        <w:b/>
        <w:bCs/>
      </w:rPr>
      <w:tblPr/>
      <w:trPr>
        <w:hidden/>
      </w:trPr>
      <w:tcPr>
        <w:tcBorders>
          <w:bottom w:val="single" w:sz="12" w:space="0" w:color="FABF8F" w:themeColor="accent6" w:themeTint="99"/>
        </w:tcBorders>
      </w:tcPr>
    </w:tblStylePr>
    <w:tblStylePr w:type="lastRow">
      <w:rPr>
        <w:b/>
        <w:bCs/>
      </w:rPr>
      <w:tblPr/>
      <w:trPr>
        <w:hidden/>
      </w:tr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150F71"/>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rPr>
      <w:hidden/>
    </w:trPr>
    <w:tblStylePr w:type="firstRow">
      <w:rPr>
        <w:b/>
        <w:bCs/>
      </w:rPr>
      <w:tblPr/>
      <w:trPr>
        <w:hidden/>
      </w:tr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rPr>
        <w:hidden/>
      </w:tr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rPr>
        <w:hidden/>
      </w:trPr>
      <w:tcPr>
        <w:shd w:val="clear" w:color="auto" w:fill="CCCCCC" w:themeFill="text1" w:themeFillTint="33"/>
      </w:tcPr>
    </w:tblStylePr>
    <w:tblStylePr w:type="band1Horz">
      <w:tblPr/>
      <w:trPr>
        <w:hidden/>
      </w:trPr>
      <w:tcPr>
        <w:shd w:val="clear" w:color="auto" w:fill="CCCCCC" w:themeFill="text1" w:themeFillTint="33"/>
      </w:tcPr>
    </w:tblStylePr>
  </w:style>
  <w:style w:type="table" w:styleId="GridTable2-Accent1">
    <w:name w:val="Grid Table 2 Accent 1"/>
    <w:basedOn w:val="TableNormal"/>
    <w:uiPriority w:val="47"/>
    <w:rsid w:val="00150F71"/>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rPr>
      <w:hidden/>
    </w:trPr>
    <w:tblStylePr w:type="firstRow">
      <w:rPr>
        <w:b/>
        <w:bCs/>
      </w:rPr>
      <w:tblPr/>
      <w:trPr>
        <w:hidden/>
      </w:tr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rPr>
        <w:hidden/>
      </w:tr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rPr>
        <w:hidden/>
      </w:trPr>
      <w:tcPr>
        <w:shd w:val="clear" w:color="auto" w:fill="DBE5F1" w:themeFill="accent1" w:themeFillTint="33"/>
      </w:tcPr>
    </w:tblStylePr>
    <w:tblStylePr w:type="band1Horz">
      <w:tblPr/>
      <w:trPr>
        <w:hidden/>
      </w:trPr>
      <w:tcPr>
        <w:shd w:val="clear" w:color="auto" w:fill="DBE5F1" w:themeFill="accent1" w:themeFillTint="33"/>
      </w:tcPr>
    </w:tblStylePr>
  </w:style>
  <w:style w:type="table" w:styleId="GridTable2-Accent2">
    <w:name w:val="Grid Table 2 Accent 2"/>
    <w:basedOn w:val="TableNormal"/>
    <w:uiPriority w:val="47"/>
    <w:rsid w:val="00150F71"/>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rPr>
      <w:hidden/>
    </w:trPr>
    <w:tblStylePr w:type="firstRow">
      <w:rPr>
        <w:b/>
        <w:bCs/>
      </w:rPr>
      <w:tblPr/>
      <w:trPr>
        <w:hidden/>
      </w:tr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rPr>
        <w:hidden/>
      </w:tr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rPr>
        <w:hidden/>
      </w:trPr>
      <w:tcPr>
        <w:shd w:val="clear" w:color="auto" w:fill="F2DBDB" w:themeFill="accent2" w:themeFillTint="33"/>
      </w:tcPr>
    </w:tblStylePr>
    <w:tblStylePr w:type="band1Horz">
      <w:tblPr/>
      <w:trPr>
        <w:hidden/>
      </w:trPr>
      <w:tcPr>
        <w:shd w:val="clear" w:color="auto" w:fill="F2DBDB" w:themeFill="accent2" w:themeFillTint="33"/>
      </w:tcPr>
    </w:tblStylePr>
  </w:style>
  <w:style w:type="table" w:styleId="GridTable2-Accent3">
    <w:name w:val="Grid Table 2 Accent 3"/>
    <w:basedOn w:val="TableNormal"/>
    <w:uiPriority w:val="47"/>
    <w:rsid w:val="00150F71"/>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rPr>
      <w:hidden/>
    </w:trPr>
    <w:tblStylePr w:type="firstRow">
      <w:rPr>
        <w:b/>
        <w:bCs/>
      </w:rPr>
      <w:tblPr/>
      <w:trPr>
        <w:hidden/>
      </w:tr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rPr>
        <w:hidden/>
      </w:tr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rPr>
        <w:hidden/>
      </w:trPr>
      <w:tcPr>
        <w:shd w:val="clear" w:color="auto" w:fill="EAF1DD" w:themeFill="accent3" w:themeFillTint="33"/>
      </w:tcPr>
    </w:tblStylePr>
    <w:tblStylePr w:type="band1Horz">
      <w:tblPr/>
      <w:trPr>
        <w:hidden/>
      </w:trPr>
      <w:tcPr>
        <w:shd w:val="clear" w:color="auto" w:fill="EAF1DD" w:themeFill="accent3" w:themeFillTint="33"/>
      </w:tcPr>
    </w:tblStylePr>
  </w:style>
  <w:style w:type="table" w:styleId="GridTable2-Accent4">
    <w:name w:val="Grid Table 2 Accent 4"/>
    <w:basedOn w:val="TableNormal"/>
    <w:uiPriority w:val="47"/>
    <w:rsid w:val="00150F71"/>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rPr>
      <w:hidden/>
    </w:trPr>
    <w:tblStylePr w:type="firstRow">
      <w:rPr>
        <w:b/>
        <w:bCs/>
      </w:rPr>
      <w:tblPr/>
      <w:trPr>
        <w:hidden/>
      </w:tr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rPr>
        <w:hidden/>
      </w:tr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rPr>
        <w:hidden/>
      </w:trPr>
      <w:tcPr>
        <w:shd w:val="clear" w:color="auto" w:fill="E5DFEC" w:themeFill="accent4" w:themeFillTint="33"/>
      </w:tcPr>
    </w:tblStylePr>
    <w:tblStylePr w:type="band1Horz">
      <w:tblPr/>
      <w:trPr>
        <w:hidden/>
      </w:trPr>
      <w:tcPr>
        <w:shd w:val="clear" w:color="auto" w:fill="E5DFEC" w:themeFill="accent4" w:themeFillTint="33"/>
      </w:tcPr>
    </w:tblStylePr>
  </w:style>
  <w:style w:type="table" w:styleId="GridTable2-Accent5">
    <w:name w:val="Grid Table 2 Accent 5"/>
    <w:basedOn w:val="TableNormal"/>
    <w:uiPriority w:val="47"/>
    <w:rsid w:val="00150F71"/>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rPr>
      <w:hidden/>
    </w:trPr>
    <w:tblStylePr w:type="firstRow">
      <w:rPr>
        <w:b/>
        <w:bCs/>
      </w:rPr>
      <w:tblPr/>
      <w:trPr>
        <w:hidden/>
      </w:tr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rPr>
        <w:hidden/>
      </w:tr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rPr>
        <w:hidden/>
      </w:trPr>
      <w:tcPr>
        <w:shd w:val="clear" w:color="auto" w:fill="DAEEF3" w:themeFill="accent5" w:themeFillTint="33"/>
      </w:tcPr>
    </w:tblStylePr>
    <w:tblStylePr w:type="band1Horz">
      <w:tblPr/>
      <w:trPr>
        <w:hidden/>
      </w:trPr>
      <w:tcPr>
        <w:shd w:val="clear" w:color="auto" w:fill="DAEEF3" w:themeFill="accent5" w:themeFillTint="33"/>
      </w:tcPr>
    </w:tblStylePr>
  </w:style>
  <w:style w:type="table" w:styleId="GridTable2-Accent6">
    <w:name w:val="Grid Table 2 Accent 6"/>
    <w:basedOn w:val="TableNormal"/>
    <w:uiPriority w:val="47"/>
    <w:rsid w:val="00150F71"/>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rPr>
      <w:hidden/>
    </w:trPr>
    <w:tblStylePr w:type="firstRow">
      <w:rPr>
        <w:b/>
        <w:bCs/>
      </w:rPr>
      <w:tblPr/>
      <w:trPr>
        <w:hidden/>
      </w:tr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rPr>
        <w:hidden/>
      </w:tr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rPr>
        <w:hidden/>
      </w:trPr>
      <w:tcPr>
        <w:shd w:val="clear" w:color="auto" w:fill="FDE9D9" w:themeFill="accent6" w:themeFillTint="33"/>
      </w:tcPr>
    </w:tblStylePr>
    <w:tblStylePr w:type="band1Horz">
      <w:tblPr/>
      <w:trPr>
        <w:hidden/>
      </w:trPr>
      <w:tcPr>
        <w:shd w:val="clear" w:color="auto" w:fill="FDE9D9" w:themeFill="accent6" w:themeFillTint="33"/>
      </w:tcPr>
    </w:tblStylePr>
  </w:style>
  <w:style w:type="table" w:styleId="GridTable3">
    <w:name w:val="Grid Table 3"/>
    <w:basedOn w:val="TableNormal"/>
    <w:uiPriority w:val="48"/>
    <w:rsid w:val="00150F71"/>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rPr>
      <w:hidden/>
    </w:trPr>
    <w:tblStylePr w:type="firstRow">
      <w:rPr>
        <w:b/>
        <w:bCs/>
      </w:rPr>
      <w:tblPr/>
      <w:trPr>
        <w:hidden/>
      </w:trPr>
      <w:tcPr>
        <w:tcBorders>
          <w:top w:val="nil"/>
          <w:left w:val="nil"/>
          <w:right w:val="nil"/>
          <w:insideH w:val="nil"/>
          <w:insideV w:val="nil"/>
        </w:tcBorders>
        <w:shd w:val="clear" w:color="auto" w:fill="FFFFFF" w:themeFill="background1"/>
      </w:tcPr>
    </w:tblStylePr>
    <w:tblStylePr w:type="lastRow">
      <w:rPr>
        <w:b/>
        <w:bCs/>
      </w:rPr>
      <w:tblPr/>
      <w:trPr>
        <w:hidden/>
      </w:trPr>
      <w:tcPr>
        <w:tcBorders>
          <w:left w:val="nil"/>
          <w:bottom w:val="nil"/>
          <w:right w:val="nil"/>
          <w:insideH w:val="nil"/>
          <w:insideV w:val="nil"/>
        </w:tcBorders>
        <w:shd w:val="clear" w:color="auto" w:fill="FFFFFF" w:themeFill="background1"/>
      </w:tcPr>
    </w:tblStylePr>
    <w:tblStylePr w:type="firstCol">
      <w:pPr>
        <w:jc w:val="right"/>
      </w:pPr>
      <w:rPr>
        <w:i/>
        <w:iCs/>
      </w:rPr>
      <w:tblPr/>
      <w:trPr>
        <w:hidden/>
      </w:trPr>
      <w:tcPr>
        <w:tcBorders>
          <w:top w:val="nil"/>
          <w:left w:val="nil"/>
          <w:bottom w:val="nil"/>
          <w:insideH w:val="nil"/>
          <w:insideV w:val="nil"/>
        </w:tcBorders>
        <w:shd w:val="clear" w:color="auto" w:fill="FFFFFF" w:themeFill="background1"/>
      </w:tcPr>
    </w:tblStylePr>
    <w:tblStylePr w:type="lastCol">
      <w:rPr>
        <w:i/>
        <w:iCs/>
      </w:rPr>
      <w:tblPr/>
      <w:trPr>
        <w:hidden/>
      </w:trPr>
      <w:tcPr>
        <w:tcBorders>
          <w:top w:val="nil"/>
          <w:bottom w:val="nil"/>
          <w:right w:val="nil"/>
          <w:insideH w:val="nil"/>
          <w:insideV w:val="nil"/>
        </w:tcBorders>
        <w:shd w:val="clear" w:color="auto" w:fill="FFFFFF" w:themeFill="background1"/>
      </w:tcPr>
    </w:tblStylePr>
    <w:tblStylePr w:type="band1Vert">
      <w:tblPr/>
      <w:trPr>
        <w:hidden/>
      </w:trPr>
      <w:tcPr>
        <w:shd w:val="clear" w:color="auto" w:fill="CCCCCC" w:themeFill="text1" w:themeFillTint="33"/>
      </w:tcPr>
    </w:tblStylePr>
    <w:tblStylePr w:type="band1Horz">
      <w:tblPr/>
      <w:trPr>
        <w:hidden/>
      </w:trPr>
      <w:tcPr>
        <w:shd w:val="clear" w:color="auto" w:fill="CCCCCC" w:themeFill="text1" w:themeFillTint="33"/>
      </w:tcPr>
    </w:tblStylePr>
    <w:tblStylePr w:type="neCell">
      <w:tblPr/>
      <w:trPr>
        <w:hidden/>
      </w:trPr>
      <w:tcPr>
        <w:tcBorders>
          <w:bottom w:val="single" w:sz="4" w:space="0" w:color="666666" w:themeColor="text1" w:themeTint="99"/>
        </w:tcBorders>
      </w:tcPr>
    </w:tblStylePr>
    <w:tblStylePr w:type="nwCell">
      <w:tblPr/>
      <w:trPr>
        <w:hidden/>
      </w:trPr>
      <w:tcPr>
        <w:tcBorders>
          <w:bottom w:val="single" w:sz="4" w:space="0" w:color="666666" w:themeColor="text1" w:themeTint="99"/>
        </w:tcBorders>
      </w:tcPr>
    </w:tblStylePr>
    <w:tblStylePr w:type="seCell">
      <w:tblPr/>
      <w:trPr>
        <w:hidden/>
      </w:trPr>
      <w:tcPr>
        <w:tcBorders>
          <w:top w:val="single" w:sz="4" w:space="0" w:color="666666" w:themeColor="text1" w:themeTint="99"/>
        </w:tcBorders>
      </w:tcPr>
    </w:tblStylePr>
    <w:tblStylePr w:type="swCell">
      <w:tblPr/>
      <w:trPr>
        <w:hidden/>
      </w:trPr>
      <w:tcPr>
        <w:tcBorders>
          <w:top w:val="single" w:sz="4" w:space="0" w:color="666666" w:themeColor="text1" w:themeTint="99"/>
        </w:tcBorders>
      </w:tcPr>
    </w:tblStylePr>
  </w:style>
  <w:style w:type="table" w:styleId="GridTable3-Accent1">
    <w:name w:val="Grid Table 3 Accent 1"/>
    <w:basedOn w:val="TableNormal"/>
    <w:uiPriority w:val="48"/>
    <w:rsid w:val="00150F71"/>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rPr>
      <w:hidden/>
    </w:trPr>
    <w:tblStylePr w:type="firstRow">
      <w:rPr>
        <w:b/>
        <w:bCs/>
      </w:rPr>
      <w:tblPr/>
      <w:trPr>
        <w:hidden/>
      </w:trPr>
      <w:tcPr>
        <w:tcBorders>
          <w:top w:val="nil"/>
          <w:left w:val="nil"/>
          <w:right w:val="nil"/>
          <w:insideH w:val="nil"/>
          <w:insideV w:val="nil"/>
        </w:tcBorders>
        <w:shd w:val="clear" w:color="auto" w:fill="FFFFFF" w:themeFill="background1"/>
      </w:tcPr>
    </w:tblStylePr>
    <w:tblStylePr w:type="lastRow">
      <w:rPr>
        <w:b/>
        <w:bCs/>
      </w:rPr>
      <w:tblPr/>
      <w:trPr>
        <w:hidden/>
      </w:trPr>
      <w:tcPr>
        <w:tcBorders>
          <w:left w:val="nil"/>
          <w:bottom w:val="nil"/>
          <w:right w:val="nil"/>
          <w:insideH w:val="nil"/>
          <w:insideV w:val="nil"/>
        </w:tcBorders>
        <w:shd w:val="clear" w:color="auto" w:fill="FFFFFF" w:themeFill="background1"/>
      </w:tcPr>
    </w:tblStylePr>
    <w:tblStylePr w:type="firstCol">
      <w:pPr>
        <w:jc w:val="right"/>
      </w:pPr>
      <w:rPr>
        <w:i/>
        <w:iCs/>
      </w:rPr>
      <w:tblPr/>
      <w:trPr>
        <w:hidden/>
      </w:trPr>
      <w:tcPr>
        <w:tcBorders>
          <w:top w:val="nil"/>
          <w:left w:val="nil"/>
          <w:bottom w:val="nil"/>
          <w:insideH w:val="nil"/>
          <w:insideV w:val="nil"/>
        </w:tcBorders>
        <w:shd w:val="clear" w:color="auto" w:fill="FFFFFF" w:themeFill="background1"/>
      </w:tcPr>
    </w:tblStylePr>
    <w:tblStylePr w:type="lastCol">
      <w:rPr>
        <w:i/>
        <w:iCs/>
      </w:rPr>
      <w:tblPr/>
      <w:trPr>
        <w:hidden/>
      </w:trPr>
      <w:tcPr>
        <w:tcBorders>
          <w:top w:val="nil"/>
          <w:bottom w:val="nil"/>
          <w:right w:val="nil"/>
          <w:insideH w:val="nil"/>
          <w:insideV w:val="nil"/>
        </w:tcBorders>
        <w:shd w:val="clear" w:color="auto" w:fill="FFFFFF" w:themeFill="background1"/>
      </w:tcPr>
    </w:tblStylePr>
    <w:tblStylePr w:type="band1Vert">
      <w:tblPr/>
      <w:trPr>
        <w:hidden/>
      </w:trPr>
      <w:tcPr>
        <w:shd w:val="clear" w:color="auto" w:fill="DBE5F1" w:themeFill="accent1" w:themeFillTint="33"/>
      </w:tcPr>
    </w:tblStylePr>
    <w:tblStylePr w:type="band1Horz">
      <w:tblPr/>
      <w:trPr>
        <w:hidden/>
      </w:trPr>
      <w:tcPr>
        <w:shd w:val="clear" w:color="auto" w:fill="DBE5F1" w:themeFill="accent1" w:themeFillTint="33"/>
      </w:tcPr>
    </w:tblStylePr>
    <w:tblStylePr w:type="neCell">
      <w:tblPr/>
      <w:trPr>
        <w:hidden/>
      </w:trPr>
      <w:tcPr>
        <w:tcBorders>
          <w:bottom w:val="single" w:sz="4" w:space="0" w:color="95B3D7" w:themeColor="accent1" w:themeTint="99"/>
        </w:tcBorders>
      </w:tcPr>
    </w:tblStylePr>
    <w:tblStylePr w:type="nwCell">
      <w:tblPr/>
      <w:trPr>
        <w:hidden/>
      </w:trPr>
      <w:tcPr>
        <w:tcBorders>
          <w:bottom w:val="single" w:sz="4" w:space="0" w:color="95B3D7" w:themeColor="accent1" w:themeTint="99"/>
        </w:tcBorders>
      </w:tcPr>
    </w:tblStylePr>
    <w:tblStylePr w:type="seCell">
      <w:tblPr/>
      <w:trPr>
        <w:hidden/>
      </w:trPr>
      <w:tcPr>
        <w:tcBorders>
          <w:top w:val="single" w:sz="4" w:space="0" w:color="95B3D7" w:themeColor="accent1" w:themeTint="99"/>
        </w:tcBorders>
      </w:tcPr>
    </w:tblStylePr>
    <w:tblStylePr w:type="swCell">
      <w:tblPr/>
      <w:trPr>
        <w:hidden/>
      </w:trPr>
      <w:tcPr>
        <w:tcBorders>
          <w:top w:val="single" w:sz="4" w:space="0" w:color="95B3D7" w:themeColor="accent1" w:themeTint="99"/>
        </w:tcBorders>
      </w:tcPr>
    </w:tblStylePr>
  </w:style>
  <w:style w:type="table" w:styleId="GridTable3-Accent2">
    <w:name w:val="Grid Table 3 Accent 2"/>
    <w:basedOn w:val="TableNormal"/>
    <w:uiPriority w:val="48"/>
    <w:rsid w:val="00150F71"/>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rPr>
      <w:hidden/>
    </w:trPr>
    <w:tblStylePr w:type="firstRow">
      <w:rPr>
        <w:b/>
        <w:bCs/>
      </w:rPr>
      <w:tblPr/>
      <w:trPr>
        <w:hidden/>
      </w:trPr>
      <w:tcPr>
        <w:tcBorders>
          <w:top w:val="nil"/>
          <w:left w:val="nil"/>
          <w:right w:val="nil"/>
          <w:insideH w:val="nil"/>
          <w:insideV w:val="nil"/>
        </w:tcBorders>
        <w:shd w:val="clear" w:color="auto" w:fill="FFFFFF" w:themeFill="background1"/>
      </w:tcPr>
    </w:tblStylePr>
    <w:tblStylePr w:type="lastRow">
      <w:rPr>
        <w:b/>
        <w:bCs/>
      </w:rPr>
      <w:tblPr/>
      <w:trPr>
        <w:hidden/>
      </w:trPr>
      <w:tcPr>
        <w:tcBorders>
          <w:left w:val="nil"/>
          <w:bottom w:val="nil"/>
          <w:right w:val="nil"/>
          <w:insideH w:val="nil"/>
          <w:insideV w:val="nil"/>
        </w:tcBorders>
        <w:shd w:val="clear" w:color="auto" w:fill="FFFFFF" w:themeFill="background1"/>
      </w:tcPr>
    </w:tblStylePr>
    <w:tblStylePr w:type="firstCol">
      <w:pPr>
        <w:jc w:val="right"/>
      </w:pPr>
      <w:rPr>
        <w:i/>
        <w:iCs/>
      </w:rPr>
      <w:tblPr/>
      <w:trPr>
        <w:hidden/>
      </w:trPr>
      <w:tcPr>
        <w:tcBorders>
          <w:top w:val="nil"/>
          <w:left w:val="nil"/>
          <w:bottom w:val="nil"/>
          <w:insideH w:val="nil"/>
          <w:insideV w:val="nil"/>
        </w:tcBorders>
        <w:shd w:val="clear" w:color="auto" w:fill="FFFFFF" w:themeFill="background1"/>
      </w:tcPr>
    </w:tblStylePr>
    <w:tblStylePr w:type="lastCol">
      <w:rPr>
        <w:i/>
        <w:iCs/>
      </w:rPr>
      <w:tblPr/>
      <w:trPr>
        <w:hidden/>
      </w:trPr>
      <w:tcPr>
        <w:tcBorders>
          <w:top w:val="nil"/>
          <w:bottom w:val="nil"/>
          <w:right w:val="nil"/>
          <w:insideH w:val="nil"/>
          <w:insideV w:val="nil"/>
        </w:tcBorders>
        <w:shd w:val="clear" w:color="auto" w:fill="FFFFFF" w:themeFill="background1"/>
      </w:tcPr>
    </w:tblStylePr>
    <w:tblStylePr w:type="band1Vert">
      <w:tblPr/>
      <w:trPr>
        <w:hidden/>
      </w:trPr>
      <w:tcPr>
        <w:shd w:val="clear" w:color="auto" w:fill="F2DBDB" w:themeFill="accent2" w:themeFillTint="33"/>
      </w:tcPr>
    </w:tblStylePr>
    <w:tblStylePr w:type="band1Horz">
      <w:tblPr/>
      <w:trPr>
        <w:hidden/>
      </w:trPr>
      <w:tcPr>
        <w:shd w:val="clear" w:color="auto" w:fill="F2DBDB" w:themeFill="accent2" w:themeFillTint="33"/>
      </w:tcPr>
    </w:tblStylePr>
    <w:tblStylePr w:type="neCell">
      <w:tblPr/>
      <w:trPr>
        <w:hidden/>
      </w:trPr>
      <w:tcPr>
        <w:tcBorders>
          <w:bottom w:val="single" w:sz="4" w:space="0" w:color="D99594" w:themeColor="accent2" w:themeTint="99"/>
        </w:tcBorders>
      </w:tcPr>
    </w:tblStylePr>
    <w:tblStylePr w:type="nwCell">
      <w:tblPr/>
      <w:trPr>
        <w:hidden/>
      </w:trPr>
      <w:tcPr>
        <w:tcBorders>
          <w:bottom w:val="single" w:sz="4" w:space="0" w:color="D99594" w:themeColor="accent2" w:themeTint="99"/>
        </w:tcBorders>
      </w:tcPr>
    </w:tblStylePr>
    <w:tblStylePr w:type="seCell">
      <w:tblPr/>
      <w:trPr>
        <w:hidden/>
      </w:trPr>
      <w:tcPr>
        <w:tcBorders>
          <w:top w:val="single" w:sz="4" w:space="0" w:color="D99594" w:themeColor="accent2" w:themeTint="99"/>
        </w:tcBorders>
      </w:tcPr>
    </w:tblStylePr>
    <w:tblStylePr w:type="swCell">
      <w:tblPr/>
      <w:trPr>
        <w:hidden/>
      </w:trPr>
      <w:tcPr>
        <w:tcBorders>
          <w:top w:val="single" w:sz="4" w:space="0" w:color="D99594" w:themeColor="accent2" w:themeTint="99"/>
        </w:tcBorders>
      </w:tcPr>
    </w:tblStylePr>
  </w:style>
  <w:style w:type="table" w:styleId="GridTable3-Accent3">
    <w:name w:val="Grid Table 3 Accent 3"/>
    <w:basedOn w:val="TableNormal"/>
    <w:uiPriority w:val="48"/>
    <w:rsid w:val="00150F71"/>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rPr>
      <w:hidden/>
    </w:trPr>
    <w:tblStylePr w:type="firstRow">
      <w:rPr>
        <w:b/>
        <w:bCs/>
      </w:rPr>
      <w:tblPr/>
      <w:trPr>
        <w:hidden/>
      </w:trPr>
      <w:tcPr>
        <w:tcBorders>
          <w:top w:val="nil"/>
          <w:left w:val="nil"/>
          <w:right w:val="nil"/>
          <w:insideH w:val="nil"/>
          <w:insideV w:val="nil"/>
        </w:tcBorders>
        <w:shd w:val="clear" w:color="auto" w:fill="FFFFFF" w:themeFill="background1"/>
      </w:tcPr>
    </w:tblStylePr>
    <w:tblStylePr w:type="lastRow">
      <w:rPr>
        <w:b/>
        <w:bCs/>
      </w:rPr>
      <w:tblPr/>
      <w:trPr>
        <w:hidden/>
      </w:trPr>
      <w:tcPr>
        <w:tcBorders>
          <w:left w:val="nil"/>
          <w:bottom w:val="nil"/>
          <w:right w:val="nil"/>
          <w:insideH w:val="nil"/>
          <w:insideV w:val="nil"/>
        </w:tcBorders>
        <w:shd w:val="clear" w:color="auto" w:fill="FFFFFF" w:themeFill="background1"/>
      </w:tcPr>
    </w:tblStylePr>
    <w:tblStylePr w:type="firstCol">
      <w:pPr>
        <w:jc w:val="right"/>
      </w:pPr>
      <w:rPr>
        <w:i/>
        <w:iCs/>
      </w:rPr>
      <w:tblPr/>
      <w:trPr>
        <w:hidden/>
      </w:trPr>
      <w:tcPr>
        <w:tcBorders>
          <w:top w:val="nil"/>
          <w:left w:val="nil"/>
          <w:bottom w:val="nil"/>
          <w:insideH w:val="nil"/>
          <w:insideV w:val="nil"/>
        </w:tcBorders>
        <w:shd w:val="clear" w:color="auto" w:fill="FFFFFF" w:themeFill="background1"/>
      </w:tcPr>
    </w:tblStylePr>
    <w:tblStylePr w:type="lastCol">
      <w:rPr>
        <w:i/>
        <w:iCs/>
      </w:rPr>
      <w:tblPr/>
      <w:trPr>
        <w:hidden/>
      </w:trPr>
      <w:tcPr>
        <w:tcBorders>
          <w:top w:val="nil"/>
          <w:bottom w:val="nil"/>
          <w:right w:val="nil"/>
          <w:insideH w:val="nil"/>
          <w:insideV w:val="nil"/>
        </w:tcBorders>
        <w:shd w:val="clear" w:color="auto" w:fill="FFFFFF" w:themeFill="background1"/>
      </w:tcPr>
    </w:tblStylePr>
    <w:tblStylePr w:type="band1Vert">
      <w:tblPr/>
      <w:trPr>
        <w:hidden/>
      </w:trPr>
      <w:tcPr>
        <w:shd w:val="clear" w:color="auto" w:fill="EAF1DD" w:themeFill="accent3" w:themeFillTint="33"/>
      </w:tcPr>
    </w:tblStylePr>
    <w:tblStylePr w:type="band1Horz">
      <w:tblPr/>
      <w:trPr>
        <w:hidden/>
      </w:trPr>
      <w:tcPr>
        <w:shd w:val="clear" w:color="auto" w:fill="EAF1DD" w:themeFill="accent3" w:themeFillTint="33"/>
      </w:tcPr>
    </w:tblStylePr>
    <w:tblStylePr w:type="neCell">
      <w:tblPr/>
      <w:trPr>
        <w:hidden/>
      </w:trPr>
      <w:tcPr>
        <w:tcBorders>
          <w:bottom w:val="single" w:sz="4" w:space="0" w:color="C2D69B" w:themeColor="accent3" w:themeTint="99"/>
        </w:tcBorders>
      </w:tcPr>
    </w:tblStylePr>
    <w:tblStylePr w:type="nwCell">
      <w:tblPr/>
      <w:trPr>
        <w:hidden/>
      </w:trPr>
      <w:tcPr>
        <w:tcBorders>
          <w:bottom w:val="single" w:sz="4" w:space="0" w:color="C2D69B" w:themeColor="accent3" w:themeTint="99"/>
        </w:tcBorders>
      </w:tcPr>
    </w:tblStylePr>
    <w:tblStylePr w:type="seCell">
      <w:tblPr/>
      <w:trPr>
        <w:hidden/>
      </w:trPr>
      <w:tcPr>
        <w:tcBorders>
          <w:top w:val="single" w:sz="4" w:space="0" w:color="C2D69B" w:themeColor="accent3" w:themeTint="99"/>
        </w:tcBorders>
      </w:tcPr>
    </w:tblStylePr>
    <w:tblStylePr w:type="swCell">
      <w:tblPr/>
      <w:trPr>
        <w:hidden/>
      </w:trPr>
      <w:tcPr>
        <w:tcBorders>
          <w:top w:val="single" w:sz="4" w:space="0" w:color="C2D69B" w:themeColor="accent3" w:themeTint="99"/>
        </w:tcBorders>
      </w:tcPr>
    </w:tblStylePr>
  </w:style>
  <w:style w:type="table" w:styleId="GridTable3-Accent4">
    <w:name w:val="Grid Table 3 Accent 4"/>
    <w:basedOn w:val="TableNormal"/>
    <w:uiPriority w:val="48"/>
    <w:rsid w:val="00150F71"/>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rPr>
      <w:hidden/>
    </w:trPr>
    <w:tblStylePr w:type="firstRow">
      <w:rPr>
        <w:b/>
        <w:bCs/>
      </w:rPr>
      <w:tblPr/>
      <w:trPr>
        <w:hidden/>
      </w:trPr>
      <w:tcPr>
        <w:tcBorders>
          <w:top w:val="nil"/>
          <w:left w:val="nil"/>
          <w:right w:val="nil"/>
          <w:insideH w:val="nil"/>
          <w:insideV w:val="nil"/>
        </w:tcBorders>
        <w:shd w:val="clear" w:color="auto" w:fill="FFFFFF" w:themeFill="background1"/>
      </w:tcPr>
    </w:tblStylePr>
    <w:tblStylePr w:type="lastRow">
      <w:rPr>
        <w:b/>
        <w:bCs/>
      </w:rPr>
      <w:tblPr/>
      <w:trPr>
        <w:hidden/>
      </w:trPr>
      <w:tcPr>
        <w:tcBorders>
          <w:left w:val="nil"/>
          <w:bottom w:val="nil"/>
          <w:right w:val="nil"/>
          <w:insideH w:val="nil"/>
          <w:insideV w:val="nil"/>
        </w:tcBorders>
        <w:shd w:val="clear" w:color="auto" w:fill="FFFFFF" w:themeFill="background1"/>
      </w:tcPr>
    </w:tblStylePr>
    <w:tblStylePr w:type="firstCol">
      <w:pPr>
        <w:jc w:val="right"/>
      </w:pPr>
      <w:rPr>
        <w:i/>
        <w:iCs/>
      </w:rPr>
      <w:tblPr/>
      <w:trPr>
        <w:hidden/>
      </w:trPr>
      <w:tcPr>
        <w:tcBorders>
          <w:top w:val="nil"/>
          <w:left w:val="nil"/>
          <w:bottom w:val="nil"/>
          <w:insideH w:val="nil"/>
          <w:insideV w:val="nil"/>
        </w:tcBorders>
        <w:shd w:val="clear" w:color="auto" w:fill="FFFFFF" w:themeFill="background1"/>
      </w:tcPr>
    </w:tblStylePr>
    <w:tblStylePr w:type="lastCol">
      <w:rPr>
        <w:i/>
        <w:iCs/>
      </w:rPr>
      <w:tblPr/>
      <w:trPr>
        <w:hidden/>
      </w:trPr>
      <w:tcPr>
        <w:tcBorders>
          <w:top w:val="nil"/>
          <w:bottom w:val="nil"/>
          <w:right w:val="nil"/>
          <w:insideH w:val="nil"/>
          <w:insideV w:val="nil"/>
        </w:tcBorders>
        <w:shd w:val="clear" w:color="auto" w:fill="FFFFFF" w:themeFill="background1"/>
      </w:tcPr>
    </w:tblStylePr>
    <w:tblStylePr w:type="band1Vert">
      <w:tblPr/>
      <w:trPr>
        <w:hidden/>
      </w:trPr>
      <w:tcPr>
        <w:shd w:val="clear" w:color="auto" w:fill="E5DFEC" w:themeFill="accent4" w:themeFillTint="33"/>
      </w:tcPr>
    </w:tblStylePr>
    <w:tblStylePr w:type="band1Horz">
      <w:tblPr/>
      <w:trPr>
        <w:hidden/>
      </w:trPr>
      <w:tcPr>
        <w:shd w:val="clear" w:color="auto" w:fill="E5DFEC" w:themeFill="accent4" w:themeFillTint="33"/>
      </w:tcPr>
    </w:tblStylePr>
    <w:tblStylePr w:type="neCell">
      <w:tblPr/>
      <w:trPr>
        <w:hidden/>
      </w:trPr>
      <w:tcPr>
        <w:tcBorders>
          <w:bottom w:val="single" w:sz="4" w:space="0" w:color="B2A1C7" w:themeColor="accent4" w:themeTint="99"/>
        </w:tcBorders>
      </w:tcPr>
    </w:tblStylePr>
    <w:tblStylePr w:type="nwCell">
      <w:tblPr/>
      <w:trPr>
        <w:hidden/>
      </w:trPr>
      <w:tcPr>
        <w:tcBorders>
          <w:bottom w:val="single" w:sz="4" w:space="0" w:color="B2A1C7" w:themeColor="accent4" w:themeTint="99"/>
        </w:tcBorders>
      </w:tcPr>
    </w:tblStylePr>
    <w:tblStylePr w:type="seCell">
      <w:tblPr/>
      <w:trPr>
        <w:hidden/>
      </w:trPr>
      <w:tcPr>
        <w:tcBorders>
          <w:top w:val="single" w:sz="4" w:space="0" w:color="B2A1C7" w:themeColor="accent4" w:themeTint="99"/>
        </w:tcBorders>
      </w:tcPr>
    </w:tblStylePr>
    <w:tblStylePr w:type="swCell">
      <w:tblPr/>
      <w:trPr>
        <w:hidden/>
      </w:trPr>
      <w:tcPr>
        <w:tcBorders>
          <w:top w:val="single" w:sz="4" w:space="0" w:color="B2A1C7" w:themeColor="accent4" w:themeTint="99"/>
        </w:tcBorders>
      </w:tcPr>
    </w:tblStylePr>
  </w:style>
  <w:style w:type="table" w:styleId="GridTable3-Accent5">
    <w:name w:val="Grid Table 3 Accent 5"/>
    <w:basedOn w:val="TableNormal"/>
    <w:uiPriority w:val="48"/>
    <w:rsid w:val="00150F71"/>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rPr>
      <w:hidden/>
    </w:trPr>
    <w:tblStylePr w:type="firstRow">
      <w:rPr>
        <w:b/>
        <w:bCs/>
      </w:rPr>
      <w:tblPr/>
      <w:trPr>
        <w:hidden/>
      </w:trPr>
      <w:tcPr>
        <w:tcBorders>
          <w:top w:val="nil"/>
          <w:left w:val="nil"/>
          <w:right w:val="nil"/>
          <w:insideH w:val="nil"/>
          <w:insideV w:val="nil"/>
        </w:tcBorders>
        <w:shd w:val="clear" w:color="auto" w:fill="FFFFFF" w:themeFill="background1"/>
      </w:tcPr>
    </w:tblStylePr>
    <w:tblStylePr w:type="lastRow">
      <w:rPr>
        <w:b/>
        <w:bCs/>
      </w:rPr>
      <w:tblPr/>
      <w:trPr>
        <w:hidden/>
      </w:trPr>
      <w:tcPr>
        <w:tcBorders>
          <w:left w:val="nil"/>
          <w:bottom w:val="nil"/>
          <w:right w:val="nil"/>
          <w:insideH w:val="nil"/>
          <w:insideV w:val="nil"/>
        </w:tcBorders>
        <w:shd w:val="clear" w:color="auto" w:fill="FFFFFF" w:themeFill="background1"/>
      </w:tcPr>
    </w:tblStylePr>
    <w:tblStylePr w:type="firstCol">
      <w:pPr>
        <w:jc w:val="right"/>
      </w:pPr>
      <w:rPr>
        <w:i/>
        <w:iCs/>
      </w:rPr>
      <w:tblPr/>
      <w:trPr>
        <w:hidden/>
      </w:trPr>
      <w:tcPr>
        <w:tcBorders>
          <w:top w:val="nil"/>
          <w:left w:val="nil"/>
          <w:bottom w:val="nil"/>
          <w:insideH w:val="nil"/>
          <w:insideV w:val="nil"/>
        </w:tcBorders>
        <w:shd w:val="clear" w:color="auto" w:fill="FFFFFF" w:themeFill="background1"/>
      </w:tcPr>
    </w:tblStylePr>
    <w:tblStylePr w:type="lastCol">
      <w:rPr>
        <w:i/>
        <w:iCs/>
      </w:rPr>
      <w:tblPr/>
      <w:trPr>
        <w:hidden/>
      </w:trPr>
      <w:tcPr>
        <w:tcBorders>
          <w:top w:val="nil"/>
          <w:bottom w:val="nil"/>
          <w:right w:val="nil"/>
          <w:insideH w:val="nil"/>
          <w:insideV w:val="nil"/>
        </w:tcBorders>
        <w:shd w:val="clear" w:color="auto" w:fill="FFFFFF" w:themeFill="background1"/>
      </w:tcPr>
    </w:tblStylePr>
    <w:tblStylePr w:type="band1Vert">
      <w:tblPr/>
      <w:trPr>
        <w:hidden/>
      </w:trPr>
      <w:tcPr>
        <w:shd w:val="clear" w:color="auto" w:fill="DAEEF3" w:themeFill="accent5" w:themeFillTint="33"/>
      </w:tcPr>
    </w:tblStylePr>
    <w:tblStylePr w:type="band1Horz">
      <w:tblPr/>
      <w:trPr>
        <w:hidden/>
      </w:trPr>
      <w:tcPr>
        <w:shd w:val="clear" w:color="auto" w:fill="DAEEF3" w:themeFill="accent5" w:themeFillTint="33"/>
      </w:tcPr>
    </w:tblStylePr>
    <w:tblStylePr w:type="neCell">
      <w:tblPr/>
      <w:trPr>
        <w:hidden/>
      </w:trPr>
      <w:tcPr>
        <w:tcBorders>
          <w:bottom w:val="single" w:sz="4" w:space="0" w:color="92CDDC" w:themeColor="accent5" w:themeTint="99"/>
        </w:tcBorders>
      </w:tcPr>
    </w:tblStylePr>
    <w:tblStylePr w:type="nwCell">
      <w:tblPr/>
      <w:trPr>
        <w:hidden/>
      </w:trPr>
      <w:tcPr>
        <w:tcBorders>
          <w:bottom w:val="single" w:sz="4" w:space="0" w:color="92CDDC" w:themeColor="accent5" w:themeTint="99"/>
        </w:tcBorders>
      </w:tcPr>
    </w:tblStylePr>
    <w:tblStylePr w:type="seCell">
      <w:tblPr/>
      <w:trPr>
        <w:hidden/>
      </w:trPr>
      <w:tcPr>
        <w:tcBorders>
          <w:top w:val="single" w:sz="4" w:space="0" w:color="92CDDC" w:themeColor="accent5" w:themeTint="99"/>
        </w:tcBorders>
      </w:tcPr>
    </w:tblStylePr>
    <w:tblStylePr w:type="swCell">
      <w:tblPr/>
      <w:trPr>
        <w:hidden/>
      </w:trPr>
      <w:tcPr>
        <w:tcBorders>
          <w:top w:val="single" w:sz="4" w:space="0" w:color="92CDDC" w:themeColor="accent5" w:themeTint="99"/>
        </w:tcBorders>
      </w:tcPr>
    </w:tblStylePr>
  </w:style>
  <w:style w:type="table" w:styleId="GridTable3-Accent6">
    <w:name w:val="Grid Table 3 Accent 6"/>
    <w:basedOn w:val="TableNormal"/>
    <w:uiPriority w:val="48"/>
    <w:rsid w:val="00150F71"/>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rPr>
      <w:hidden/>
    </w:trPr>
    <w:tblStylePr w:type="firstRow">
      <w:rPr>
        <w:b/>
        <w:bCs/>
      </w:rPr>
      <w:tblPr/>
      <w:trPr>
        <w:hidden/>
      </w:trPr>
      <w:tcPr>
        <w:tcBorders>
          <w:top w:val="nil"/>
          <w:left w:val="nil"/>
          <w:right w:val="nil"/>
          <w:insideH w:val="nil"/>
          <w:insideV w:val="nil"/>
        </w:tcBorders>
        <w:shd w:val="clear" w:color="auto" w:fill="FFFFFF" w:themeFill="background1"/>
      </w:tcPr>
    </w:tblStylePr>
    <w:tblStylePr w:type="lastRow">
      <w:rPr>
        <w:b/>
        <w:bCs/>
      </w:rPr>
      <w:tblPr/>
      <w:trPr>
        <w:hidden/>
      </w:trPr>
      <w:tcPr>
        <w:tcBorders>
          <w:left w:val="nil"/>
          <w:bottom w:val="nil"/>
          <w:right w:val="nil"/>
          <w:insideH w:val="nil"/>
          <w:insideV w:val="nil"/>
        </w:tcBorders>
        <w:shd w:val="clear" w:color="auto" w:fill="FFFFFF" w:themeFill="background1"/>
      </w:tcPr>
    </w:tblStylePr>
    <w:tblStylePr w:type="firstCol">
      <w:pPr>
        <w:jc w:val="right"/>
      </w:pPr>
      <w:rPr>
        <w:i/>
        <w:iCs/>
      </w:rPr>
      <w:tblPr/>
      <w:trPr>
        <w:hidden/>
      </w:trPr>
      <w:tcPr>
        <w:tcBorders>
          <w:top w:val="nil"/>
          <w:left w:val="nil"/>
          <w:bottom w:val="nil"/>
          <w:insideH w:val="nil"/>
          <w:insideV w:val="nil"/>
        </w:tcBorders>
        <w:shd w:val="clear" w:color="auto" w:fill="FFFFFF" w:themeFill="background1"/>
      </w:tcPr>
    </w:tblStylePr>
    <w:tblStylePr w:type="lastCol">
      <w:rPr>
        <w:i/>
        <w:iCs/>
      </w:rPr>
      <w:tblPr/>
      <w:trPr>
        <w:hidden/>
      </w:trPr>
      <w:tcPr>
        <w:tcBorders>
          <w:top w:val="nil"/>
          <w:bottom w:val="nil"/>
          <w:right w:val="nil"/>
          <w:insideH w:val="nil"/>
          <w:insideV w:val="nil"/>
        </w:tcBorders>
        <w:shd w:val="clear" w:color="auto" w:fill="FFFFFF" w:themeFill="background1"/>
      </w:tcPr>
    </w:tblStylePr>
    <w:tblStylePr w:type="band1Vert">
      <w:tblPr/>
      <w:trPr>
        <w:hidden/>
      </w:trPr>
      <w:tcPr>
        <w:shd w:val="clear" w:color="auto" w:fill="FDE9D9" w:themeFill="accent6" w:themeFillTint="33"/>
      </w:tcPr>
    </w:tblStylePr>
    <w:tblStylePr w:type="band1Horz">
      <w:tblPr/>
      <w:trPr>
        <w:hidden/>
      </w:trPr>
      <w:tcPr>
        <w:shd w:val="clear" w:color="auto" w:fill="FDE9D9" w:themeFill="accent6" w:themeFillTint="33"/>
      </w:tcPr>
    </w:tblStylePr>
    <w:tblStylePr w:type="neCell">
      <w:tblPr/>
      <w:trPr>
        <w:hidden/>
      </w:trPr>
      <w:tcPr>
        <w:tcBorders>
          <w:bottom w:val="single" w:sz="4" w:space="0" w:color="FABF8F" w:themeColor="accent6" w:themeTint="99"/>
        </w:tcBorders>
      </w:tcPr>
    </w:tblStylePr>
    <w:tblStylePr w:type="nwCell">
      <w:tblPr/>
      <w:trPr>
        <w:hidden/>
      </w:trPr>
      <w:tcPr>
        <w:tcBorders>
          <w:bottom w:val="single" w:sz="4" w:space="0" w:color="FABF8F" w:themeColor="accent6" w:themeTint="99"/>
        </w:tcBorders>
      </w:tcPr>
    </w:tblStylePr>
    <w:tblStylePr w:type="seCell">
      <w:tblPr/>
      <w:trPr>
        <w:hidden/>
      </w:trPr>
      <w:tcPr>
        <w:tcBorders>
          <w:top w:val="single" w:sz="4" w:space="0" w:color="FABF8F" w:themeColor="accent6" w:themeTint="99"/>
        </w:tcBorders>
      </w:tcPr>
    </w:tblStylePr>
    <w:tblStylePr w:type="swCell">
      <w:tblPr/>
      <w:trPr>
        <w:hidden/>
      </w:trPr>
      <w:tcPr>
        <w:tcBorders>
          <w:top w:val="single" w:sz="4" w:space="0" w:color="FABF8F" w:themeColor="accent6" w:themeTint="99"/>
        </w:tcBorders>
      </w:tcPr>
    </w:tblStylePr>
  </w:style>
  <w:style w:type="table" w:styleId="GridTable4">
    <w:name w:val="Grid Table 4"/>
    <w:basedOn w:val="TableNormal"/>
    <w:uiPriority w:val="49"/>
    <w:rsid w:val="00150F71"/>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rPr>
      <w:hidden/>
    </w:trPr>
    <w:tblStylePr w:type="firstRow">
      <w:rPr>
        <w:b/>
        <w:bCs/>
        <w:color w:val="FFFFFF" w:themeColor="background1"/>
      </w:rPr>
      <w:tblPr/>
      <w:trPr>
        <w:hidden/>
      </w:tr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rPr>
        <w:hidden/>
      </w:trPr>
      <w:tcPr>
        <w:tcBorders>
          <w:top w:val="double" w:sz="4" w:space="0" w:color="000000" w:themeColor="text1"/>
        </w:tcBorders>
      </w:tcPr>
    </w:tblStylePr>
    <w:tblStylePr w:type="firstCol">
      <w:rPr>
        <w:b/>
        <w:bCs/>
      </w:rPr>
    </w:tblStylePr>
    <w:tblStylePr w:type="lastCol">
      <w:rPr>
        <w:b/>
        <w:bCs/>
      </w:rPr>
    </w:tblStylePr>
    <w:tblStylePr w:type="band1Vert">
      <w:tblPr/>
      <w:trPr>
        <w:hidden/>
      </w:trPr>
      <w:tcPr>
        <w:shd w:val="clear" w:color="auto" w:fill="CCCCCC" w:themeFill="text1" w:themeFillTint="33"/>
      </w:tcPr>
    </w:tblStylePr>
    <w:tblStylePr w:type="band1Horz">
      <w:tblPr/>
      <w:trPr>
        <w:hidden/>
      </w:trPr>
      <w:tcPr>
        <w:shd w:val="clear" w:color="auto" w:fill="CCCCCC" w:themeFill="text1" w:themeFillTint="33"/>
      </w:tcPr>
    </w:tblStylePr>
  </w:style>
  <w:style w:type="table" w:styleId="GridTable4-Accent1">
    <w:name w:val="Grid Table 4 Accent 1"/>
    <w:basedOn w:val="TableNormal"/>
    <w:uiPriority w:val="49"/>
    <w:rsid w:val="00150F71"/>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rPr>
      <w:hidden/>
    </w:trPr>
    <w:tblStylePr w:type="firstRow">
      <w:rPr>
        <w:b/>
        <w:bCs/>
        <w:color w:val="FFFFFF" w:themeColor="background1"/>
      </w:rPr>
      <w:tblPr/>
      <w:trPr>
        <w:hidden/>
      </w:tr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rPr>
        <w:hidden/>
      </w:trPr>
      <w:tcPr>
        <w:tcBorders>
          <w:top w:val="double" w:sz="4" w:space="0" w:color="4F81BD" w:themeColor="accent1"/>
        </w:tcBorders>
      </w:tcPr>
    </w:tblStylePr>
    <w:tblStylePr w:type="firstCol">
      <w:rPr>
        <w:b/>
        <w:bCs/>
      </w:rPr>
    </w:tblStylePr>
    <w:tblStylePr w:type="lastCol">
      <w:rPr>
        <w:b/>
        <w:bCs/>
      </w:rPr>
    </w:tblStylePr>
    <w:tblStylePr w:type="band1Vert">
      <w:tblPr/>
      <w:trPr>
        <w:hidden/>
      </w:trPr>
      <w:tcPr>
        <w:shd w:val="clear" w:color="auto" w:fill="DBE5F1" w:themeFill="accent1" w:themeFillTint="33"/>
      </w:tcPr>
    </w:tblStylePr>
    <w:tblStylePr w:type="band1Horz">
      <w:tblPr/>
      <w:trPr>
        <w:hidden/>
      </w:trPr>
      <w:tcPr>
        <w:shd w:val="clear" w:color="auto" w:fill="DBE5F1" w:themeFill="accent1" w:themeFillTint="33"/>
      </w:tcPr>
    </w:tblStylePr>
  </w:style>
  <w:style w:type="table" w:styleId="GridTable4-Accent2">
    <w:name w:val="Grid Table 4 Accent 2"/>
    <w:basedOn w:val="TableNormal"/>
    <w:uiPriority w:val="49"/>
    <w:rsid w:val="00150F71"/>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rPr>
      <w:hidden/>
    </w:trPr>
    <w:tblStylePr w:type="firstRow">
      <w:rPr>
        <w:b/>
        <w:bCs/>
        <w:color w:val="FFFFFF" w:themeColor="background1"/>
      </w:rPr>
      <w:tblPr/>
      <w:trPr>
        <w:hidden/>
      </w:tr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rPr>
        <w:hidden/>
      </w:trPr>
      <w:tcPr>
        <w:tcBorders>
          <w:top w:val="double" w:sz="4" w:space="0" w:color="C0504D" w:themeColor="accent2"/>
        </w:tcBorders>
      </w:tcPr>
    </w:tblStylePr>
    <w:tblStylePr w:type="firstCol">
      <w:rPr>
        <w:b/>
        <w:bCs/>
      </w:rPr>
    </w:tblStylePr>
    <w:tblStylePr w:type="lastCol">
      <w:rPr>
        <w:b/>
        <w:bCs/>
      </w:rPr>
    </w:tblStylePr>
    <w:tblStylePr w:type="band1Vert">
      <w:tblPr/>
      <w:trPr>
        <w:hidden/>
      </w:trPr>
      <w:tcPr>
        <w:shd w:val="clear" w:color="auto" w:fill="F2DBDB" w:themeFill="accent2" w:themeFillTint="33"/>
      </w:tcPr>
    </w:tblStylePr>
    <w:tblStylePr w:type="band1Horz">
      <w:tblPr/>
      <w:trPr>
        <w:hidden/>
      </w:trPr>
      <w:tcPr>
        <w:shd w:val="clear" w:color="auto" w:fill="F2DBDB" w:themeFill="accent2" w:themeFillTint="33"/>
      </w:tcPr>
    </w:tblStylePr>
  </w:style>
  <w:style w:type="table" w:styleId="GridTable4-Accent3">
    <w:name w:val="Grid Table 4 Accent 3"/>
    <w:basedOn w:val="TableNormal"/>
    <w:uiPriority w:val="49"/>
    <w:rsid w:val="00150F71"/>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rPr>
      <w:hidden/>
    </w:trPr>
    <w:tblStylePr w:type="firstRow">
      <w:rPr>
        <w:b/>
        <w:bCs/>
        <w:color w:val="FFFFFF" w:themeColor="background1"/>
      </w:rPr>
      <w:tblPr/>
      <w:trPr>
        <w:hidden/>
      </w:tr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rPr>
        <w:hidden/>
      </w:trPr>
      <w:tcPr>
        <w:tcBorders>
          <w:top w:val="double" w:sz="4" w:space="0" w:color="9BBB59" w:themeColor="accent3"/>
        </w:tcBorders>
      </w:tcPr>
    </w:tblStylePr>
    <w:tblStylePr w:type="firstCol">
      <w:rPr>
        <w:b/>
        <w:bCs/>
      </w:rPr>
    </w:tblStylePr>
    <w:tblStylePr w:type="lastCol">
      <w:rPr>
        <w:b/>
        <w:bCs/>
      </w:rPr>
    </w:tblStylePr>
    <w:tblStylePr w:type="band1Vert">
      <w:tblPr/>
      <w:trPr>
        <w:hidden/>
      </w:trPr>
      <w:tcPr>
        <w:shd w:val="clear" w:color="auto" w:fill="EAF1DD" w:themeFill="accent3" w:themeFillTint="33"/>
      </w:tcPr>
    </w:tblStylePr>
    <w:tblStylePr w:type="band1Horz">
      <w:tblPr/>
      <w:trPr>
        <w:hidden/>
      </w:trPr>
      <w:tcPr>
        <w:shd w:val="clear" w:color="auto" w:fill="EAF1DD" w:themeFill="accent3" w:themeFillTint="33"/>
      </w:tcPr>
    </w:tblStylePr>
  </w:style>
  <w:style w:type="table" w:styleId="GridTable4-Accent4">
    <w:name w:val="Grid Table 4 Accent 4"/>
    <w:basedOn w:val="TableNormal"/>
    <w:uiPriority w:val="49"/>
    <w:rsid w:val="00150F71"/>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rPr>
      <w:hidden/>
    </w:trPr>
    <w:tblStylePr w:type="firstRow">
      <w:rPr>
        <w:b/>
        <w:bCs/>
        <w:color w:val="FFFFFF" w:themeColor="background1"/>
      </w:rPr>
      <w:tblPr/>
      <w:trPr>
        <w:hidden/>
      </w:tr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rPr>
        <w:hidden/>
      </w:trPr>
      <w:tcPr>
        <w:tcBorders>
          <w:top w:val="double" w:sz="4" w:space="0" w:color="8064A2" w:themeColor="accent4"/>
        </w:tcBorders>
      </w:tcPr>
    </w:tblStylePr>
    <w:tblStylePr w:type="firstCol">
      <w:rPr>
        <w:b/>
        <w:bCs/>
      </w:rPr>
    </w:tblStylePr>
    <w:tblStylePr w:type="lastCol">
      <w:rPr>
        <w:b/>
        <w:bCs/>
      </w:rPr>
    </w:tblStylePr>
    <w:tblStylePr w:type="band1Vert">
      <w:tblPr/>
      <w:trPr>
        <w:hidden/>
      </w:trPr>
      <w:tcPr>
        <w:shd w:val="clear" w:color="auto" w:fill="E5DFEC" w:themeFill="accent4" w:themeFillTint="33"/>
      </w:tcPr>
    </w:tblStylePr>
    <w:tblStylePr w:type="band1Horz">
      <w:tblPr/>
      <w:trPr>
        <w:hidden/>
      </w:trPr>
      <w:tcPr>
        <w:shd w:val="clear" w:color="auto" w:fill="E5DFEC" w:themeFill="accent4" w:themeFillTint="33"/>
      </w:tcPr>
    </w:tblStylePr>
  </w:style>
  <w:style w:type="table" w:styleId="GridTable4-Accent5">
    <w:name w:val="Grid Table 4 Accent 5"/>
    <w:basedOn w:val="TableNormal"/>
    <w:uiPriority w:val="49"/>
    <w:rsid w:val="00150F71"/>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rPr>
      <w:hidden/>
    </w:trPr>
    <w:tblStylePr w:type="firstRow">
      <w:rPr>
        <w:b/>
        <w:bCs/>
        <w:color w:val="FFFFFF" w:themeColor="background1"/>
      </w:rPr>
      <w:tblPr/>
      <w:trPr>
        <w:hidden/>
      </w:tr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rPr>
        <w:hidden/>
      </w:trPr>
      <w:tcPr>
        <w:tcBorders>
          <w:top w:val="double" w:sz="4" w:space="0" w:color="4BACC6" w:themeColor="accent5"/>
        </w:tcBorders>
      </w:tcPr>
    </w:tblStylePr>
    <w:tblStylePr w:type="firstCol">
      <w:rPr>
        <w:b/>
        <w:bCs/>
      </w:rPr>
    </w:tblStylePr>
    <w:tblStylePr w:type="lastCol">
      <w:rPr>
        <w:b/>
        <w:bCs/>
      </w:rPr>
    </w:tblStylePr>
    <w:tblStylePr w:type="band1Vert">
      <w:tblPr/>
      <w:trPr>
        <w:hidden/>
      </w:trPr>
      <w:tcPr>
        <w:shd w:val="clear" w:color="auto" w:fill="DAEEF3" w:themeFill="accent5" w:themeFillTint="33"/>
      </w:tcPr>
    </w:tblStylePr>
    <w:tblStylePr w:type="band1Horz">
      <w:tblPr/>
      <w:trPr>
        <w:hidden/>
      </w:trPr>
      <w:tcPr>
        <w:shd w:val="clear" w:color="auto" w:fill="DAEEF3" w:themeFill="accent5" w:themeFillTint="33"/>
      </w:tcPr>
    </w:tblStylePr>
  </w:style>
  <w:style w:type="table" w:styleId="GridTable4-Accent6">
    <w:name w:val="Grid Table 4 Accent 6"/>
    <w:basedOn w:val="TableNormal"/>
    <w:uiPriority w:val="49"/>
    <w:rsid w:val="00150F71"/>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rPr>
      <w:hidden/>
    </w:trPr>
    <w:tblStylePr w:type="firstRow">
      <w:rPr>
        <w:b/>
        <w:bCs/>
        <w:color w:val="FFFFFF" w:themeColor="background1"/>
      </w:rPr>
      <w:tblPr/>
      <w:trPr>
        <w:hidden/>
      </w:tr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rPr>
        <w:hidden/>
      </w:trPr>
      <w:tcPr>
        <w:tcBorders>
          <w:top w:val="double" w:sz="4" w:space="0" w:color="F79646" w:themeColor="accent6"/>
        </w:tcBorders>
      </w:tcPr>
    </w:tblStylePr>
    <w:tblStylePr w:type="firstCol">
      <w:rPr>
        <w:b/>
        <w:bCs/>
      </w:rPr>
    </w:tblStylePr>
    <w:tblStylePr w:type="lastCol">
      <w:rPr>
        <w:b/>
        <w:bCs/>
      </w:rPr>
    </w:tblStylePr>
    <w:tblStylePr w:type="band1Vert">
      <w:tblPr/>
      <w:trPr>
        <w:hidden/>
      </w:trPr>
      <w:tcPr>
        <w:shd w:val="clear" w:color="auto" w:fill="FDE9D9" w:themeFill="accent6" w:themeFillTint="33"/>
      </w:tcPr>
    </w:tblStylePr>
    <w:tblStylePr w:type="band1Horz">
      <w:tblPr/>
      <w:trPr>
        <w:hidden/>
      </w:trPr>
      <w:tcPr>
        <w:shd w:val="clear" w:color="auto" w:fill="FDE9D9" w:themeFill="accent6" w:themeFillTint="33"/>
      </w:tcPr>
    </w:tblStylePr>
  </w:style>
  <w:style w:type="table" w:styleId="GridTable5Dark">
    <w:name w:val="Grid Table 5 Dark"/>
    <w:basedOn w:val="TableNormal"/>
    <w:uiPriority w:val="50"/>
    <w:rsid w:val="00150F7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rPr>
      <w:hidden/>
    </w:trPr>
    <w:tcPr>
      <w:shd w:val="clear" w:color="auto" w:fill="CCCCCC" w:themeFill="text1" w:themeFillTint="33"/>
    </w:tcPr>
    <w:tblStylePr w:type="firstRow">
      <w:rPr>
        <w:b/>
        <w:bCs/>
        <w:color w:val="FFFFFF" w:themeColor="background1"/>
      </w:rPr>
      <w:tblPr/>
      <w:trPr>
        <w:hidden/>
      </w:tr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rPr>
        <w:hidden/>
      </w:tr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rPr>
        <w:hidden/>
      </w:tr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rPr>
        <w:hidden/>
      </w:tr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rPr>
        <w:hidden/>
      </w:trPr>
      <w:tcPr>
        <w:shd w:val="clear" w:color="auto" w:fill="999999" w:themeFill="text1" w:themeFillTint="66"/>
      </w:tcPr>
    </w:tblStylePr>
    <w:tblStylePr w:type="band1Horz">
      <w:tblPr/>
      <w:trPr>
        <w:hidden/>
      </w:trPr>
      <w:tcPr>
        <w:shd w:val="clear" w:color="auto" w:fill="999999" w:themeFill="text1" w:themeFillTint="66"/>
      </w:tcPr>
    </w:tblStylePr>
  </w:style>
  <w:style w:type="table" w:styleId="GridTable5Dark-Accent1">
    <w:name w:val="Grid Table 5 Dark Accent 1"/>
    <w:basedOn w:val="TableNormal"/>
    <w:uiPriority w:val="50"/>
    <w:rsid w:val="00150F7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rPr>
      <w:hidden/>
    </w:trPr>
    <w:tcPr>
      <w:shd w:val="clear" w:color="auto" w:fill="DBE5F1" w:themeFill="accent1" w:themeFillTint="33"/>
    </w:tcPr>
    <w:tblStylePr w:type="firstRow">
      <w:rPr>
        <w:b/>
        <w:bCs/>
        <w:color w:val="FFFFFF" w:themeColor="background1"/>
      </w:rPr>
      <w:tblPr/>
      <w:trPr>
        <w:hidden/>
      </w:tr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rPr>
        <w:hidden/>
      </w:tr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rPr>
        <w:hidden/>
      </w:tr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rPr>
        <w:hidden/>
      </w:tr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rPr>
        <w:hidden/>
      </w:trPr>
      <w:tcPr>
        <w:shd w:val="clear" w:color="auto" w:fill="B8CCE4" w:themeFill="accent1" w:themeFillTint="66"/>
      </w:tcPr>
    </w:tblStylePr>
    <w:tblStylePr w:type="band1Horz">
      <w:tblPr/>
      <w:trPr>
        <w:hidden/>
      </w:trPr>
      <w:tcPr>
        <w:shd w:val="clear" w:color="auto" w:fill="B8CCE4" w:themeFill="accent1" w:themeFillTint="66"/>
      </w:tcPr>
    </w:tblStylePr>
  </w:style>
  <w:style w:type="table" w:styleId="GridTable5Dark-Accent2">
    <w:name w:val="Grid Table 5 Dark Accent 2"/>
    <w:basedOn w:val="TableNormal"/>
    <w:uiPriority w:val="50"/>
    <w:rsid w:val="00150F7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rPr>
      <w:hidden/>
    </w:trPr>
    <w:tcPr>
      <w:shd w:val="clear" w:color="auto" w:fill="F2DBDB" w:themeFill="accent2" w:themeFillTint="33"/>
    </w:tcPr>
    <w:tblStylePr w:type="firstRow">
      <w:rPr>
        <w:b/>
        <w:bCs/>
        <w:color w:val="FFFFFF" w:themeColor="background1"/>
      </w:rPr>
      <w:tblPr/>
      <w:trPr>
        <w:hidden/>
      </w:tr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rPr>
        <w:hidden/>
      </w:tr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rPr>
        <w:hidden/>
      </w:tr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rPr>
        <w:hidden/>
      </w:tr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rPr>
        <w:hidden/>
      </w:trPr>
      <w:tcPr>
        <w:shd w:val="clear" w:color="auto" w:fill="E5B8B7" w:themeFill="accent2" w:themeFillTint="66"/>
      </w:tcPr>
    </w:tblStylePr>
    <w:tblStylePr w:type="band1Horz">
      <w:tblPr/>
      <w:trPr>
        <w:hidden/>
      </w:trPr>
      <w:tcPr>
        <w:shd w:val="clear" w:color="auto" w:fill="E5B8B7" w:themeFill="accent2" w:themeFillTint="66"/>
      </w:tcPr>
    </w:tblStylePr>
  </w:style>
  <w:style w:type="table" w:styleId="GridTable5Dark-Accent3">
    <w:name w:val="Grid Table 5 Dark Accent 3"/>
    <w:basedOn w:val="TableNormal"/>
    <w:uiPriority w:val="50"/>
    <w:rsid w:val="00150F7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rPr>
      <w:hidden/>
    </w:trPr>
    <w:tcPr>
      <w:shd w:val="clear" w:color="auto" w:fill="EAF1DD" w:themeFill="accent3" w:themeFillTint="33"/>
    </w:tcPr>
    <w:tblStylePr w:type="firstRow">
      <w:rPr>
        <w:b/>
        <w:bCs/>
        <w:color w:val="FFFFFF" w:themeColor="background1"/>
      </w:rPr>
      <w:tblPr/>
      <w:trPr>
        <w:hidden/>
      </w:tr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rPr>
        <w:hidden/>
      </w:tr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rPr>
        <w:hidden/>
      </w:tr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rPr>
        <w:hidden/>
      </w:tr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rPr>
        <w:hidden/>
      </w:trPr>
      <w:tcPr>
        <w:shd w:val="clear" w:color="auto" w:fill="D6E3BC" w:themeFill="accent3" w:themeFillTint="66"/>
      </w:tcPr>
    </w:tblStylePr>
    <w:tblStylePr w:type="band1Horz">
      <w:tblPr/>
      <w:trPr>
        <w:hidden/>
      </w:trPr>
      <w:tcPr>
        <w:shd w:val="clear" w:color="auto" w:fill="D6E3BC" w:themeFill="accent3" w:themeFillTint="66"/>
      </w:tcPr>
    </w:tblStylePr>
  </w:style>
  <w:style w:type="table" w:styleId="GridTable5Dark-Accent4">
    <w:name w:val="Grid Table 5 Dark Accent 4"/>
    <w:basedOn w:val="TableNormal"/>
    <w:uiPriority w:val="50"/>
    <w:rsid w:val="00150F7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rPr>
      <w:hidden/>
    </w:trPr>
    <w:tcPr>
      <w:shd w:val="clear" w:color="auto" w:fill="E5DFEC" w:themeFill="accent4" w:themeFillTint="33"/>
    </w:tcPr>
    <w:tblStylePr w:type="firstRow">
      <w:rPr>
        <w:b/>
        <w:bCs/>
        <w:color w:val="FFFFFF" w:themeColor="background1"/>
      </w:rPr>
      <w:tblPr/>
      <w:trPr>
        <w:hidden/>
      </w:tr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rPr>
        <w:hidden/>
      </w:tr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rPr>
        <w:hidden/>
      </w:tr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rPr>
        <w:hidden/>
      </w:tr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rPr>
        <w:hidden/>
      </w:trPr>
      <w:tcPr>
        <w:shd w:val="clear" w:color="auto" w:fill="CCC0D9" w:themeFill="accent4" w:themeFillTint="66"/>
      </w:tcPr>
    </w:tblStylePr>
    <w:tblStylePr w:type="band1Horz">
      <w:tblPr/>
      <w:trPr>
        <w:hidden/>
      </w:trPr>
      <w:tcPr>
        <w:shd w:val="clear" w:color="auto" w:fill="CCC0D9" w:themeFill="accent4" w:themeFillTint="66"/>
      </w:tcPr>
    </w:tblStylePr>
  </w:style>
  <w:style w:type="table" w:styleId="GridTable5Dark-Accent5">
    <w:name w:val="Grid Table 5 Dark Accent 5"/>
    <w:basedOn w:val="TableNormal"/>
    <w:uiPriority w:val="50"/>
    <w:rsid w:val="00150F7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rPr>
      <w:hidden/>
    </w:trPr>
    <w:tcPr>
      <w:shd w:val="clear" w:color="auto" w:fill="DAEEF3" w:themeFill="accent5" w:themeFillTint="33"/>
    </w:tcPr>
    <w:tblStylePr w:type="firstRow">
      <w:rPr>
        <w:b/>
        <w:bCs/>
        <w:color w:val="FFFFFF" w:themeColor="background1"/>
      </w:rPr>
      <w:tblPr/>
      <w:trPr>
        <w:hidden/>
      </w:tr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rPr>
        <w:hidden/>
      </w:tr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rPr>
        <w:hidden/>
      </w:tr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rPr>
        <w:hidden/>
      </w:tr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rPr>
        <w:hidden/>
      </w:trPr>
      <w:tcPr>
        <w:shd w:val="clear" w:color="auto" w:fill="B6DDE8" w:themeFill="accent5" w:themeFillTint="66"/>
      </w:tcPr>
    </w:tblStylePr>
    <w:tblStylePr w:type="band1Horz">
      <w:tblPr/>
      <w:trPr>
        <w:hidden/>
      </w:trPr>
      <w:tcPr>
        <w:shd w:val="clear" w:color="auto" w:fill="B6DDE8" w:themeFill="accent5" w:themeFillTint="66"/>
      </w:tcPr>
    </w:tblStylePr>
  </w:style>
  <w:style w:type="table" w:styleId="GridTable5Dark-Accent6">
    <w:name w:val="Grid Table 5 Dark Accent 6"/>
    <w:basedOn w:val="TableNormal"/>
    <w:uiPriority w:val="50"/>
    <w:rsid w:val="00150F71"/>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rPr>
      <w:hidden/>
    </w:trPr>
    <w:tcPr>
      <w:shd w:val="clear" w:color="auto" w:fill="FDE9D9" w:themeFill="accent6" w:themeFillTint="33"/>
    </w:tcPr>
    <w:tblStylePr w:type="firstRow">
      <w:rPr>
        <w:b/>
        <w:bCs/>
        <w:color w:val="FFFFFF" w:themeColor="background1"/>
      </w:rPr>
      <w:tblPr/>
      <w:trPr>
        <w:hidden/>
      </w:tr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rPr>
        <w:hidden/>
      </w:tr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rPr>
        <w:hidden/>
      </w:tr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rPr>
        <w:hidden/>
      </w:tr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rPr>
        <w:hidden/>
      </w:trPr>
      <w:tcPr>
        <w:shd w:val="clear" w:color="auto" w:fill="FBD4B4" w:themeFill="accent6" w:themeFillTint="66"/>
      </w:tcPr>
    </w:tblStylePr>
    <w:tblStylePr w:type="band1Horz">
      <w:tblPr/>
      <w:trPr>
        <w:hidden/>
      </w:trPr>
      <w:tcPr>
        <w:shd w:val="clear" w:color="auto" w:fill="FBD4B4" w:themeFill="accent6" w:themeFillTint="66"/>
      </w:tcPr>
    </w:tblStylePr>
  </w:style>
  <w:style w:type="table" w:styleId="GridTable6Colorful">
    <w:name w:val="Grid Table 6 Colorful"/>
    <w:basedOn w:val="TableNormal"/>
    <w:uiPriority w:val="51"/>
    <w:rsid w:val="00150F71"/>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rPr>
      <w:hidden/>
    </w:trPr>
    <w:tblStylePr w:type="firstRow">
      <w:rPr>
        <w:b/>
        <w:bCs/>
      </w:rPr>
      <w:tblPr/>
      <w:trPr>
        <w:hidden/>
      </w:trPr>
      <w:tcPr>
        <w:tcBorders>
          <w:bottom w:val="single" w:sz="12" w:space="0" w:color="666666" w:themeColor="text1" w:themeTint="99"/>
        </w:tcBorders>
      </w:tcPr>
    </w:tblStylePr>
    <w:tblStylePr w:type="lastRow">
      <w:rPr>
        <w:b/>
        <w:bCs/>
      </w:rPr>
      <w:tblPr/>
      <w:trPr>
        <w:hidden/>
      </w:trPr>
      <w:tcPr>
        <w:tcBorders>
          <w:top w:val="double" w:sz="4" w:space="0" w:color="666666" w:themeColor="text1" w:themeTint="99"/>
        </w:tcBorders>
      </w:tcPr>
    </w:tblStylePr>
    <w:tblStylePr w:type="firstCol">
      <w:rPr>
        <w:b/>
        <w:bCs/>
      </w:rPr>
    </w:tblStylePr>
    <w:tblStylePr w:type="lastCol">
      <w:rPr>
        <w:b/>
        <w:bCs/>
      </w:rPr>
    </w:tblStylePr>
    <w:tblStylePr w:type="band1Vert">
      <w:tblPr/>
      <w:trPr>
        <w:hidden/>
      </w:trPr>
      <w:tcPr>
        <w:shd w:val="clear" w:color="auto" w:fill="CCCCCC" w:themeFill="text1" w:themeFillTint="33"/>
      </w:tcPr>
    </w:tblStylePr>
    <w:tblStylePr w:type="band1Horz">
      <w:tblPr/>
      <w:trPr>
        <w:hidden/>
      </w:trPr>
      <w:tcPr>
        <w:shd w:val="clear" w:color="auto" w:fill="CCCCCC" w:themeFill="text1" w:themeFillTint="33"/>
      </w:tcPr>
    </w:tblStylePr>
  </w:style>
  <w:style w:type="table" w:styleId="GridTable6Colorful-Accent1">
    <w:name w:val="Grid Table 6 Colorful Accent 1"/>
    <w:basedOn w:val="TableNormal"/>
    <w:uiPriority w:val="51"/>
    <w:rsid w:val="00150F71"/>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rPr>
      <w:hidden/>
    </w:trPr>
    <w:tblStylePr w:type="firstRow">
      <w:rPr>
        <w:b/>
        <w:bCs/>
      </w:rPr>
      <w:tblPr/>
      <w:trPr>
        <w:hidden/>
      </w:trPr>
      <w:tcPr>
        <w:tcBorders>
          <w:bottom w:val="single" w:sz="12" w:space="0" w:color="95B3D7" w:themeColor="accent1" w:themeTint="99"/>
        </w:tcBorders>
      </w:tcPr>
    </w:tblStylePr>
    <w:tblStylePr w:type="lastRow">
      <w:rPr>
        <w:b/>
        <w:bCs/>
      </w:rPr>
      <w:tblPr/>
      <w:trPr>
        <w:hidden/>
      </w:trPr>
      <w:tcPr>
        <w:tcBorders>
          <w:top w:val="double" w:sz="4" w:space="0" w:color="95B3D7" w:themeColor="accent1" w:themeTint="99"/>
        </w:tcBorders>
      </w:tcPr>
    </w:tblStylePr>
    <w:tblStylePr w:type="firstCol">
      <w:rPr>
        <w:b/>
        <w:bCs/>
      </w:rPr>
    </w:tblStylePr>
    <w:tblStylePr w:type="lastCol">
      <w:rPr>
        <w:b/>
        <w:bCs/>
      </w:rPr>
    </w:tblStylePr>
    <w:tblStylePr w:type="band1Vert">
      <w:tblPr/>
      <w:trPr>
        <w:hidden/>
      </w:trPr>
      <w:tcPr>
        <w:shd w:val="clear" w:color="auto" w:fill="DBE5F1" w:themeFill="accent1" w:themeFillTint="33"/>
      </w:tcPr>
    </w:tblStylePr>
    <w:tblStylePr w:type="band1Horz">
      <w:tblPr/>
      <w:trPr>
        <w:hidden/>
      </w:trPr>
      <w:tcPr>
        <w:shd w:val="clear" w:color="auto" w:fill="DBE5F1" w:themeFill="accent1" w:themeFillTint="33"/>
      </w:tcPr>
    </w:tblStylePr>
  </w:style>
  <w:style w:type="table" w:styleId="GridTable6Colorful-Accent2">
    <w:name w:val="Grid Table 6 Colorful Accent 2"/>
    <w:basedOn w:val="TableNormal"/>
    <w:uiPriority w:val="51"/>
    <w:rsid w:val="00150F71"/>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rPr>
      <w:hidden/>
    </w:trPr>
    <w:tblStylePr w:type="firstRow">
      <w:rPr>
        <w:b/>
        <w:bCs/>
      </w:rPr>
      <w:tblPr/>
      <w:trPr>
        <w:hidden/>
      </w:trPr>
      <w:tcPr>
        <w:tcBorders>
          <w:bottom w:val="single" w:sz="12" w:space="0" w:color="D99594" w:themeColor="accent2" w:themeTint="99"/>
        </w:tcBorders>
      </w:tcPr>
    </w:tblStylePr>
    <w:tblStylePr w:type="lastRow">
      <w:rPr>
        <w:b/>
        <w:bCs/>
      </w:rPr>
      <w:tblPr/>
      <w:trPr>
        <w:hidden/>
      </w:trPr>
      <w:tcPr>
        <w:tcBorders>
          <w:top w:val="double" w:sz="4" w:space="0" w:color="D99594" w:themeColor="accent2" w:themeTint="99"/>
        </w:tcBorders>
      </w:tcPr>
    </w:tblStylePr>
    <w:tblStylePr w:type="firstCol">
      <w:rPr>
        <w:b/>
        <w:bCs/>
      </w:rPr>
    </w:tblStylePr>
    <w:tblStylePr w:type="lastCol">
      <w:rPr>
        <w:b/>
        <w:bCs/>
      </w:rPr>
    </w:tblStylePr>
    <w:tblStylePr w:type="band1Vert">
      <w:tblPr/>
      <w:trPr>
        <w:hidden/>
      </w:trPr>
      <w:tcPr>
        <w:shd w:val="clear" w:color="auto" w:fill="F2DBDB" w:themeFill="accent2" w:themeFillTint="33"/>
      </w:tcPr>
    </w:tblStylePr>
    <w:tblStylePr w:type="band1Horz">
      <w:tblPr/>
      <w:trPr>
        <w:hidden/>
      </w:trPr>
      <w:tcPr>
        <w:shd w:val="clear" w:color="auto" w:fill="F2DBDB" w:themeFill="accent2" w:themeFillTint="33"/>
      </w:tcPr>
    </w:tblStylePr>
  </w:style>
  <w:style w:type="table" w:styleId="GridTable6Colorful-Accent3">
    <w:name w:val="Grid Table 6 Colorful Accent 3"/>
    <w:basedOn w:val="TableNormal"/>
    <w:uiPriority w:val="51"/>
    <w:rsid w:val="00150F71"/>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rPr>
      <w:hidden/>
    </w:trPr>
    <w:tblStylePr w:type="firstRow">
      <w:rPr>
        <w:b/>
        <w:bCs/>
      </w:rPr>
      <w:tblPr/>
      <w:trPr>
        <w:hidden/>
      </w:trPr>
      <w:tcPr>
        <w:tcBorders>
          <w:bottom w:val="single" w:sz="12" w:space="0" w:color="C2D69B" w:themeColor="accent3" w:themeTint="99"/>
        </w:tcBorders>
      </w:tcPr>
    </w:tblStylePr>
    <w:tblStylePr w:type="lastRow">
      <w:rPr>
        <w:b/>
        <w:bCs/>
      </w:rPr>
      <w:tblPr/>
      <w:trPr>
        <w:hidden/>
      </w:trPr>
      <w:tcPr>
        <w:tcBorders>
          <w:top w:val="double" w:sz="4" w:space="0" w:color="C2D69B" w:themeColor="accent3" w:themeTint="99"/>
        </w:tcBorders>
      </w:tcPr>
    </w:tblStylePr>
    <w:tblStylePr w:type="firstCol">
      <w:rPr>
        <w:b/>
        <w:bCs/>
      </w:rPr>
    </w:tblStylePr>
    <w:tblStylePr w:type="lastCol">
      <w:rPr>
        <w:b/>
        <w:bCs/>
      </w:rPr>
    </w:tblStylePr>
    <w:tblStylePr w:type="band1Vert">
      <w:tblPr/>
      <w:trPr>
        <w:hidden/>
      </w:trPr>
      <w:tcPr>
        <w:shd w:val="clear" w:color="auto" w:fill="EAF1DD" w:themeFill="accent3" w:themeFillTint="33"/>
      </w:tcPr>
    </w:tblStylePr>
    <w:tblStylePr w:type="band1Horz">
      <w:tblPr/>
      <w:trPr>
        <w:hidden/>
      </w:trPr>
      <w:tcPr>
        <w:shd w:val="clear" w:color="auto" w:fill="EAF1DD" w:themeFill="accent3" w:themeFillTint="33"/>
      </w:tcPr>
    </w:tblStylePr>
  </w:style>
  <w:style w:type="table" w:styleId="GridTable6Colorful-Accent4">
    <w:name w:val="Grid Table 6 Colorful Accent 4"/>
    <w:basedOn w:val="TableNormal"/>
    <w:uiPriority w:val="51"/>
    <w:rsid w:val="00150F71"/>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rPr>
      <w:hidden/>
    </w:trPr>
    <w:tblStylePr w:type="firstRow">
      <w:rPr>
        <w:b/>
        <w:bCs/>
      </w:rPr>
      <w:tblPr/>
      <w:trPr>
        <w:hidden/>
      </w:trPr>
      <w:tcPr>
        <w:tcBorders>
          <w:bottom w:val="single" w:sz="12" w:space="0" w:color="B2A1C7" w:themeColor="accent4" w:themeTint="99"/>
        </w:tcBorders>
      </w:tcPr>
    </w:tblStylePr>
    <w:tblStylePr w:type="lastRow">
      <w:rPr>
        <w:b/>
        <w:bCs/>
      </w:rPr>
      <w:tblPr/>
      <w:trPr>
        <w:hidden/>
      </w:trPr>
      <w:tcPr>
        <w:tcBorders>
          <w:top w:val="double" w:sz="4" w:space="0" w:color="B2A1C7" w:themeColor="accent4" w:themeTint="99"/>
        </w:tcBorders>
      </w:tcPr>
    </w:tblStylePr>
    <w:tblStylePr w:type="firstCol">
      <w:rPr>
        <w:b/>
        <w:bCs/>
      </w:rPr>
    </w:tblStylePr>
    <w:tblStylePr w:type="lastCol">
      <w:rPr>
        <w:b/>
        <w:bCs/>
      </w:rPr>
    </w:tblStylePr>
    <w:tblStylePr w:type="band1Vert">
      <w:tblPr/>
      <w:trPr>
        <w:hidden/>
      </w:trPr>
      <w:tcPr>
        <w:shd w:val="clear" w:color="auto" w:fill="E5DFEC" w:themeFill="accent4" w:themeFillTint="33"/>
      </w:tcPr>
    </w:tblStylePr>
    <w:tblStylePr w:type="band1Horz">
      <w:tblPr/>
      <w:trPr>
        <w:hidden/>
      </w:trPr>
      <w:tcPr>
        <w:shd w:val="clear" w:color="auto" w:fill="E5DFEC" w:themeFill="accent4" w:themeFillTint="33"/>
      </w:tcPr>
    </w:tblStylePr>
  </w:style>
  <w:style w:type="table" w:styleId="GridTable6Colorful-Accent5">
    <w:name w:val="Grid Table 6 Colorful Accent 5"/>
    <w:basedOn w:val="TableNormal"/>
    <w:uiPriority w:val="51"/>
    <w:rsid w:val="00150F71"/>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rPr>
      <w:hidden/>
    </w:trPr>
    <w:tblStylePr w:type="firstRow">
      <w:rPr>
        <w:b/>
        <w:bCs/>
      </w:rPr>
      <w:tblPr/>
      <w:trPr>
        <w:hidden/>
      </w:trPr>
      <w:tcPr>
        <w:tcBorders>
          <w:bottom w:val="single" w:sz="12" w:space="0" w:color="92CDDC" w:themeColor="accent5" w:themeTint="99"/>
        </w:tcBorders>
      </w:tcPr>
    </w:tblStylePr>
    <w:tblStylePr w:type="lastRow">
      <w:rPr>
        <w:b/>
        <w:bCs/>
      </w:rPr>
      <w:tblPr/>
      <w:trPr>
        <w:hidden/>
      </w:trPr>
      <w:tcPr>
        <w:tcBorders>
          <w:top w:val="double" w:sz="4" w:space="0" w:color="92CDDC" w:themeColor="accent5" w:themeTint="99"/>
        </w:tcBorders>
      </w:tcPr>
    </w:tblStylePr>
    <w:tblStylePr w:type="firstCol">
      <w:rPr>
        <w:b/>
        <w:bCs/>
      </w:rPr>
    </w:tblStylePr>
    <w:tblStylePr w:type="lastCol">
      <w:rPr>
        <w:b/>
        <w:bCs/>
      </w:rPr>
    </w:tblStylePr>
    <w:tblStylePr w:type="band1Vert">
      <w:tblPr/>
      <w:trPr>
        <w:hidden/>
      </w:trPr>
      <w:tcPr>
        <w:shd w:val="clear" w:color="auto" w:fill="DAEEF3" w:themeFill="accent5" w:themeFillTint="33"/>
      </w:tcPr>
    </w:tblStylePr>
    <w:tblStylePr w:type="band1Horz">
      <w:tblPr/>
      <w:trPr>
        <w:hidden/>
      </w:trPr>
      <w:tcPr>
        <w:shd w:val="clear" w:color="auto" w:fill="DAEEF3" w:themeFill="accent5" w:themeFillTint="33"/>
      </w:tcPr>
    </w:tblStylePr>
  </w:style>
  <w:style w:type="table" w:styleId="GridTable6Colorful-Accent6">
    <w:name w:val="Grid Table 6 Colorful Accent 6"/>
    <w:basedOn w:val="TableNormal"/>
    <w:uiPriority w:val="51"/>
    <w:rsid w:val="00150F71"/>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rPr>
      <w:hidden/>
    </w:trPr>
    <w:tblStylePr w:type="firstRow">
      <w:rPr>
        <w:b/>
        <w:bCs/>
      </w:rPr>
      <w:tblPr/>
      <w:trPr>
        <w:hidden/>
      </w:trPr>
      <w:tcPr>
        <w:tcBorders>
          <w:bottom w:val="single" w:sz="12" w:space="0" w:color="FABF8F" w:themeColor="accent6" w:themeTint="99"/>
        </w:tcBorders>
      </w:tcPr>
    </w:tblStylePr>
    <w:tblStylePr w:type="lastRow">
      <w:rPr>
        <w:b/>
        <w:bCs/>
      </w:rPr>
      <w:tblPr/>
      <w:trPr>
        <w:hidden/>
      </w:trPr>
      <w:tcPr>
        <w:tcBorders>
          <w:top w:val="double" w:sz="4" w:space="0" w:color="FABF8F" w:themeColor="accent6" w:themeTint="99"/>
        </w:tcBorders>
      </w:tcPr>
    </w:tblStylePr>
    <w:tblStylePr w:type="firstCol">
      <w:rPr>
        <w:b/>
        <w:bCs/>
      </w:rPr>
    </w:tblStylePr>
    <w:tblStylePr w:type="lastCol">
      <w:rPr>
        <w:b/>
        <w:bCs/>
      </w:rPr>
    </w:tblStylePr>
    <w:tblStylePr w:type="band1Vert">
      <w:tblPr/>
      <w:trPr>
        <w:hidden/>
      </w:trPr>
      <w:tcPr>
        <w:shd w:val="clear" w:color="auto" w:fill="FDE9D9" w:themeFill="accent6" w:themeFillTint="33"/>
      </w:tcPr>
    </w:tblStylePr>
    <w:tblStylePr w:type="band1Horz">
      <w:tblPr/>
      <w:trPr>
        <w:hidden/>
      </w:trPr>
      <w:tcPr>
        <w:shd w:val="clear" w:color="auto" w:fill="FDE9D9" w:themeFill="accent6" w:themeFillTint="33"/>
      </w:tcPr>
    </w:tblStylePr>
  </w:style>
  <w:style w:type="table" w:styleId="GridTable7Colorful">
    <w:name w:val="Grid Table 7 Colorful"/>
    <w:basedOn w:val="TableNormal"/>
    <w:uiPriority w:val="52"/>
    <w:rsid w:val="00150F71"/>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rPr>
      <w:hidden/>
    </w:trPr>
    <w:tblStylePr w:type="firstRow">
      <w:rPr>
        <w:b/>
        <w:bCs/>
      </w:rPr>
      <w:tblPr/>
      <w:trPr>
        <w:hidden/>
      </w:trPr>
      <w:tcPr>
        <w:tcBorders>
          <w:top w:val="nil"/>
          <w:left w:val="nil"/>
          <w:right w:val="nil"/>
          <w:insideH w:val="nil"/>
          <w:insideV w:val="nil"/>
        </w:tcBorders>
        <w:shd w:val="clear" w:color="auto" w:fill="FFFFFF" w:themeFill="background1"/>
      </w:tcPr>
    </w:tblStylePr>
    <w:tblStylePr w:type="lastRow">
      <w:rPr>
        <w:b/>
        <w:bCs/>
      </w:rPr>
      <w:tblPr/>
      <w:trPr>
        <w:hidden/>
      </w:trPr>
      <w:tcPr>
        <w:tcBorders>
          <w:left w:val="nil"/>
          <w:bottom w:val="nil"/>
          <w:right w:val="nil"/>
          <w:insideH w:val="nil"/>
          <w:insideV w:val="nil"/>
        </w:tcBorders>
        <w:shd w:val="clear" w:color="auto" w:fill="FFFFFF" w:themeFill="background1"/>
      </w:tcPr>
    </w:tblStylePr>
    <w:tblStylePr w:type="firstCol">
      <w:pPr>
        <w:jc w:val="right"/>
      </w:pPr>
      <w:rPr>
        <w:i/>
        <w:iCs/>
      </w:rPr>
      <w:tblPr/>
      <w:trPr>
        <w:hidden/>
      </w:trPr>
      <w:tcPr>
        <w:tcBorders>
          <w:top w:val="nil"/>
          <w:left w:val="nil"/>
          <w:bottom w:val="nil"/>
          <w:insideH w:val="nil"/>
          <w:insideV w:val="nil"/>
        </w:tcBorders>
        <w:shd w:val="clear" w:color="auto" w:fill="FFFFFF" w:themeFill="background1"/>
      </w:tcPr>
    </w:tblStylePr>
    <w:tblStylePr w:type="lastCol">
      <w:rPr>
        <w:i/>
        <w:iCs/>
      </w:rPr>
      <w:tblPr/>
      <w:trPr>
        <w:hidden/>
      </w:trPr>
      <w:tcPr>
        <w:tcBorders>
          <w:top w:val="nil"/>
          <w:bottom w:val="nil"/>
          <w:right w:val="nil"/>
          <w:insideH w:val="nil"/>
          <w:insideV w:val="nil"/>
        </w:tcBorders>
        <w:shd w:val="clear" w:color="auto" w:fill="FFFFFF" w:themeFill="background1"/>
      </w:tcPr>
    </w:tblStylePr>
    <w:tblStylePr w:type="band1Vert">
      <w:tblPr/>
      <w:trPr>
        <w:hidden/>
      </w:trPr>
      <w:tcPr>
        <w:shd w:val="clear" w:color="auto" w:fill="CCCCCC" w:themeFill="text1" w:themeFillTint="33"/>
      </w:tcPr>
    </w:tblStylePr>
    <w:tblStylePr w:type="band1Horz">
      <w:tblPr/>
      <w:trPr>
        <w:hidden/>
      </w:trPr>
      <w:tcPr>
        <w:shd w:val="clear" w:color="auto" w:fill="CCCCCC" w:themeFill="text1" w:themeFillTint="33"/>
      </w:tcPr>
    </w:tblStylePr>
    <w:tblStylePr w:type="neCell">
      <w:tblPr/>
      <w:trPr>
        <w:hidden/>
      </w:trPr>
      <w:tcPr>
        <w:tcBorders>
          <w:bottom w:val="single" w:sz="4" w:space="0" w:color="666666" w:themeColor="text1" w:themeTint="99"/>
        </w:tcBorders>
      </w:tcPr>
    </w:tblStylePr>
    <w:tblStylePr w:type="nwCell">
      <w:tblPr/>
      <w:trPr>
        <w:hidden/>
      </w:trPr>
      <w:tcPr>
        <w:tcBorders>
          <w:bottom w:val="single" w:sz="4" w:space="0" w:color="666666" w:themeColor="text1" w:themeTint="99"/>
        </w:tcBorders>
      </w:tcPr>
    </w:tblStylePr>
    <w:tblStylePr w:type="seCell">
      <w:tblPr/>
      <w:trPr>
        <w:hidden/>
      </w:trPr>
      <w:tcPr>
        <w:tcBorders>
          <w:top w:val="single" w:sz="4" w:space="0" w:color="666666" w:themeColor="text1" w:themeTint="99"/>
        </w:tcBorders>
      </w:tcPr>
    </w:tblStylePr>
    <w:tblStylePr w:type="swCell">
      <w:tblPr/>
      <w:trPr>
        <w:hidden/>
      </w:trPr>
      <w:tcPr>
        <w:tcBorders>
          <w:top w:val="single" w:sz="4" w:space="0" w:color="666666" w:themeColor="text1" w:themeTint="99"/>
        </w:tcBorders>
      </w:tcPr>
    </w:tblStylePr>
  </w:style>
  <w:style w:type="table" w:styleId="GridTable7Colorful-Accent1">
    <w:name w:val="Grid Table 7 Colorful Accent 1"/>
    <w:basedOn w:val="TableNormal"/>
    <w:uiPriority w:val="52"/>
    <w:rsid w:val="00150F71"/>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rPr>
      <w:hidden/>
    </w:trPr>
    <w:tblStylePr w:type="firstRow">
      <w:rPr>
        <w:b/>
        <w:bCs/>
      </w:rPr>
      <w:tblPr/>
      <w:trPr>
        <w:hidden/>
      </w:trPr>
      <w:tcPr>
        <w:tcBorders>
          <w:top w:val="nil"/>
          <w:left w:val="nil"/>
          <w:right w:val="nil"/>
          <w:insideH w:val="nil"/>
          <w:insideV w:val="nil"/>
        </w:tcBorders>
        <w:shd w:val="clear" w:color="auto" w:fill="FFFFFF" w:themeFill="background1"/>
      </w:tcPr>
    </w:tblStylePr>
    <w:tblStylePr w:type="lastRow">
      <w:rPr>
        <w:b/>
        <w:bCs/>
      </w:rPr>
      <w:tblPr/>
      <w:trPr>
        <w:hidden/>
      </w:trPr>
      <w:tcPr>
        <w:tcBorders>
          <w:left w:val="nil"/>
          <w:bottom w:val="nil"/>
          <w:right w:val="nil"/>
          <w:insideH w:val="nil"/>
          <w:insideV w:val="nil"/>
        </w:tcBorders>
        <w:shd w:val="clear" w:color="auto" w:fill="FFFFFF" w:themeFill="background1"/>
      </w:tcPr>
    </w:tblStylePr>
    <w:tblStylePr w:type="firstCol">
      <w:pPr>
        <w:jc w:val="right"/>
      </w:pPr>
      <w:rPr>
        <w:i/>
        <w:iCs/>
      </w:rPr>
      <w:tblPr/>
      <w:trPr>
        <w:hidden/>
      </w:trPr>
      <w:tcPr>
        <w:tcBorders>
          <w:top w:val="nil"/>
          <w:left w:val="nil"/>
          <w:bottom w:val="nil"/>
          <w:insideH w:val="nil"/>
          <w:insideV w:val="nil"/>
        </w:tcBorders>
        <w:shd w:val="clear" w:color="auto" w:fill="FFFFFF" w:themeFill="background1"/>
      </w:tcPr>
    </w:tblStylePr>
    <w:tblStylePr w:type="lastCol">
      <w:rPr>
        <w:i/>
        <w:iCs/>
      </w:rPr>
      <w:tblPr/>
      <w:trPr>
        <w:hidden/>
      </w:trPr>
      <w:tcPr>
        <w:tcBorders>
          <w:top w:val="nil"/>
          <w:bottom w:val="nil"/>
          <w:right w:val="nil"/>
          <w:insideH w:val="nil"/>
          <w:insideV w:val="nil"/>
        </w:tcBorders>
        <w:shd w:val="clear" w:color="auto" w:fill="FFFFFF" w:themeFill="background1"/>
      </w:tcPr>
    </w:tblStylePr>
    <w:tblStylePr w:type="band1Vert">
      <w:tblPr/>
      <w:trPr>
        <w:hidden/>
      </w:trPr>
      <w:tcPr>
        <w:shd w:val="clear" w:color="auto" w:fill="DBE5F1" w:themeFill="accent1" w:themeFillTint="33"/>
      </w:tcPr>
    </w:tblStylePr>
    <w:tblStylePr w:type="band1Horz">
      <w:tblPr/>
      <w:trPr>
        <w:hidden/>
      </w:trPr>
      <w:tcPr>
        <w:shd w:val="clear" w:color="auto" w:fill="DBE5F1" w:themeFill="accent1" w:themeFillTint="33"/>
      </w:tcPr>
    </w:tblStylePr>
    <w:tblStylePr w:type="neCell">
      <w:tblPr/>
      <w:trPr>
        <w:hidden/>
      </w:trPr>
      <w:tcPr>
        <w:tcBorders>
          <w:bottom w:val="single" w:sz="4" w:space="0" w:color="95B3D7" w:themeColor="accent1" w:themeTint="99"/>
        </w:tcBorders>
      </w:tcPr>
    </w:tblStylePr>
    <w:tblStylePr w:type="nwCell">
      <w:tblPr/>
      <w:trPr>
        <w:hidden/>
      </w:trPr>
      <w:tcPr>
        <w:tcBorders>
          <w:bottom w:val="single" w:sz="4" w:space="0" w:color="95B3D7" w:themeColor="accent1" w:themeTint="99"/>
        </w:tcBorders>
      </w:tcPr>
    </w:tblStylePr>
    <w:tblStylePr w:type="seCell">
      <w:tblPr/>
      <w:trPr>
        <w:hidden/>
      </w:trPr>
      <w:tcPr>
        <w:tcBorders>
          <w:top w:val="single" w:sz="4" w:space="0" w:color="95B3D7" w:themeColor="accent1" w:themeTint="99"/>
        </w:tcBorders>
      </w:tcPr>
    </w:tblStylePr>
    <w:tblStylePr w:type="swCell">
      <w:tblPr/>
      <w:trPr>
        <w:hidden/>
      </w:trPr>
      <w:tcPr>
        <w:tcBorders>
          <w:top w:val="single" w:sz="4" w:space="0" w:color="95B3D7" w:themeColor="accent1" w:themeTint="99"/>
        </w:tcBorders>
      </w:tcPr>
    </w:tblStylePr>
  </w:style>
  <w:style w:type="table" w:styleId="GridTable7Colorful-Accent2">
    <w:name w:val="Grid Table 7 Colorful Accent 2"/>
    <w:basedOn w:val="TableNormal"/>
    <w:uiPriority w:val="52"/>
    <w:rsid w:val="00150F71"/>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rPr>
      <w:hidden/>
    </w:trPr>
    <w:tblStylePr w:type="firstRow">
      <w:rPr>
        <w:b/>
        <w:bCs/>
      </w:rPr>
      <w:tblPr/>
      <w:trPr>
        <w:hidden/>
      </w:trPr>
      <w:tcPr>
        <w:tcBorders>
          <w:top w:val="nil"/>
          <w:left w:val="nil"/>
          <w:right w:val="nil"/>
          <w:insideH w:val="nil"/>
          <w:insideV w:val="nil"/>
        </w:tcBorders>
        <w:shd w:val="clear" w:color="auto" w:fill="FFFFFF" w:themeFill="background1"/>
      </w:tcPr>
    </w:tblStylePr>
    <w:tblStylePr w:type="lastRow">
      <w:rPr>
        <w:b/>
        <w:bCs/>
      </w:rPr>
      <w:tblPr/>
      <w:trPr>
        <w:hidden/>
      </w:trPr>
      <w:tcPr>
        <w:tcBorders>
          <w:left w:val="nil"/>
          <w:bottom w:val="nil"/>
          <w:right w:val="nil"/>
          <w:insideH w:val="nil"/>
          <w:insideV w:val="nil"/>
        </w:tcBorders>
        <w:shd w:val="clear" w:color="auto" w:fill="FFFFFF" w:themeFill="background1"/>
      </w:tcPr>
    </w:tblStylePr>
    <w:tblStylePr w:type="firstCol">
      <w:pPr>
        <w:jc w:val="right"/>
      </w:pPr>
      <w:rPr>
        <w:i/>
        <w:iCs/>
      </w:rPr>
      <w:tblPr/>
      <w:trPr>
        <w:hidden/>
      </w:trPr>
      <w:tcPr>
        <w:tcBorders>
          <w:top w:val="nil"/>
          <w:left w:val="nil"/>
          <w:bottom w:val="nil"/>
          <w:insideH w:val="nil"/>
          <w:insideV w:val="nil"/>
        </w:tcBorders>
        <w:shd w:val="clear" w:color="auto" w:fill="FFFFFF" w:themeFill="background1"/>
      </w:tcPr>
    </w:tblStylePr>
    <w:tblStylePr w:type="lastCol">
      <w:rPr>
        <w:i/>
        <w:iCs/>
      </w:rPr>
      <w:tblPr/>
      <w:trPr>
        <w:hidden/>
      </w:trPr>
      <w:tcPr>
        <w:tcBorders>
          <w:top w:val="nil"/>
          <w:bottom w:val="nil"/>
          <w:right w:val="nil"/>
          <w:insideH w:val="nil"/>
          <w:insideV w:val="nil"/>
        </w:tcBorders>
        <w:shd w:val="clear" w:color="auto" w:fill="FFFFFF" w:themeFill="background1"/>
      </w:tcPr>
    </w:tblStylePr>
    <w:tblStylePr w:type="band1Vert">
      <w:tblPr/>
      <w:trPr>
        <w:hidden/>
      </w:trPr>
      <w:tcPr>
        <w:shd w:val="clear" w:color="auto" w:fill="F2DBDB" w:themeFill="accent2" w:themeFillTint="33"/>
      </w:tcPr>
    </w:tblStylePr>
    <w:tblStylePr w:type="band1Horz">
      <w:tblPr/>
      <w:trPr>
        <w:hidden/>
      </w:trPr>
      <w:tcPr>
        <w:shd w:val="clear" w:color="auto" w:fill="F2DBDB" w:themeFill="accent2" w:themeFillTint="33"/>
      </w:tcPr>
    </w:tblStylePr>
    <w:tblStylePr w:type="neCell">
      <w:tblPr/>
      <w:trPr>
        <w:hidden/>
      </w:trPr>
      <w:tcPr>
        <w:tcBorders>
          <w:bottom w:val="single" w:sz="4" w:space="0" w:color="D99594" w:themeColor="accent2" w:themeTint="99"/>
        </w:tcBorders>
      </w:tcPr>
    </w:tblStylePr>
    <w:tblStylePr w:type="nwCell">
      <w:tblPr/>
      <w:trPr>
        <w:hidden/>
      </w:trPr>
      <w:tcPr>
        <w:tcBorders>
          <w:bottom w:val="single" w:sz="4" w:space="0" w:color="D99594" w:themeColor="accent2" w:themeTint="99"/>
        </w:tcBorders>
      </w:tcPr>
    </w:tblStylePr>
    <w:tblStylePr w:type="seCell">
      <w:tblPr/>
      <w:trPr>
        <w:hidden/>
      </w:trPr>
      <w:tcPr>
        <w:tcBorders>
          <w:top w:val="single" w:sz="4" w:space="0" w:color="D99594" w:themeColor="accent2" w:themeTint="99"/>
        </w:tcBorders>
      </w:tcPr>
    </w:tblStylePr>
    <w:tblStylePr w:type="swCell">
      <w:tblPr/>
      <w:trPr>
        <w:hidden/>
      </w:trPr>
      <w:tcPr>
        <w:tcBorders>
          <w:top w:val="single" w:sz="4" w:space="0" w:color="D99594" w:themeColor="accent2" w:themeTint="99"/>
        </w:tcBorders>
      </w:tcPr>
    </w:tblStylePr>
  </w:style>
  <w:style w:type="table" w:styleId="GridTable7Colorful-Accent3">
    <w:name w:val="Grid Table 7 Colorful Accent 3"/>
    <w:basedOn w:val="TableNormal"/>
    <w:uiPriority w:val="52"/>
    <w:rsid w:val="00150F71"/>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rPr>
      <w:hidden/>
    </w:trPr>
    <w:tblStylePr w:type="firstRow">
      <w:rPr>
        <w:b/>
        <w:bCs/>
      </w:rPr>
      <w:tblPr/>
      <w:trPr>
        <w:hidden/>
      </w:trPr>
      <w:tcPr>
        <w:tcBorders>
          <w:top w:val="nil"/>
          <w:left w:val="nil"/>
          <w:right w:val="nil"/>
          <w:insideH w:val="nil"/>
          <w:insideV w:val="nil"/>
        </w:tcBorders>
        <w:shd w:val="clear" w:color="auto" w:fill="FFFFFF" w:themeFill="background1"/>
      </w:tcPr>
    </w:tblStylePr>
    <w:tblStylePr w:type="lastRow">
      <w:rPr>
        <w:b/>
        <w:bCs/>
      </w:rPr>
      <w:tblPr/>
      <w:trPr>
        <w:hidden/>
      </w:trPr>
      <w:tcPr>
        <w:tcBorders>
          <w:left w:val="nil"/>
          <w:bottom w:val="nil"/>
          <w:right w:val="nil"/>
          <w:insideH w:val="nil"/>
          <w:insideV w:val="nil"/>
        </w:tcBorders>
        <w:shd w:val="clear" w:color="auto" w:fill="FFFFFF" w:themeFill="background1"/>
      </w:tcPr>
    </w:tblStylePr>
    <w:tblStylePr w:type="firstCol">
      <w:pPr>
        <w:jc w:val="right"/>
      </w:pPr>
      <w:rPr>
        <w:i/>
        <w:iCs/>
      </w:rPr>
      <w:tblPr/>
      <w:trPr>
        <w:hidden/>
      </w:trPr>
      <w:tcPr>
        <w:tcBorders>
          <w:top w:val="nil"/>
          <w:left w:val="nil"/>
          <w:bottom w:val="nil"/>
          <w:insideH w:val="nil"/>
          <w:insideV w:val="nil"/>
        </w:tcBorders>
        <w:shd w:val="clear" w:color="auto" w:fill="FFFFFF" w:themeFill="background1"/>
      </w:tcPr>
    </w:tblStylePr>
    <w:tblStylePr w:type="lastCol">
      <w:rPr>
        <w:i/>
        <w:iCs/>
      </w:rPr>
      <w:tblPr/>
      <w:trPr>
        <w:hidden/>
      </w:trPr>
      <w:tcPr>
        <w:tcBorders>
          <w:top w:val="nil"/>
          <w:bottom w:val="nil"/>
          <w:right w:val="nil"/>
          <w:insideH w:val="nil"/>
          <w:insideV w:val="nil"/>
        </w:tcBorders>
        <w:shd w:val="clear" w:color="auto" w:fill="FFFFFF" w:themeFill="background1"/>
      </w:tcPr>
    </w:tblStylePr>
    <w:tblStylePr w:type="band1Vert">
      <w:tblPr/>
      <w:trPr>
        <w:hidden/>
      </w:trPr>
      <w:tcPr>
        <w:shd w:val="clear" w:color="auto" w:fill="EAF1DD" w:themeFill="accent3" w:themeFillTint="33"/>
      </w:tcPr>
    </w:tblStylePr>
    <w:tblStylePr w:type="band1Horz">
      <w:tblPr/>
      <w:trPr>
        <w:hidden/>
      </w:trPr>
      <w:tcPr>
        <w:shd w:val="clear" w:color="auto" w:fill="EAF1DD" w:themeFill="accent3" w:themeFillTint="33"/>
      </w:tcPr>
    </w:tblStylePr>
    <w:tblStylePr w:type="neCell">
      <w:tblPr/>
      <w:trPr>
        <w:hidden/>
      </w:trPr>
      <w:tcPr>
        <w:tcBorders>
          <w:bottom w:val="single" w:sz="4" w:space="0" w:color="C2D69B" w:themeColor="accent3" w:themeTint="99"/>
        </w:tcBorders>
      </w:tcPr>
    </w:tblStylePr>
    <w:tblStylePr w:type="nwCell">
      <w:tblPr/>
      <w:trPr>
        <w:hidden/>
      </w:trPr>
      <w:tcPr>
        <w:tcBorders>
          <w:bottom w:val="single" w:sz="4" w:space="0" w:color="C2D69B" w:themeColor="accent3" w:themeTint="99"/>
        </w:tcBorders>
      </w:tcPr>
    </w:tblStylePr>
    <w:tblStylePr w:type="seCell">
      <w:tblPr/>
      <w:trPr>
        <w:hidden/>
      </w:trPr>
      <w:tcPr>
        <w:tcBorders>
          <w:top w:val="single" w:sz="4" w:space="0" w:color="C2D69B" w:themeColor="accent3" w:themeTint="99"/>
        </w:tcBorders>
      </w:tcPr>
    </w:tblStylePr>
    <w:tblStylePr w:type="swCell">
      <w:tblPr/>
      <w:trPr>
        <w:hidden/>
      </w:trPr>
      <w:tcPr>
        <w:tcBorders>
          <w:top w:val="single" w:sz="4" w:space="0" w:color="C2D69B" w:themeColor="accent3" w:themeTint="99"/>
        </w:tcBorders>
      </w:tcPr>
    </w:tblStylePr>
  </w:style>
  <w:style w:type="table" w:styleId="GridTable7Colorful-Accent4">
    <w:name w:val="Grid Table 7 Colorful Accent 4"/>
    <w:basedOn w:val="TableNormal"/>
    <w:uiPriority w:val="52"/>
    <w:rsid w:val="00150F71"/>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rPr>
      <w:hidden/>
    </w:trPr>
    <w:tblStylePr w:type="firstRow">
      <w:rPr>
        <w:b/>
        <w:bCs/>
      </w:rPr>
      <w:tblPr/>
      <w:trPr>
        <w:hidden/>
      </w:trPr>
      <w:tcPr>
        <w:tcBorders>
          <w:top w:val="nil"/>
          <w:left w:val="nil"/>
          <w:right w:val="nil"/>
          <w:insideH w:val="nil"/>
          <w:insideV w:val="nil"/>
        </w:tcBorders>
        <w:shd w:val="clear" w:color="auto" w:fill="FFFFFF" w:themeFill="background1"/>
      </w:tcPr>
    </w:tblStylePr>
    <w:tblStylePr w:type="lastRow">
      <w:rPr>
        <w:b/>
        <w:bCs/>
      </w:rPr>
      <w:tblPr/>
      <w:trPr>
        <w:hidden/>
      </w:trPr>
      <w:tcPr>
        <w:tcBorders>
          <w:left w:val="nil"/>
          <w:bottom w:val="nil"/>
          <w:right w:val="nil"/>
          <w:insideH w:val="nil"/>
          <w:insideV w:val="nil"/>
        </w:tcBorders>
        <w:shd w:val="clear" w:color="auto" w:fill="FFFFFF" w:themeFill="background1"/>
      </w:tcPr>
    </w:tblStylePr>
    <w:tblStylePr w:type="firstCol">
      <w:pPr>
        <w:jc w:val="right"/>
      </w:pPr>
      <w:rPr>
        <w:i/>
        <w:iCs/>
      </w:rPr>
      <w:tblPr/>
      <w:trPr>
        <w:hidden/>
      </w:trPr>
      <w:tcPr>
        <w:tcBorders>
          <w:top w:val="nil"/>
          <w:left w:val="nil"/>
          <w:bottom w:val="nil"/>
          <w:insideH w:val="nil"/>
          <w:insideV w:val="nil"/>
        </w:tcBorders>
        <w:shd w:val="clear" w:color="auto" w:fill="FFFFFF" w:themeFill="background1"/>
      </w:tcPr>
    </w:tblStylePr>
    <w:tblStylePr w:type="lastCol">
      <w:rPr>
        <w:i/>
        <w:iCs/>
      </w:rPr>
      <w:tblPr/>
      <w:trPr>
        <w:hidden/>
      </w:trPr>
      <w:tcPr>
        <w:tcBorders>
          <w:top w:val="nil"/>
          <w:bottom w:val="nil"/>
          <w:right w:val="nil"/>
          <w:insideH w:val="nil"/>
          <w:insideV w:val="nil"/>
        </w:tcBorders>
        <w:shd w:val="clear" w:color="auto" w:fill="FFFFFF" w:themeFill="background1"/>
      </w:tcPr>
    </w:tblStylePr>
    <w:tblStylePr w:type="band1Vert">
      <w:tblPr/>
      <w:trPr>
        <w:hidden/>
      </w:trPr>
      <w:tcPr>
        <w:shd w:val="clear" w:color="auto" w:fill="E5DFEC" w:themeFill="accent4" w:themeFillTint="33"/>
      </w:tcPr>
    </w:tblStylePr>
    <w:tblStylePr w:type="band1Horz">
      <w:tblPr/>
      <w:trPr>
        <w:hidden/>
      </w:trPr>
      <w:tcPr>
        <w:shd w:val="clear" w:color="auto" w:fill="E5DFEC" w:themeFill="accent4" w:themeFillTint="33"/>
      </w:tcPr>
    </w:tblStylePr>
    <w:tblStylePr w:type="neCell">
      <w:tblPr/>
      <w:trPr>
        <w:hidden/>
      </w:trPr>
      <w:tcPr>
        <w:tcBorders>
          <w:bottom w:val="single" w:sz="4" w:space="0" w:color="B2A1C7" w:themeColor="accent4" w:themeTint="99"/>
        </w:tcBorders>
      </w:tcPr>
    </w:tblStylePr>
    <w:tblStylePr w:type="nwCell">
      <w:tblPr/>
      <w:trPr>
        <w:hidden/>
      </w:trPr>
      <w:tcPr>
        <w:tcBorders>
          <w:bottom w:val="single" w:sz="4" w:space="0" w:color="B2A1C7" w:themeColor="accent4" w:themeTint="99"/>
        </w:tcBorders>
      </w:tcPr>
    </w:tblStylePr>
    <w:tblStylePr w:type="seCell">
      <w:tblPr/>
      <w:trPr>
        <w:hidden/>
      </w:trPr>
      <w:tcPr>
        <w:tcBorders>
          <w:top w:val="single" w:sz="4" w:space="0" w:color="B2A1C7" w:themeColor="accent4" w:themeTint="99"/>
        </w:tcBorders>
      </w:tcPr>
    </w:tblStylePr>
    <w:tblStylePr w:type="swCell">
      <w:tblPr/>
      <w:trPr>
        <w:hidden/>
      </w:trPr>
      <w:tcPr>
        <w:tcBorders>
          <w:top w:val="single" w:sz="4" w:space="0" w:color="B2A1C7" w:themeColor="accent4" w:themeTint="99"/>
        </w:tcBorders>
      </w:tcPr>
    </w:tblStylePr>
  </w:style>
  <w:style w:type="table" w:styleId="GridTable7Colorful-Accent5">
    <w:name w:val="Grid Table 7 Colorful Accent 5"/>
    <w:basedOn w:val="TableNormal"/>
    <w:uiPriority w:val="52"/>
    <w:rsid w:val="00150F71"/>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rPr>
      <w:hidden/>
    </w:trPr>
    <w:tblStylePr w:type="firstRow">
      <w:rPr>
        <w:b/>
        <w:bCs/>
      </w:rPr>
      <w:tblPr/>
      <w:trPr>
        <w:hidden/>
      </w:trPr>
      <w:tcPr>
        <w:tcBorders>
          <w:top w:val="nil"/>
          <w:left w:val="nil"/>
          <w:right w:val="nil"/>
          <w:insideH w:val="nil"/>
          <w:insideV w:val="nil"/>
        </w:tcBorders>
        <w:shd w:val="clear" w:color="auto" w:fill="FFFFFF" w:themeFill="background1"/>
      </w:tcPr>
    </w:tblStylePr>
    <w:tblStylePr w:type="lastRow">
      <w:rPr>
        <w:b/>
        <w:bCs/>
      </w:rPr>
      <w:tblPr/>
      <w:trPr>
        <w:hidden/>
      </w:trPr>
      <w:tcPr>
        <w:tcBorders>
          <w:left w:val="nil"/>
          <w:bottom w:val="nil"/>
          <w:right w:val="nil"/>
          <w:insideH w:val="nil"/>
          <w:insideV w:val="nil"/>
        </w:tcBorders>
        <w:shd w:val="clear" w:color="auto" w:fill="FFFFFF" w:themeFill="background1"/>
      </w:tcPr>
    </w:tblStylePr>
    <w:tblStylePr w:type="firstCol">
      <w:pPr>
        <w:jc w:val="right"/>
      </w:pPr>
      <w:rPr>
        <w:i/>
        <w:iCs/>
      </w:rPr>
      <w:tblPr/>
      <w:trPr>
        <w:hidden/>
      </w:trPr>
      <w:tcPr>
        <w:tcBorders>
          <w:top w:val="nil"/>
          <w:left w:val="nil"/>
          <w:bottom w:val="nil"/>
          <w:insideH w:val="nil"/>
          <w:insideV w:val="nil"/>
        </w:tcBorders>
        <w:shd w:val="clear" w:color="auto" w:fill="FFFFFF" w:themeFill="background1"/>
      </w:tcPr>
    </w:tblStylePr>
    <w:tblStylePr w:type="lastCol">
      <w:rPr>
        <w:i/>
        <w:iCs/>
      </w:rPr>
      <w:tblPr/>
      <w:trPr>
        <w:hidden/>
      </w:trPr>
      <w:tcPr>
        <w:tcBorders>
          <w:top w:val="nil"/>
          <w:bottom w:val="nil"/>
          <w:right w:val="nil"/>
          <w:insideH w:val="nil"/>
          <w:insideV w:val="nil"/>
        </w:tcBorders>
        <w:shd w:val="clear" w:color="auto" w:fill="FFFFFF" w:themeFill="background1"/>
      </w:tcPr>
    </w:tblStylePr>
    <w:tblStylePr w:type="band1Vert">
      <w:tblPr/>
      <w:trPr>
        <w:hidden/>
      </w:trPr>
      <w:tcPr>
        <w:shd w:val="clear" w:color="auto" w:fill="DAEEF3" w:themeFill="accent5" w:themeFillTint="33"/>
      </w:tcPr>
    </w:tblStylePr>
    <w:tblStylePr w:type="band1Horz">
      <w:tblPr/>
      <w:trPr>
        <w:hidden/>
      </w:trPr>
      <w:tcPr>
        <w:shd w:val="clear" w:color="auto" w:fill="DAEEF3" w:themeFill="accent5" w:themeFillTint="33"/>
      </w:tcPr>
    </w:tblStylePr>
    <w:tblStylePr w:type="neCell">
      <w:tblPr/>
      <w:trPr>
        <w:hidden/>
      </w:trPr>
      <w:tcPr>
        <w:tcBorders>
          <w:bottom w:val="single" w:sz="4" w:space="0" w:color="92CDDC" w:themeColor="accent5" w:themeTint="99"/>
        </w:tcBorders>
      </w:tcPr>
    </w:tblStylePr>
    <w:tblStylePr w:type="nwCell">
      <w:tblPr/>
      <w:trPr>
        <w:hidden/>
      </w:trPr>
      <w:tcPr>
        <w:tcBorders>
          <w:bottom w:val="single" w:sz="4" w:space="0" w:color="92CDDC" w:themeColor="accent5" w:themeTint="99"/>
        </w:tcBorders>
      </w:tcPr>
    </w:tblStylePr>
    <w:tblStylePr w:type="seCell">
      <w:tblPr/>
      <w:trPr>
        <w:hidden/>
      </w:trPr>
      <w:tcPr>
        <w:tcBorders>
          <w:top w:val="single" w:sz="4" w:space="0" w:color="92CDDC" w:themeColor="accent5" w:themeTint="99"/>
        </w:tcBorders>
      </w:tcPr>
    </w:tblStylePr>
    <w:tblStylePr w:type="swCell">
      <w:tblPr/>
      <w:trPr>
        <w:hidden/>
      </w:trPr>
      <w:tcPr>
        <w:tcBorders>
          <w:top w:val="single" w:sz="4" w:space="0" w:color="92CDDC" w:themeColor="accent5" w:themeTint="99"/>
        </w:tcBorders>
      </w:tcPr>
    </w:tblStylePr>
  </w:style>
  <w:style w:type="table" w:styleId="GridTable7Colorful-Accent6">
    <w:name w:val="Grid Table 7 Colorful Accent 6"/>
    <w:basedOn w:val="TableNormal"/>
    <w:uiPriority w:val="52"/>
    <w:rsid w:val="00150F71"/>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rPr>
      <w:hidden/>
    </w:trPr>
    <w:tblStylePr w:type="firstRow">
      <w:rPr>
        <w:b/>
        <w:bCs/>
      </w:rPr>
      <w:tblPr/>
      <w:trPr>
        <w:hidden/>
      </w:trPr>
      <w:tcPr>
        <w:tcBorders>
          <w:top w:val="nil"/>
          <w:left w:val="nil"/>
          <w:right w:val="nil"/>
          <w:insideH w:val="nil"/>
          <w:insideV w:val="nil"/>
        </w:tcBorders>
        <w:shd w:val="clear" w:color="auto" w:fill="FFFFFF" w:themeFill="background1"/>
      </w:tcPr>
    </w:tblStylePr>
    <w:tblStylePr w:type="lastRow">
      <w:rPr>
        <w:b/>
        <w:bCs/>
      </w:rPr>
      <w:tblPr/>
      <w:trPr>
        <w:hidden/>
      </w:trPr>
      <w:tcPr>
        <w:tcBorders>
          <w:left w:val="nil"/>
          <w:bottom w:val="nil"/>
          <w:right w:val="nil"/>
          <w:insideH w:val="nil"/>
          <w:insideV w:val="nil"/>
        </w:tcBorders>
        <w:shd w:val="clear" w:color="auto" w:fill="FFFFFF" w:themeFill="background1"/>
      </w:tcPr>
    </w:tblStylePr>
    <w:tblStylePr w:type="firstCol">
      <w:pPr>
        <w:jc w:val="right"/>
      </w:pPr>
      <w:rPr>
        <w:i/>
        <w:iCs/>
      </w:rPr>
      <w:tblPr/>
      <w:trPr>
        <w:hidden/>
      </w:trPr>
      <w:tcPr>
        <w:tcBorders>
          <w:top w:val="nil"/>
          <w:left w:val="nil"/>
          <w:bottom w:val="nil"/>
          <w:insideH w:val="nil"/>
          <w:insideV w:val="nil"/>
        </w:tcBorders>
        <w:shd w:val="clear" w:color="auto" w:fill="FFFFFF" w:themeFill="background1"/>
      </w:tcPr>
    </w:tblStylePr>
    <w:tblStylePr w:type="lastCol">
      <w:rPr>
        <w:i/>
        <w:iCs/>
      </w:rPr>
      <w:tblPr/>
      <w:trPr>
        <w:hidden/>
      </w:trPr>
      <w:tcPr>
        <w:tcBorders>
          <w:top w:val="nil"/>
          <w:bottom w:val="nil"/>
          <w:right w:val="nil"/>
          <w:insideH w:val="nil"/>
          <w:insideV w:val="nil"/>
        </w:tcBorders>
        <w:shd w:val="clear" w:color="auto" w:fill="FFFFFF" w:themeFill="background1"/>
      </w:tcPr>
    </w:tblStylePr>
    <w:tblStylePr w:type="band1Vert">
      <w:tblPr/>
      <w:trPr>
        <w:hidden/>
      </w:trPr>
      <w:tcPr>
        <w:shd w:val="clear" w:color="auto" w:fill="FDE9D9" w:themeFill="accent6" w:themeFillTint="33"/>
      </w:tcPr>
    </w:tblStylePr>
    <w:tblStylePr w:type="band1Horz">
      <w:tblPr/>
      <w:trPr>
        <w:hidden/>
      </w:trPr>
      <w:tcPr>
        <w:shd w:val="clear" w:color="auto" w:fill="FDE9D9" w:themeFill="accent6" w:themeFillTint="33"/>
      </w:tcPr>
    </w:tblStylePr>
    <w:tblStylePr w:type="neCell">
      <w:tblPr/>
      <w:trPr>
        <w:hidden/>
      </w:trPr>
      <w:tcPr>
        <w:tcBorders>
          <w:bottom w:val="single" w:sz="4" w:space="0" w:color="FABF8F" w:themeColor="accent6" w:themeTint="99"/>
        </w:tcBorders>
      </w:tcPr>
    </w:tblStylePr>
    <w:tblStylePr w:type="nwCell">
      <w:tblPr/>
      <w:trPr>
        <w:hidden/>
      </w:trPr>
      <w:tcPr>
        <w:tcBorders>
          <w:bottom w:val="single" w:sz="4" w:space="0" w:color="FABF8F" w:themeColor="accent6" w:themeTint="99"/>
        </w:tcBorders>
      </w:tcPr>
    </w:tblStylePr>
    <w:tblStylePr w:type="seCell">
      <w:tblPr/>
      <w:trPr>
        <w:hidden/>
      </w:trPr>
      <w:tcPr>
        <w:tcBorders>
          <w:top w:val="single" w:sz="4" w:space="0" w:color="FABF8F" w:themeColor="accent6" w:themeTint="99"/>
        </w:tcBorders>
      </w:tcPr>
    </w:tblStylePr>
    <w:tblStylePr w:type="swCell">
      <w:tblPr/>
      <w:trPr>
        <w:hidden/>
      </w:trPr>
      <w:tcPr>
        <w:tcBorders>
          <w:top w:val="single" w:sz="4" w:space="0" w:color="FABF8F" w:themeColor="accent6" w:themeTint="99"/>
        </w:tcBorders>
      </w:tcPr>
    </w:tblStylePr>
  </w:style>
  <w:style w:type="character" w:customStyle="1" w:styleId="Hashtag1">
    <w:name w:val="Hashtag1"/>
    <w:basedOn w:val="DefaultParagraphFont"/>
    <w:uiPriority w:val="99"/>
    <w:semiHidden/>
    <w:unhideWhenUsed/>
    <w:rsid w:val="00150F71"/>
    <w:rPr>
      <w:color w:val="2B579A"/>
      <w:shd w:val="clear" w:color="auto" w:fill="E1DFDD"/>
    </w:rPr>
  </w:style>
  <w:style w:type="table" w:styleId="ListTable1Light">
    <w:name w:val="List Table 1 Light"/>
    <w:basedOn w:val="TableNormal"/>
    <w:uiPriority w:val="46"/>
    <w:rsid w:val="00150F71"/>
    <w:tblPr>
      <w:tblStyleRowBandSize w:val="1"/>
      <w:tblStyleColBandSize w:val="1"/>
    </w:tblPr>
    <w:trPr>
      <w:hidden/>
    </w:trPr>
    <w:tblStylePr w:type="firstRow">
      <w:rPr>
        <w:b/>
        <w:bCs/>
      </w:rPr>
      <w:tblPr/>
      <w:trPr>
        <w:hidden/>
      </w:trPr>
      <w:tcPr>
        <w:tcBorders>
          <w:bottom w:val="single" w:sz="4" w:space="0" w:color="666666" w:themeColor="text1" w:themeTint="99"/>
        </w:tcBorders>
      </w:tcPr>
    </w:tblStylePr>
    <w:tblStylePr w:type="lastRow">
      <w:rPr>
        <w:b/>
        <w:bCs/>
      </w:rPr>
      <w:tblPr/>
      <w:trPr>
        <w:hidden/>
      </w:trPr>
      <w:tcPr>
        <w:tcBorders>
          <w:top w:val="single" w:sz="4" w:space="0" w:color="666666" w:themeColor="text1" w:themeTint="99"/>
        </w:tcBorders>
      </w:tcPr>
    </w:tblStylePr>
    <w:tblStylePr w:type="firstCol">
      <w:rPr>
        <w:b/>
        <w:bCs/>
      </w:rPr>
    </w:tblStylePr>
    <w:tblStylePr w:type="lastCol">
      <w:rPr>
        <w:b/>
        <w:bCs/>
      </w:rPr>
    </w:tblStylePr>
    <w:tblStylePr w:type="band1Vert">
      <w:tblPr/>
      <w:trPr>
        <w:hidden/>
      </w:trPr>
      <w:tcPr>
        <w:shd w:val="clear" w:color="auto" w:fill="CCCCCC" w:themeFill="text1" w:themeFillTint="33"/>
      </w:tcPr>
    </w:tblStylePr>
    <w:tblStylePr w:type="band1Horz">
      <w:tblPr/>
      <w:trPr>
        <w:hidden/>
      </w:trPr>
      <w:tcPr>
        <w:shd w:val="clear" w:color="auto" w:fill="CCCCCC" w:themeFill="text1" w:themeFillTint="33"/>
      </w:tcPr>
    </w:tblStylePr>
  </w:style>
  <w:style w:type="table" w:styleId="ListTable1Light-Accent1">
    <w:name w:val="List Table 1 Light Accent 1"/>
    <w:basedOn w:val="TableNormal"/>
    <w:uiPriority w:val="46"/>
    <w:rsid w:val="00150F71"/>
    <w:tblPr>
      <w:tblStyleRowBandSize w:val="1"/>
      <w:tblStyleColBandSize w:val="1"/>
    </w:tblPr>
    <w:trPr>
      <w:hidden/>
    </w:trPr>
    <w:tblStylePr w:type="firstRow">
      <w:rPr>
        <w:b/>
        <w:bCs/>
      </w:rPr>
      <w:tblPr/>
      <w:trPr>
        <w:hidden/>
      </w:trPr>
      <w:tcPr>
        <w:tcBorders>
          <w:bottom w:val="single" w:sz="4" w:space="0" w:color="95B3D7" w:themeColor="accent1" w:themeTint="99"/>
        </w:tcBorders>
      </w:tcPr>
    </w:tblStylePr>
    <w:tblStylePr w:type="lastRow">
      <w:rPr>
        <w:b/>
        <w:bCs/>
      </w:rPr>
      <w:tblPr/>
      <w:trPr>
        <w:hidden/>
      </w:trPr>
      <w:tcPr>
        <w:tcBorders>
          <w:top w:val="single" w:sz="4" w:space="0" w:color="95B3D7" w:themeColor="accent1" w:themeTint="99"/>
        </w:tcBorders>
      </w:tcPr>
    </w:tblStylePr>
    <w:tblStylePr w:type="firstCol">
      <w:rPr>
        <w:b/>
        <w:bCs/>
      </w:rPr>
    </w:tblStylePr>
    <w:tblStylePr w:type="lastCol">
      <w:rPr>
        <w:b/>
        <w:bCs/>
      </w:rPr>
    </w:tblStylePr>
    <w:tblStylePr w:type="band1Vert">
      <w:tblPr/>
      <w:trPr>
        <w:hidden/>
      </w:trPr>
      <w:tcPr>
        <w:shd w:val="clear" w:color="auto" w:fill="DBE5F1" w:themeFill="accent1" w:themeFillTint="33"/>
      </w:tcPr>
    </w:tblStylePr>
    <w:tblStylePr w:type="band1Horz">
      <w:tblPr/>
      <w:trPr>
        <w:hidden/>
      </w:trPr>
      <w:tcPr>
        <w:shd w:val="clear" w:color="auto" w:fill="DBE5F1" w:themeFill="accent1" w:themeFillTint="33"/>
      </w:tcPr>
    </w:tblStylePr>
  </w:style>
  <w:style w:type="table" w:styleId="ListTable1Light-Accent2">
    <w:name w:val="List Table 1 Light Accent 2"/>
    <w:basedOn w:val="TableNormal"/>
    <w:uiPriority w:val="46"/>
    <w:rsid w:val="00150F71"/>
    <w:tblPr>
      <w:tblStyleRowBandSize w:val="1"/>
      <w:tblStyleColBandSize w:val="1"/>
    </w:tblPr>
    <w:trPr>
      <w:hidden/>
    </w:trPr>
    <w:tblStylePr w:type="firstRow">
      <w:rPr>
        <w:b/>
        <w:bCs/>
      </w:rPr>
      <w:tblPr/>
      <w:trPr>
        <w:hidden/>
      </w:trPr>
      <w:tcPr>
        <w:tcBorders>
          <w:bottom w:val="single" w:sz="4" w:space="0" w:color="D99594" w:themeColor="accent2" w:themeTint="99"/>
        </w:tcBorders>
      </w:tcPr>
    </w:tblStylePr>
    <w:tblStylePr w:type="lastRow">
      <w:rPr>
        <w:b/>
        <w:bCs/>
      </w:rPr>
      <w:tblPr/>
      <w:trPr>
        <w:hidden/>
      </w:trPr>
      <w:tcPr>
        <w:tcBorders>
          <w:top w:val="single" w:sz="4" w:space="0" w:color="D99594" w:themeColor="accent2" w:themeTint="99"/>
        </w:tcBorders>
      </w:tcPr>
    </w:tblStylePr>
    <w:tblStylePr w:type="firstCol">
      <w:rPr>
        <w:b/>
        <w:bCs/>
      </w:rPr>
    </w:tblStylePr>
    <w:tblStylePr w:type="lastCol">
      <w:rPr>
        <w:b/>
        <w:bCs/>
      </w:rPr>
    </w:tblStylePr>
    <w:tblStylePr w:type="band1Vert">
      <w:tblPr/>
      <w:trPr>
        <w:hidden/>
      </w:trPr>
      <w:tcPr>
        <w:shd w:val="clear" w:color="auto" w:fill="F2DBDB" w:themeFill="accent2" w:themeFillTint="33"/>
      </w:tcPr>
    </w:tblStylePr>
    <w:tblStylePr w:type="band1Horz">
      <w:tblPr/>
      <w:trPr>
        <w:hidden/>
      </w:trPr>
      <w:tcPr>
        <w:shd w:val="clear" w:color="auto" w:fill="F2DBDB" w:themeFill="accent2" w:themeFillTint="33"/>
      </w:tcPr>
    </w:tblStylePr>
  </w:style>
  <w:style w:type="table" w:styleId="ListTable1Light-Accent3">
    <w:name w:val="List Table 1 Light Accent 3"/>
    <w:basedOn w:val="TableNormal"/>
    <w:uiPriority w:val="46"/>
    <w:rsid w:val="00150F71"/>
    <w:tblPr>
      <w:tblStyleRowBandSize w:val="1"/>
      <w:tblStyleColBandSize w:val="1"/>
    </w:tblPr>
    <w:trPr>
      <w:hidden/>
    </w:trPr>
    <w:tblStylePr w:type="firstRow">
      <w:rPr>
        <w:b/>
        <w:bCs/>
      </w:rPr>
      <w:tblPr/>
      <w:trPr>
        <w:hidden/>
      </w:trPr>
      <w:tcPr>
        <w:tcBorders>
          <w:bottom w:val="single" w:sz="4" w:space="0" w:color="C2D69B" w:themeColor="accent3" w:themeTint="99"/>
        </w:tcBorders>
      </w:tcPr>
    </w:tblStylePr>
    <w:tblStylePr w:type="lastRow">
      <w:rPr>
        <w:b/>
        <w:bCs/>
      </w:rPr>
      <w:tblPr/>
      <w:trPr>
        <w:hidden/>
      </w:trPr>
      <w:tcPr>
        <w:tcBorders>
          <w:top w:val="single" w:sz="4" w:space="0" w:color="C2D69B" w:themeColor="accent3" w:themeTint="99"/>
        </w:tcBorders>
      </w:tcPr>
    </w:tblStylePr>
    <w:tblStylePr w:type="firstCol">
      <w:rPr>
        <w:b/>
        <w:bCs/>
      </w:rPr>
    </w:tblStylePr>
    <w:tblStylePr w:type="lastCol">
      <w:rPr>
        <w:b/>
        <w:bCs/>
      </w:rPr>
    </w:tblStylePr>
    <w:tblStylePr w:type="band1Vert">
      <w:tblPr/>
      <w:trPr>
        <w:hidden/>
      </w:trPr>
      <w:tcPr>
        <w:shd w:val="clear" w:color="auto" w:fill="EAF1DD" w:themeFill="accent3" w:themeFillTint="33"/>
      </w:tcPr>
    </w:tblStylePr>
    <w:tblStylePr w:type="band1Horz">
      <w:tblPr/>
      <w:trPr>
        <w:hidden/>
      </w:trPr>
      <w:tcPr>
        <w:shd w:val="clear" w:color="auto" w:fill="EAF1DD" w:themeFill="accent3" w:themeFillTint="33"/>
      </w:tcPr>
    </w:tblStylePr>
  </w:style>
  <w:style w:type="table" w:styleId="ListTable1Light-Accent4">
    <w:name w:val="List Table 1 Light Accent 4"/>
    <w:basedOn w:val="TableNormal"/>
    <w:uiPriority w:val="46"/>
    <w:rsid w:val="00150F71"/>
    <w:tblPr>
      <w:tblStyleRowBandSize w:val="1"/>
      <w:tblStyleColBandSize w:val="1"/>
    </w:tblPr>
    <w:trPr>
      <w:hidden/>
    </w:trPr>
    <w:tblStylePr w:type="firstRow">
      <w:rPr>
        <w:b/>
        <w:bCs/>
      </w:rPr>
      <w:tblPr/>
      <w:trPr>
        <w:hidden/>
      </w:trPr>
      <w:tcPr>
        <w:tcBorders>
          <w:bottom w:val="single" w:sz="4" w:space="0" w:color="B2A1C7" w:themeColor="accent4" w:themeTint="99"/>
        </w:tcBorders>
      </w:tcPr>
    </w:tblStylePr>
    <w:tblStylePr w:type="lastRow">
      <w:rPr>
        <w:b/>
        <w:bCs/>
      </w:rPr>
      <w:tblPr/>
      <w:trPr>
        <w:hidden/>
      </w:trPr>
      <w:tcPr>
        <w:tcBorders>
          <w:top w:val="single" w:sz="4" w:space="0" w:color="B2A1C7" w:themeColor="accent4" w:themeTint="99"/>
        </w:tcBorders>
      </w:tcPr>
    </w:tblStylePr>
    <w:tblStylePr w:type="firstCol">
      <w:rPr>
        <w:b/>
        <w:bCs/>
      </w:rPr>
    </w:tblStylePr>
    <w:tblStylePr w:type="lastCol">
      <w:rPr>
        <w:b/>
        <w:bCs/>
      </w:rPr>
    </w:tblStylePr>
    <w:tblStylePr w:type="band1Vert">
      <w:tblPr/>
      <w:trPr>
        <w:hidden/>
      </w:trPr>
      <w:tcPr>
        <w:shd w:val="clear" w:color="auto" w:fill="E5DFEC" w:themeFill="accent4" w:themeFillTint="33"/>
      </w:tcPr>
    </w:tblStylePr>
    <w:tblStylePr w:type="band1Horz">
      <w:tblPr/>
      <w:trPr>
        <w:hidden/>
      </w:trPr>
      <w:tcPr>
        <w:shd w:val="clear" w:color="auto" w:fill="E5DFEC" w:themeFill="accent4" w:themeFillTint="33"/>
      </w:tcPr>
    </w:tblStylePr>
  </w:style>
  <w:style w:type="table" w:styleId="ListTable1Light-Accent5">
    <w:name w:val="List Table 1 Light Accent 5"/>
    <w:basedOn w:val="TableNormal"/>
    <w:uiPriority w:val="46"/>
    <w:rsid w:val="00150F71"/>
    <w:tblPr>
      <w:tblStyleRowBandSize w:val="1"/>
      <w:tblStyleColBandSize w:val="1"/>
    </w:tblPr>
    <w:trPr>
      <w:hidden/>
    </w:trPr>
    <w:tblStylePr w:type="firstRow">
      <w:rPr>
        <w:b/>
        <w:bCs/>
      </w:rPr>
      <w:tblPr/>
      <w:trPr>
        <w:hidden/>
      </w:trPr>
      <w:tcPr>
        <w:tcBorders>
          <w:bottom w:val="single" w:sz="4" w:space="0" w:color="92CDDC" w:themeColor="accent5" w:themeTint="99"/>
        </w:tcBorders>
      </w:tcPr>
    </w:tblStylePr>
    <w:tblStylePr w:type="lastRow">
      <w:rPr>
        <w:b/>
        <w:bCs/>
      </w:rPr>
      <w:tblPr/>
      <w:trPr>
        <w:hidden/>
      </w:trPr>
      <w:tcPr>
        <w:tcBorders>
          <w:top w:val="single" w:sz="4" w:space="0" w:color="92CDDC" w:themeColor="accent5" w:themeTint="99"/>
        </w:tcBorders>
      </w:tcPr>
    </w:tblStylePr>
    <w:tblStylePr w:type="firstCol">
      <w:rPr>
        <w:b/>
        <w:bCs/>
      </w:rPr>
    </w:tblStylePr>
    <w:tblStylePr w:type="lastCol">
      <w:rPr>
        <w:b/>
        <w:bCs/>
      </w:rPr>
    </w:tblStylePr>
    <w:tblStylePr w:type="band1Vert">
      <w:tblPr/>
      <w:trPr>
        <w:hidden/>
      </w:trPr>
      <w:tcPr>
        <w:shd w:val="clear" w:color="auto" w:fill="DAEEF3" w:themeFill="accent5" w:themeFillTint="33"/>
      </w:tcPr>
    </w:tblStylePr>
    <w:tblStylePr w:type="band1Horz">
      <w:tblPr/>
      <w:trPr>
        <w:hidden/>
      </w:trPr>
      <w:tcPr>
        <w:shd w:val="clear" w:color="auto" w:fill="DAEEF3" w:themeFill="accent5" w:themeFillTint="33"/>
      </w:tcPr>
    </w:tblStylePr>
  </w:style>
  <w:style w:type="table" w:styleId="ListTable1Light-Accent6">
    <w:name w:val="List Table 1 Light Accent 6"/>
    <w:basedOn w:val="TableNormal"/>
    <w:uiPriority w:val="46"/>
    <w:rsid w:val="00150F71"/>
    <w:tblPr>
      <w:tblStyleRowBandSize w:val="1"/>
      <w:tblStyleColBandSize w:val="1"/>
    </w:tblPr>
    <w:trPr>
      <w:hidden/>
    </w:trPr>
    <w:tblStylePr w:type="firstRow">
      <w:rPr>
        <w:b/>
        <w:bCs/>
      </w:rPr>
      <w:tblPr/>
      <w:trPr>
        <w:hidden/>
      </w:trPr>
      <w:tcPr>
        <w:tcBorders>
          <w:bottom w:val="single" w:sz="4" w:space="0" w:color="FABF8F" w:themeColor="accent6" w:themeTint="99"/>
        </w:tcBorders>
      </w:tcPr>
    </w:tblStylePr>
    <w:tblStylePr w:type="lastRow">
      <w:rPr>
        <w:b/>
        <w:bCs/>
      </w:rPr>
      <w:tblPr/>
      <w:trPr>
        <w:hidden/>
      </w:trPr>
      <w:tcPr>
        <w:tcBorders>
          <w:top w:val="single" w:sz="4" w:space="0" w:color="FABF8F" w:themeColor="accent6" w:themeTint="99"/>
        </w:tcBorders>
      </w:tcPr>
    </w:tblStylePr>
    <w:tblStylePr w:type="firstCol">
      <w:rPr>
        <w:b/>
        <w:bCs/>
      </w:rPr>
    </w:tblStylePr>
    <w:tblStylePr w:type="lastCol">
      <w:rPr>
        <w:b/>
        <w:bCs/>
      </w:rPr>
    </w:tblStylePr>
    <w:tblStylePr w:type="band1Vert">
      <w:tblPr/>
      <w:trPr>
        <w:hidden/>
      </w:trPr>
      <w:tcPr>
        <w:shd w:val="clear" w:color="auto" w:fill="FDE9D9" w:themeFill="accent6" w:themeFillTint="33"/>
      </w:tcPr>
    </w:tblStylePr>
    <w:tblStylePr w:type="band1Horz">
      <w:tblPr/>
      <w:trPr>
        <w:hidden/>
      </w:trPr>
      <w:tcPr>
        <w:shd w:val="clear" w:color="auto" w:fill="FDE9D9" w:themeFill="accent6" w:themeFillTint="33"/>
      </w:tcPr>
    </w:tblStylePr>
  </w:style>
  <w:style w:type="table" w:styleId="ListTable2">
    <w:name w:val="List Table 2"/>
    <w:basedOn w:val="TableNormal"/>
    <w:uiPriority w:val="47"/>
    <w:rsid w:val="00150F71"/>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rPr>
      <w:hidden/>
    </w:trPr>
    <w:tblStylePr w:type="firstRow">
      <w:rPr>
        <w:b/>
        <w:bCs/>
      </w:rPr>
    </w:tblStylePr>
    <w:tblStylePr w:type="lastRow">
      <w:rPr>
        <w:b/>
        <w:bCs/>
      </w:rPr>
    </w:tblStylePr>
    <w:tblStylePr w:type="firstCol">
      <w:rPr>
        <w:b/>
        <w:bCs/>
      </w:rPr>
    </w:tblStylePr>
    <w:tblStylePr w:type="lastCol">
      <w:rPr>
        <w:b/>
        <w:bCs/>
      </w:rPr>
    </w:tblStylePr>
    <w:tblStylePr w:type="band1Vert">
      <w:tblPr/>
      <w:trPr>
        <w:hidden/>
      </w:trPr>
      <w:tcPr>
        <w:shd w:val="clear" w:color="auto" w:fill="CCCCCC" w:themeFill="text1" w:themeFillTint="33"/>
      </w:tcPr>
    </w:tblStylePr>
    <w:tblStylePr w:type="band1Horz">
      <w:tblPr/>
      <w:trPr>
        <w:hidden/>
      </w:trPr>
      <w:tcPr>
        <w:shd w:val="clear" w:color="auto" w:fill="CCCCCC" w:themeFill="text1" w:themeFillTint="33"/>
      </w:tcPr>
    </w:tblStylePr>
  </w:style>
  <w:style w:type="table" w:styleId="ListTable2-Accent1">
    <w:name w:val="List Table 2 Accent 1"/>
    <w:basedOn w:val="TableNormal"/>
    <w:uiPriority w:val="47"/>
    <w:rsid w:val="00150F71"/>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rPr>
      <w:hidden/>
    </w:trPr>
    <w:tblStylePr w:type="firstRow">
      <w:rPr>
        <w:b/>
        <w:bCs/>
      </w:rPr>
    </w:tblStylePr>
    <w:tblStylePr w:type="lastRow">
      <w:rPr>
        <w:b/>
        <w:bCs/>
      </w:rPr>
    </w:tblStylePr>
    <w:tblStylePr w:type="firstCol">
      <w:rPr>
        <w:b/>
        <w:bCs/>
      </w:rPr>
    </w:tblStylePr>
    <w:tblStylePr w:type="lastCol">
      <w:rPr>
        <w:b/>
        <w:bCs/>
      </w:rPr>
    </w:tblStylePr>
    <w:tblStylePr w:type="band1Vert">
      <w:tblPr/>
      <w:trPr>
        <w:hidden/>
      </w:trPr>
      <w:tcPr>
        <w:shd w:val="clear" w:color="auto" w:fill="DBE5F1" w:themeFill="accent1" w:themeFillTint="33"/>
      </w:tcPr>
    </w:tblStylePr>
    <w:tblStylePr w:type="band1Horz">
      <w:tblPr/>
      <w:trPr>
        <w:hidden/>
      </w:trPr>
      <w:tcPr>
        <w:shd w:val="clear" w:color="auto" w:fill="DBE5F1" w:themeFill="accent1" w:themeFillTint="33"/>
      </w:tcPr>
    </w:tblStylePr>
  </w:style>
  <w:style w:type="table" w:styleId="ListTable2-Accent2">
    <w:name w:val="List Table 2 Accent 2"/>
    <w:basedOn w:val="TableNormal"/>
    <w:uiPriority w:val="47"/>
    <w:rsid w:val="00150F71"/>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rPr>
      <w:hidden/>
    </w:trPr>
    <w:tblStylePr w:type="firstRow">
      <w:rPr>
        <w:b/>
        <w:bCs/>
      </w:rPr>
    </w:tblStylePr>
    <w:tblStylePr w:type="lastRow">
      <w:rPr>
        <w:b/>
        <w:bCs/>
      </w:rPr>
    </w:tblStylePr>
    <w:tblStylePr w:type="firstCol">
      <w:rPr>
        <w:b/>
        <w:bCs/>
      </w:rPr>
    </w:tblStylePr>
    <w:tblStylePr w:type="lastCol">
      <w:rPr>
        <w:b/>
        <w:bCs/>
      </w:rPr>
    </w:tblStylePr>
    <w:tblStylePr w:type="band1Vert">
      <w:tblPr/>
      <w:trPr>
        <w:hidden/>
      </w:trPr>
      <w:tcPr>
        <w:shd w:val="clear" w:color="auto" w:fill="F2DBDB" w:themeFill="accent2" w:themeFillTint="33"/>
      </w:tcPr>
    </w:tblStylePr>
    <w:tblStylePr w:type="band1Horz">
      <w:tblPr/>
      <w:trPr>
        <w:hidden/>
      </w:trPr>
      <w:tcPr>
        <w:shd w:val="clear" w:color="auto" w:fill="F2DBDB" w:themeFill="accent2" w:themeFillTint="33"/>
      </w:tcPr>
    </w:tblStylePr>
  </w:style>
  <w:style w:type="table" w:styleId="ListTable2-Accent3">
    <w:name w:val="List Table 2 Accent 3"/>
    <w:basedOn w:val="TableNormal"/>
    <w:uiPriority w:val="47"/>
    <w:rsid w:val="00150F71"/>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rPr>
      <w:hidden/>
    </w:trPr>
    <w:tblStylePr w:type="firstRow">
      <w:rPr>
        <w:b/>
        <w:bCs/>
      </w:rPr>
    </w:tblStylePr>
    <w:tblStylePr w:type="lastRow">
      <w:rPr>
        <w:b/>
        <w:bCs/>
      </w:rPr>
    </w:tblStylePr>
    <w:tblStylePr w:type="firstCol">
      <w:rPr>
        <w:b/>
        <w:bCs/>
      </w:rPr>
    </w:tblStylePr>
    <w:tblStylePr w:type="lastCol">
      <w:rPr>
        <w:b/>
        <w:bCs/>
      </w:rPr>
    </w:tblStylePr>
    <w:tblStylePr w:type="band1Vert">
      <w:tblPr/>
      <w:trPr>
        <w:hidden/>
      </w:trPr>
      <w:tcPr>
        <w:shd w:val="clear" w:color="auto" w:fill="EAF1DD" w:themeFill="accent3" w:themeFillTint="33"/>
      </w:tcPr>
    </w:tblStylePr>
    <w:tblStylePr w:type="band1Horz">
      <w:tblPr/>
      <w:trPr>
        <w:hidden/>
      </w:trPr>
      <w:tcPr>
        <w:shd w:val="clear" w:color="auto" w:fill="EAF1DD" w:themeFill="accent3" w:themeFillTint="33"/>
      </w:tcPr>
    </w:tblStylePr>
  </w:style>
  <w:style w:type="table" w:styleId="ListTable2-Accent4">
    <w:name w:val="List Table 2 Accent 4"/>
    <w:basedOn w:val="TableNormal"/>
    <w:uiPriority w:val="47"/>
    <w:rsid w:val="00150F71"/>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rPr>
      <w:hidden/>
    </w:trPr>
    <w:tblStylePr w:type="firstRow">
      <w:rPr>
        <w:b/>
        <w:bCs/>
      </w:rPr>
    </w:tblStylePr>
    <w:tblStylePr w:type="lastRow">
      <w:rPr>
        <w:b/>
        <w:bCs/>
      </w:rPr>
    </w:tblStylePr>
    <w:tblStylePr w:type="firstCol">
      <w:rPr>
        <w:b/>
        <w:bCs/>
      </w:rPr>
    </w:tblStylePr>
    <w:tblStylePr w:type="lastCol">
      <w:rPr>
        <w:b/>
        <w:bCs/>
      </w:rPr>
    </w:tblStylePr>
    <w:tblStylePr w:type="band1Vert">
      <w:tblPr/>
      <w:trPr>
        <w:hidden/>
      </w:trPr>
      <w:tcPr>
        <w:shd w:val="clear" w:color="auto" w:fill="E5DFEC" w:themeFill="accent4" w:themeFillTint="33"/>
      </w:tcPr>
    </w:tblStylePr>
    <w:tblStylePr w:type="band1Horz">
      <w:tblPr/>
      <w:trPr>
        <w:hidden/>
      </w:trPr>
      <w:tcPr>
        <w:shd w:val="clear" w:color="auto" w:fill="E5DFEC" w:themeFill="accent4" w:themeFillTint="33"/>
      </w:tcPr>
    </w:tblStylePr>
  </w:style>
  <w:style w:type="table" w:styleId="ListTable2-Accent5">
    <w:name w:val="List Table 2 Accent 5"/>
    <w:basedOn w:val="TableNormal"/>
    <w:uiPriority w:val="47"/>
    <w:rsid w:val="00150F71"/>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rPr>
      <w:hidden/>
    </w:trPr>
    <w:tblStylePr w:type="firstRow">
      <w:rPr>
        <w:b/>
        <w:bCs/>
      </w:rPr>
    </w:tblStylePr>
    <w:tblStylePr w:type="lastRow">
      <w:rPr>
        <w:b/>
        <w:bCs/>
      </w:rPr>
    </w:tblStylePr>
    <w:tblStylePr w:type="firstCol">
      <w:rPr>
        <w:b/>
        <w:bCs/>
      </w:rPr>
    </w:tblStylePr>
    <w:tblStylePr w:type="lastCol">
      <w:rPr>
        <w:b/>
        <w:bCs/>
      </w:rPr>
    </w:tblStylePr>
    <w:tblStylePr w:type="band1Vert">
      <w:tblPr/>
      <w:trPr>
        <w:hidden/>
      </w:trPr>
      <w:tcPr>
        <w:shd w:val="clear" w:color="auto" w:fill="DAEEF3" w:themeFill="accent5" w:themeFillTint="33"/>
      </w:tcPr>
    </w:tblStylePr>
    <w:tblStylePr w:type="band1Horz">
      <w:tblPr/>
      <w:trPr>
        <w:hidden/>
      </w:trPr>
      <w:tcPr>
        <w:shd w:val="clear" w:color="auto" w:fill="DAEEF3" w:themeFill="accent5" w:themeFillTint="33"/>
      </w:tcPr>
    </w:tblStylePr>
  </w:style>
  <w:style w:type="table" w:styleId="ListTable2-Accent6">
    <w:name w:val="List Table 2 Accent 6"/>
    <w:basedOn w:val="TableNormal"/>
    <w:uiPriority w:val="47"/>
    <w:rsid w:val="00150F71"/>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rPr>
      <w:hidden/>
    </w:trPr>
    <w:tblStylePr w:type="firstRow">
      <w:rPr>
        <w:b/>
        <w:bCs/>
      </w:rPr>
    </w:tblStylePr>
    <w:tblStylePr w:type="lastRow">
      <w:rPr>
        <w:b/>
        <w:bCs/>
      </w:rPr>
    </w:tblStylePr>
    <w:tblStylePr w:type="firstCol">
      <w:rPr>
        <w:b/>
        <w:bCs/>
      </w:rPr>
    </w:tblStylePr>
    <w:tblStylePr w:type="lastCol">
      <w:rPr>
        <w:b/>
        <w:bCs/>
      </w:rPr>
    </w:tblStylePr>
    <w:tblStylePr w:type="band1Vert">
      <w:tblPr/>
      <w:trPr>
        <w:hidden/>
      </w:trPr>
      <w:tcPr>
        <w:shd w:val="clear" w:color="auto" w:fill="FDE9D9" w:themeFill="accent6" w:themeFillTint="33"/>
      </w:tcPr>
    </w:tblStylePr>
    <w:tblStylePr w:type="band1Horz">
      <w:tblPr/>
      <w:trPr>
        <w:hidden/>
      </w:trPr>
      <w:tcPr>
        <w:shd w:val="clear" w:color="auto" w:fill="FDE9D9" w:themeFill="accent6" w:themeFillTint="33"/>
      </w:tcPr>
    </w:tblStylePr>
  </w:style>
  <w:style w:type="table" w:styleId="ListTable3">
    <w:name w:val="List Table 3"/>
    <w:basedOn w:val="TableNormal"/>
    <w:uiPriority w:val="48"/>
    <w:rsid w:val="00150F71"/>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rPr>
      <w:hidden/>
    </w:trPr>
    <w:tblStylePr w:type="firstRow">
      <w:rPr>
        <w:b/>
        <w:bCs/>
        <w:color w:val="FFFFFF" w:themeColor="background1"/>
      </w:rPr>
      <w:tblPr/>
      <w:trPr>
        <w:hidden/>
      </w:trPr>
      <w:tcPr>
        <w:shd w:val="clear" w:color="auto" w:fill="000000" w:themeFill="text1"/>
      </w:tcPr>
    </w:tblStylePr>
    <w:tblStylePr w:type="lastRow">
      <w:rPr>
        <w:b/>
        <w:bCs/>
      </w:rPr>
      <w:tblPr/>
      <w:trPr>
        <w:hidden/>
      </w:trPr>
      <w:tcPr>
        <w:tcBorders>
          <w:top w:val="double" w:sz="4" w:space="0" w:color="000000" w:themeColor="text1"/>
        </w:tcBorders>
        <w:shd w:val="clear" w:color="auto" w:fill="FFFFFF" w:themeFill="background1"/>
      </w:tcPr>
    </w:tblStylePr>
    <w:tblStylePr w:type="firstCol">
      <w:rPr>
        <w:b/>
        <w:bCs/>
      </w:rPr>
      <w:tblPr/>
      <w:trPr>
        <w:hidden/>
      </w:trPr>
      <w:tcPr>
        <w:tcBorders>
          <w:right w:val="nil"/>
        </w:tcBorders>
        <w:shd w:val="clear" w:color="auto" w:fill="FFFFFF" w:themeFill="background1"/>
      </w:tcPr>
    </w:tblStylePr>
    <w:tblStylePr w:type="lastCol">
      <w:rPr>
        <w:b/>
        <w:bCs/>
      </w:rPr>
      <w:tblPr/>
      <w:trPr>
        <w:hidden/>
      </w:trPr>
      <w:tcPr>
        <w:tcBorders>
          <w:left w:val="nil"/>
        </w:tcBorders>
        <w:shd w:val="clear" w:color="auto" w:fill="FFFFFF" w:themeFill="background1"/>
      </w:tcPr>
    </w:tblStylePr>
    <w:tblStylePr w:type="band1Vert">
      <w:tblPr/>
      <w:trPr>
        <w:hidden/>
      </w:trPr>
      <w:tcPr>
        <w:tcBorders>
          <w:left w:val="single" w:sz="4" w:space="0" w:color="000000" w:themeColor="text1"/>
          <w:right w:val="single" w:sz="4" w:space="0" w:color="000000" w:themeColor="text1"/>
        </w:tcBorders>
      </w:tcPr>
    </w:tblStylePr>
    <w:tblStylePr w:type="band1Horz">
      <w:tblPr/>
      <w:trPr>
        <w:hidden/>
      </w:trPr>
      <w:tcPr>
        <w:tcBorders>
          <w:top w:val="single" w:sz="4" w:space="0" w:color="000000" w:themeColor="text1"/>
          <w:bottom w:val="single" w:sz="4" w:space="0" w:color="000000" w:themeColor="text1"/>
          <w:insideH w:val="nil"/>
        </w:tcBorders>
      </w:tcPr>
    </w:tblStylePr>
    <w:tblStylePr w:type="neCell">
      <w:tblPr/>
      <w:trPr>
        <w:hidden/>
      </w:trPr>
      <w:tcPr>
        <w:tcBorders>
          <w:left w:val="nil"/>
          <w:bottom w:val="nil"/>
        </w:tcBorders>
      </w:tcPr>
    </w:tblStylePr>
    <w:tblStylePr w:type="nwCell">
      <w:tblPr/>
      <w:trPr>
        <w:hidden/>
      </w:trPr>
      <w:tcPr>
        <w:tcBorders>
          <w:bottom w:val="nil"/>
          <w:right w:val="nil"/>
        </w:tcBorders>
      </w:tcPr>
    </w:tblStylePr>
    <w:tblStylePr w:type="seCell">
      <w:tblPr/>
      <w:trPr>
        <w:hidden/>
      </w:trPr>
      <w:tcPr>
        <w:tcBorders>
          <w:top w:val="double" w:sz="4" w:space="0" w:color="000000" w:themeColor="text1"/>
          <w:left w:val="nil"/>
        </w:tcBorders>
      </w:tcPr>
    </w:tblStylePr>
    <w:tblStylePr w:type="swCell">
      <w:tblPr/>
      <w:trPr>
        <w:hidden/>
      </w:trPr>
      <w:tcPr>
        <w:tcBorders>
          <w:top w:val="double" w:sz="4" w:space="0" w:color="000000" w:themeColor="text1"/>
          <w:right w:val="nil"/>
        </w:tcBorders>
      </w:tcPr>
    </w:tblStylePr>
  </w:style>
  <w:style w:type="table" w:styleId="ListTable3-Accent1">
    <w:name w:val="List Table 3 Accent 1"/>
    <w:basedOn w:val="TableNormal"/>
    <w:uiPriority w:val="48"/>
    <w:rsid w:val="00150F71"/>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rPr>
      <w:hidden/>
    </w:trPr>
    <w:tblStylePr w:type="firstRow">
      <w:rPr>
        <w:b/>
        <w:bCs/>
        <w:color w:val="FFFFFF" w:themeColor="background1"/>
      </w:rPr>
      <w:tblPr/>
      <w:trPr>
        <w:hidden/>
      </w:trPr>
      <w:tcPr>
        <w:shd w:val="clear" w:color="auto" w:fill="4F81BD" w:themeFill="accent1"/>
      </w:tcPr>
    </w:tblStylePr>
    <w:tblStylePr w:type="lastRow">
      <w:rPr>
        <w:b/>
        <w:bCs/>
      </w:rPr>
      <w:tblPr/>
      <w:trPr>
        <w:hidden/>
      </w:trPr>
      <w:tcPr>
        <w:tcBorders>
          <w:top w:val="double" w:sz="4" w:space="0" w:color="4F81BD" w:themeColor="accent1"/>
        </w:tcBorders>
        <w:shd w:val="clear" w:color="auto" w:fill="FFFFFF" w:themeFill="background1"/>
      </w:tcPr>
    </w:tblStylePr>
    <w:tblStylePr w:type="firstCol">
      <w:rPr>
        <w:b/>
        <w:bCs/>
      </w:rPr>
      <w:tblPr/>
      <w:trPr>
        <w:hidden/>
      </w:trPr>
      <w:tcPr>
        <w:tcBorders>
          <w:right w:val="nil"/>
        </w:tcBorders>
        <w:shd w:val="clear" w:color="auto" w:fill="FFFFFF" w:themeFill="background1"/>
      </w:tcPr>
    </w:tblStylePr>
    <w:tblStylePr w:type="lastCol">
      <w:rPr>
        <w:b/>
        <w:bCs/>
      </w:rPr>
      <w:tblPr/>
      <w:trPr>
        <w:hidden/>
      </w:trPr>
      <w:tcPr>
        <w:tcBorders>
          <w:left w:val="nil"/>
        </w:tcBorders>
        <w:shd w:val="clear" w:color="auto" w:fill="FFFFFF" w:themeFill="background1"/>
      </w:tcPr>
    </w:tblStylePr>
    <w:tblStylePr w:type="band1Vert">
      <w:tblPr/>
      <w:trPr>
        <w:hidden/>
      </w:trPr>
      <w:tcPr>
        <w:tcBorders>
          <w:left w:val="single" w:sz="4" w:space="0" w:color="4F81BD" w:themeColor="accent1"/>
          <w:right w:val="single" w:sz="4" w:space="0" w:color="4F81BD" w:themeColor="accent1"/>
        </w:tcBorders>
      </w:tcPr>
    </w:tblStylePr>
    <w:tblStylePr w:type="band1Horz">
      <w:tblPr/>
      <w:trPr>
        <w:hidden/>
      </w:trPr>
      <w:tcPr>
        <w:tcBorders>
          <w:top w:val="single" w:sz="4" w:space="0" w:color="4F81BD" w:themeColor="accent1"/>
          <w:bottom w:val="single" w:sz="4" w:space="0" w:color="4F81BD" w:themeColor="accent1"/>
          <w:insideH w:val="nil"/>
        </w:tcBorders>
      </w:tcPr>
    </w:tblStylePr>
    <w:tblStylePr w:type="neCell">
      <w:tblPr/>
      <w:trPr>
        <w:hidden/>
      </w:trPr>
      <w:tcPr>
        <w:tcBorders>
          <w:left w:val="nil"/>
          <w:bottom w:val="nil"/>
        </w:tcBorders>
      </w:tcPr>
    </w:tblStylePr>
    <w:tblStylePr w:type="nwCell">
      <w:tblPr/>
      <w:trPr>
        <w:hidden/>
      </w:trPr>
      <w:tcPr>
        <w:tcBorders>
          <w:bottom w:val="nil"/>
          <w:right w:val="nil"/>
        </w:tcBorders>
      </w:tcPr>
    </w:tblStylePr>
    <w:tblStylePr w:type="seCell">
      <w:tblPr/>
      <w:trPr>
        <w:hidden/>
      </w:trPr>
      <w:tcPr>
        <w:tcBorders>
          <w:top w:val="double" w:sz="4" w:space="0" w:color="4F81BD" w:themeColor="accent1"/>
          <w:left w:val="nil"/>
        </w:tcBorders>
      </w:tcPr>
    </w:tblStylePr>
    <w:tblStylePr w:type="swCell">
      <w:tblPr/>
      <w:trPr>
        <w:hidden/>
      </w:trPr>
      <w:tcPr>
        <w:tcBorders>
          <w:top w:val="double" w:sz="4" w:space="0" w:color="4F81BD" w:themeColor="accent1"/>
          <w:right w:val="nil"/>
        </w:tcBorders>
      </w:tcPr>
    </w:tblStylePr>
  </w:style>
  <w:style w:type="table" w:styleId="ListTable3-Accent2">
    <w:name w:val="List Table 3 Accent 2"/>
    <w:basedOn w:val="TableNormal"/>
    <w:uiPriority w:val="48"/>
    <w:rsid w:val="00150F7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rPr>
      <w:hidden/>
    </w:trPr>
    <w:tblStylePr w:type="firstRow">
      <w:rPr>
        <w:b/>
        <w:bCs/>
        <w:color w:val="FFFFFF" w:themeColor="background1"/>
      </w:rPr>
      <w:tblPr/>
      <w:trPr>
        <w:hidden/>
      </w:trPr>
      <w:tcPr>
        <w:shd w:val="clear" w:color="auto" w:fill="C0504D" w:themeFill="accent2"/>
      </w:tcPr>
    </w:tblStylePr>
    <w:tblStylePr w:type="lastRow">
      <w:rPr>
        <w:b/>
        <w:bCs/>
      </w:rPr>
      <w:tblPr/>
      <w:trPr>
        <w:hidden/>
      </w:trPr>
      <w:tcPr>
        <w:tcBorders>
          <w:top w:val="double" w:sz="4" w:space="0" w:color="C0504D" w:themeColor="accent2"/>
        </w:tcBorders>
        <w:shd w:val="clear" w:color="auto" w:fill="FFFFFF" w:themeFill="background1"/>
      </w:tcPr>
    </w:tblStylePr>
    <w:tblStylePr w:type="firstCol">
      <w:rPr>
        <w:b/>
        <w:bCs/>
      </w:rPr>
      <w:tblPr/>
      <w:trPr>
        <w:hidden/>
      </w:trPr>
      <w:tcPr>
        <w:tcBorders>
          <w:right w:val="nil"/>
        </w:tcBorders>
        <w:shd w:val="clear" w:color="auto" w:fill="FFFFFF" w:themeFill="background1"/>
      </w:tcPr>
    </w:tblStylePr>
    <w:tblStylePr w:type="lastCol">
      <w:rPr>
        <w:b/>
        <w:bCs/>
      </w:rPr>
      <w:tblPr/>
      <w:trPr>
        <w:hidden/>
      </w:trPr>
      <w:tcPr>
        <w:tcBorders>
          <w:left w:val="nil"/>
        </w:tcBorders>
        <w:shd w:val="clear" w:color="auto" w:fill="FFFFFF" w:themeFill="background1"/>
      </w:tcPr>
    </w:tblStylePr>
    <w:tblStylePr w:type="band1Vert">
      <w:tblPr/>
      <w:trPr>
        <w:hidden/>
      </w:trPr>
      <w:tcPr>
        <w:tcBorders>
          <w:left w:val="single" w:sz="4" w:space="0" w:color="C0504D" w:themeColor="accent2"/>
          <w:right w:val="single" w:sz="4" w:space="0" w:color="C0504D" w:themeColor="accent2"/>
        </w:tcBorders>
      </w:tcPr>
    </w:tblStylePr>
    <w:tblStylePr w:type="band1Horz">
      <w:tblPr/>
      <w:trPr>
        <w:hidden/>
      </w:trPr>
      <w:tcPr>
        <w:tcBorders>
          <w:top w:val="single" w:sz="4" w:space="0" w:color="C0504D" w:themeColor="accent2"/>
          <w:bottom w:val="single" w:sz="4" w:space="0" w:color="C0504D" w:themeColor="accent2"/>
          <w:insideH w:val="nil"/>
        </w:tcBorders>
      </w:tcPr>
    </w:tblStylePr>
    <w:tblStylePr w:type="neCell">
      <w:tblPr/>
      <w:trPr>
        <w:hidden/>
      </w:trPr>
      <w:tcPr>
        <w:tcBorders>
          <w:left w:val="nil"/>
          <w:bottom w:val="nil"/>
        </w:tcBorders>
      </w:tcPr>
    </w:tblStylePr>
    <w:tblStylePr w:type="nwCell">
      <w:tblPr/>
      <w:trPr>
        <w:hidden/>
      </w:trPr>
      <w:tcPr>
        <w:tcBorders>
          <w:bottom w:val="nil"/>
          <w:right w:val="nil"/>
        </w:tcBorders>
      </w:tcPr>
    </w:tblStylePr>
    <w:tblStylePr w:type="seCell">
      <w:tblPr/>
      <w:trPr>
        <w:hidden/>
      </w:trPr>
      <w:tcPr>
        <w:tcBorders>
          <w:top w:val="double" w:sz="4" w:space="0" w:color="C0504D" w:themeColor="accent2"/>
          <w:left w:val="nil"/>
        </w:tcBorders>
      </w:tcPr>
    </w:tblStylePr>
    <w:tblStylePr w:type="swCell">
      <w:tblPr/>
      <w:trPr>
        <w:hidden/>
      </w:trPr>
      <w:tcPr>
        <w:tcBorders>
          <w:top w:val="double" w:sz="4" w:space="0" w:color="C0504D" w:themeColor="accent2"/>
          <w:right w:val="nil"/>
        </w:tcBorders>
      </w:tcPr>
    </w:tblStylePr>
  </w:style>
  <w:style w:type="table" w:styleId="ListTable3-Accent3">
    <w:name w:val="List Table 3 Accent 3"/>
    <w:basedOn w:val="TableNormal"/>
    <w:uiPriority w:val="48"/>
    <w:rsid w:val="00150F71"/>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rPr>
      <w:hidden/>
    </w:trPr>
    <w:tblStylePr w:type="firstRow">
      <w:rPr>
        <w:b/>
        <w:bCs/>
        <w:color w:val="FFFFFF" w:themeColor="background1"/>
      </w:rPr>
      <w:tblPr/>
      <w:trPr>
        <w:hidden/>
      </w:trPr>
      <w:tcPr>
        <w:shd w:val="clear" w:color="auto" w:fill="9BBB59" w:themeFill="accent3"/>
      </w:tcPr>
    </w:tblStylePr>
    <w:tblStylePr w:type="lastRow">
      <w:rPr>
        <w:b/>
        <w:bCs/>
      </w:rPr>
      <w:tblPr/>
      <w:trPr>
        <w:hidden/>
      </w:trPr>
      <w:tcPr>
        <w:tcBorders>
          <w:top w:val="double" w:sz="4" w:space="0" w:color="9BBB59" w:themeColor="accent3"/>
        </w:tcBorders>
        <w:shd w:val="clear" w:color="auto" w:fill="FFFFFF" w:themeFill="background1"/>
      </w:tcPr>
    </w:tblStylePr>
    <w:tblStylePr w:type="firstCol">
      <w:rPr>
        <w:b/>
        <w:bCs/>
      </w:rPr>
      <w:tblPr/>
      <w:trPr>
        <w:hidden/>
      </w:trPr>
      <w:tcPr>
        <w:tcBorders>
          <w:right w:val="nil"/>
        </w:tcBorders>
        <w:shd w:val="clear" w:color="auto" w:fill="FFFFFF" w:themeFill="background1"/>
      </w:tcPr>
    </w:tblStylePr>
    <w:tblStylePr w:type="lastCol">
      <w:rPr>
        <w:b/>
        <w:bCs/>
      </w:rPr>
      <w:tblPr/>
      <w:trPr>
        <w:hidden/>
      </w:trPr>
      <w:tcPr>
        <w:tcBorders>
          <w:left w:val="nil"/>
        </w:tcBorders>
        <w:shd w:val="clear" w:color="auto" w:fill="FFFFFF" w:themeFill="background1"/>
      </w:tcPr>
    </w:tblStylePr>
    <w:tblStylePr w:type="band1Vert">
      <w:tblPr/>
      <w:trPr>
        <w:hidden/>
      </w:trPr>
      <w:tcPr>
        <w:tcBorders>
          <w:left w:val="single" w:sz="4" w:space="0" w:color="9BBB59" w:themeColor="accent3"/>
          <w:right w:val="single" w:sz="4" w:space="0" w:color="9BBB59" w:themeColor="accent3"/>
        </w:tcBorders>
      </w:tcPr>
    </w:tblStylePr>
    <w:tblStylePr w:type="band1Horz">
      <w:tblPr/>
      <w:trPr>
        <w:hidden/>
      </w:trPr>
      <w:tcPr>
        <w:tcBorders>
          <w:top w:val="single" w:sz="4" w:space="0" w:color="9BBB59" w:themeColor="accent3"/>
          <w:bottom w:val="single" w:sz="4" w:space="0" w:color="9BBB59" w:themeColor="accent3"/>
          <w:insideH w:val="nil"/>
        </w:tcBorders>
      </w:tcPr>
    </w:tblStylePr>
    <w:tblStylePr w:type="neCell">
      <w:tblPr/>
      <w:trPr>
        <w:hidden/>
      </w:trPr>
      <w:tcPr>
        <w:tcBorders>
          <w:left w:val="nil"/>
          <w:bottom w:val="nil"/>
        </w:tcBorders>
      </w:tcPr>
    </w:tblStylePr>
    <w:tblStylePr w:type="nwCell">
      <w:tblPr/>
      <w:trPr>
        <w:hidden/>
      </w:trPr>
      <w:tcPr>
        <w:tcBorders>
          <w:bottom w:val="nil"/>
          <w:right w:val="nil"/>
        </w:tcBorders>
      </w:tcPr>
    </w:tblStylePr>
    <w:tblStylePr w:type="seCell">
      <w:tblPr/>
      <w:trPr>
        <w:hidden/>
      </w:trPr>
      <w:tcPr>
        <w:tcBorders>
          <w:top w:val="double" w:sz="4" w:space="0" w:color="9BBB59" w:themeColor="accent3"/>
          <w:left w:val="nil"/>
        </w:tcBorders>
      </w:tcPr>
    </w:tblStylePr>
    <w:tblStylePr w:type="swCell">
      <w:tblPr/>
      <w:trPr>
        <w:hidden/>
      </w:trPr>
      <w:tcPr>
        <w:tcBorders>
          <w:top w:val="double" w:sz="4" w:space="0" w:color="9BBB59" w:themeColor="accent3"/>
          <w:right w:val="nil"/>
        </w:tcBorders>
      </w:tcPr>
    </w:tblStylePr>
  </w:style>
  <w:style w:type="table" w:styleId="ListTable3-Accent4">
    <w:name w:val="List Table 3 Accent 4"/>
    <w:basedOn w:val="TableNormal"/>
    <w:uiPriority w:val="48"/>
    <w:rsid w:val="00150F71"/>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rPr>
      <w:hidden/>
    </w:trPr>
    <w:tblStylePr w:type="firstRow">
      <w:rPr>
        <w:b/>
        <w:bCs/>
        <w:color w:val="FFFFFF" w:themeColor="background1"/>
      </w:rPr>
      <w:tblPr/>
      <w:trPr>
        <w:hidden/>
      </w:trPr>
      <w:tcPr>
        <w:shd w:val="clear" w:color="auto" w:fill="8064A2" w:themeFill="accent4"/>
      </w:tcPr>
    </w:tblStylePr>
    <w:tblStylePr w:type="lastRow">
      <w:rPr>
        <w:b/>
        <w:bCs/>
      </w:rPr>
      <w:tblPr/>
      <w:trPr>
        <w:hidden/>
      </w:trPr>
      <w:tcPr>
        <w:tcBorders>
          <w:top w:val="double" w:sz="4" w:space="0" w:color="8064A2" w:themeColor="accent4"/>
        </w:tcBorders>
        <w:shd w:val="clear" w:color="auto" w:fill="FFFFFF" w:themeFill="background1"/>
      </w:tcPr>
    </w:tblStylePr>
    <w:tblStylePr w:type="firstCol">
      <w:rPr>
        <w:b/>
        <w:bCs/>
      </w:rPr>
      <w:tblPr/>
      <w:trPr>
        <w:hidden/>
      </w:trPr>
      <w:tcPr>
        <w:tcBorders>
          <w:right w:val="nil"/>
        </w:tcBorders>
        <w:shd w:val="clear" w:color="auto" w:fill="FFFFFF" w:themeFill="background1"/>
      </w:tcPr>
    </w:tblStylePr>
    <w:tblStylePr w:type="lastCol">
      <w:rPr>
        <w:b/>
        <w:bCs/>
      </w:rPr>
      <w:tblPr/>
      <w:trPr>
        <w:hidden/>
      </w:trPr>
      <w:tcPr>
        <w:tcBorders>
          <w:left w:val="nil"/>
        </w:tcBorders>
        <w:shd w:val="clear" w:color="auto" w:fill="FFFFFF" w:themeFill="background1"/>
      </w:tcPr>
    </w:tblStylePr>
    <w:tblStylePr w:type="band1Vert">
      <w:tblPr/>
      <w:trPr>
        <w:hidden/>
      </w:trPr>
      <w:tcPr>
        <w:tcBorders>
          <w:left w:val="single" w:sz="4" w:space="0" w:color="8064A2" w:themeColor="accent4"/>
          <w:right w:val="single" w:sz="4" w:space="0" w:color="8064A2" w:themeColor="accent4"/>
        </w:tcBorders>
      </w:tcPr>
    </w:tblStylePr>
    <w:tblStylePr w:type="band1Horz">
      <w:tblPr/>
      <w:trPr>
        <w:hidden/>
      </w:trPr>
      <w:tcPr>
        <w:tcBorders>
          <w:top w:val="single" w:sz="4" w:space="0" w:color="8064A2" w:themeColor="accent4"/>
          <w:bottom w:val="single" w:sz="4" w:space="0" w:color="8064A2" w:themeColor="accent4"/>
          <w:insideH w:val="nil"/>
        </w:tcBorders>
      </w:tcPr>
    </w:tblStylePr>
    <w:tblStylePr w:type="neCell">
      <w:tblPr/>
      <w:trPr>
        <w:hidden/>
      </w:trPr>
      <w:tcPr>
        <w:tcBorders>
          <w:left w:val="nil"/>
          <w:bottom w:val="nil"/>
        </w:tcBorders>
      </w:tcPr>
    </w:tblStylePr>
    <w:tblStylePr w:type="nwCell">
      <w:tblPr/>
      <w:trPr>
        <w:hidden/>
      </w:trPr>
      <w:tcPr>
        <w:tcBorders>
          <w:bottom w:val="nil"/>
          <w:right w:val="nil"/>
        </w:tcBorders>
      </w:tcPr>
    </w:tblStylePr>
    <w:tblStylePr w:type="seCell">
      <w:tblPr/>
      <w:trPr>
        <w:hidden/>
      </w:trPr>
      <w:tcPr>
        <w:tcBorders>
          <w:top w:val="double" w:sz="4" w:space="0" w:color="8064A2" w:themeColor="accent4"/>
          <w:left w:val="nil"/>
        </w:tcBorders>
      </w:tcPr>
    </w:tblStylePr>
    <w:tblStylePr w:type="swCell">
      <w:tblPr/>
      <w:trPr>
        <w:hidden/>
      </w:trPr>
      <w:tcPr>
        <w:tcBorders>
          <w:top w:val="double" w:sz="4" w:space="0" w:color="8064A2" w:themeColor="accent4"/>
          <w:right w:val="nil"/>
        </w:tcBorders>
      </w:tcPr>
    </w:tblStylePr>
  </w:style>
  <w:style w:type="table" w:styleId="ListTable3-Accent5">
    <w:name w:val="List Table 3 Accent 5"/>
    <w:basedOn w:val="TableNormal"/>
    <w:uiPriority w:val="48"/>
    <w:rsid w:val="00150F71"/>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rPr>
      <w:hidden/>
    </w:trPr>
    <w:tblStylePr w:type="firstRow">
      <w:rPr>
        <w:b/>
        <w:bCs/>
        <w:color w:val="FFFFFF" w:themeColor="background1"/>
      </w:rPr>
      <w:tblPr/>
      <w:trPr>
        <w:hidden/>
      </w:trPr>
      <w:tcPr>
        <w:shd w:val="clear" w:color="auto" w:fill="4BACC6" w:themeFill="accent5"/>
      </w:tcPr>
    </w:tblStylePr>
    <w:tblStylePr w:type="lastRow">
      <w:rPr>
        <w:b/>
        <w:bCs/>
      </w:rPr>
      <w:tblPr/>
      <w:trPr>
        <w:hidden/>
      </w:trPr>
      <w:tcPr>
        <w:tcBorders>
          <w:top w:val="double" w:sz="4" w:space="0" w:color="4BACC6" w:themeColor="accent5"/>
        </w:tcBorders>
        <w:shd w:val="clear" w:color="auto" w:fill="FFFFFF" w:themeFill="background1"/>
      </w:tcPr>
    </w:tblStylePr>
    <w:tblStylePr w:type="firstCol">
      <w:rPr>
        <w:b/>
        <w:bCs/>
      </w:rPr>
      <w:tblPr/>
      <w:trPr>
        <w:hidden/>
      </w:trPr>
      <w:tcPr>
        <w:tcBorders>
          <w:right w:val="nil"/>
        </w:tcBorders>
        <w:shd w:val="clear" w:color="auto" w:fill="FFFFFF" w:themeFill="background1"/>
      </w:tcPr>
    </w:tblStylePr>
    <w:tblStylePr w:type="lastCol">
      <w:rPr>
        <w:b/>
        <w:bCs/>
      </w:rPr>
      <w:tblPr/>
      <w:trPr>
        <w:hidden/>
      </w:trPr>
      <w:tcPr>
        <w:tcBorders>
          <w:left w:val="nil"/>
        </w:tcBorders>
        <w:shd w:val="clear" w:color="auto" w:fill="FFFFFF" w:themeFill="background1"/>
      </w:tcPr>
    </w:tblStylePr>
    <w:tblStylePr w:type="band1Vert">
      <w:tblPr/>
      <w:trPr>
        <w:hidden/>
      </w:trPr>
      <w:tcPr>
        <w:tcBorders>
          <w:left w:val="single" w:sz="4" w:space="0" w:color="4BACC6" w:themeColor="accent5"/>
          <w:right w:val="single" w:sz="4" w:space="0" w:color="4BACC6" w:themeColor="accent5"/>
        </w:tcBorders>
      </w:tcPr>
    </w:tblStylePr>
    <w:tblStylePr w:type="band1Horz">
      <w:tblPr/>
      <w:trPr>
        <w:hidden/>
      </w:trPr>
      <w:tcPr>
        <w:tcBorders>
          <w:top w:val="single" w:sz="4" w:space="0" w:color="4BACC6" w:themeColor="accent5"/>
          <w:bottom w:val="single" w:sz="4" w:space="0" w:color="4BACC6" w:themeColor="accent5"/>
          <w:insideH w:val="nil"/>
        </w:tcBorders>
      </w:tcPr>
    </w:tblStylePr>
    <w:tblStylePr w:type="neCell">
      <w:tblPr/>
      <w:trPr>
        <w:hidden/>
      </w:trPr>
      <w:tcPr>
        <w:tcBorders>
          <w:left w:val="nil"/>
          <w:bottom w:val="nil"/>
        </w:tcBorders>
      </w:tcPr>
    </w:tblStylePr>
    <w:tblStylePr w:type="nwCell">
      <w:tblPr/>
      <w:trPr>
        <w:hidden/>
      </w:trPr>
      <w:tcPr>
        <w:tcBorders>
          <w:bottom w:val="nil"/>
          <w:right w:val="nil"/>
        </w:tcBorders>
      </w:tcPr>
    </w:tblStylePr>
    <w:tblStylePr w:type="seCell">
      <w:tblPr/>
      <w:trPr>
        <w:hidden/>
      </w:trPr>
      <w:tcPr>
        <w:tcBorders>
          <w:top w:val="double" w:sz="4" w:space="0" w:color="4BACC6" w:themeColor="accent5"/>
          <w:left w:val="nil"/>
        </w:tcBorders>
      </w:tcPr>
    </w:tblStylePr>
    <w:tblStylePr w:type="swCell">
      <w:tblPr/>
      <w:trPr>
        <w:hidden/>
      </w:trPr>
      <w:tcPr>
        <w:tcBorders>
          <w:top w:val="double" w:sz="4" w:space="0" w:color="4BACC6" w:themeColor="accent5"/>
          <w:right w:val="nil"/>
        </w:tcBorders>
      </w:tcPr>
    </w:tblStylePr>
  </w:style>
  <w:style w:type="table" w:styleId="ListTable3-Accent6">
    <w:name w:val="List Table 3 Accent 6"/>
    <w:basedOn w:val="TableNormal"/>
    <w:uiPriority w:val="48"/>
    <w:rsid w:val="00150F71"/>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rPr>
      <w:hidden/>
    </w:trPr>
    <w:tblStylePr w:type="firstRow">
      <w:rPr>
        <w:b/>
        <w:bCs/>
        <w:color w:val="FFFFFF" w:themeColor="background1"/>
      </w:rPr>
      <w:tblPr/>
      <w:trPr>
        <w:hidden/>
      </w:trPr>
      <w:tcPr>
        <w:shd w:val="clear" w:color="auto" w:fill="F79646" w:themeFill="accent6"/>
      </w:tcPr>
    </w:tblStylePr>
    <w:tblStylePr w:type="lastRow">
      <w:rPr>
        <w:b/>
        <w:bCs/>
      </w:rPr>
      <w:tblPr/>
      <w:trPr>
        <w:hidden/>
      </w:trPr>
      <w:tcPr>
        <w:tcBorders>
          <w:top w:val="double" w:sz="4" w:space="0" w:color="F79646" w:themeColor="accent6"/>
        </w:tcBorders>
        <w:shd w:val="clear" w:color="auto" w:fill="FFFFFF" w:themeFill="background1"/>
      </w:tcPr>
    </w:tblStylePr>
    <w:tblStylePr w:type="firstCol">
      <w:rPr>
        <w:b/>
        <w:bCs/>
      </w:rPr>
      <w:tblPr/>
      <w:trPr>
        <w:hidden/>
      </w:trPr>
      <w:tcPr>
        <w:tcBorders>
          <w:right w:val="nil"/>
        </w:tcBorders>
        <w:shd w:val="clear" w:color="auto" w:fill="FFFFFF" w:themeFill="background1"/>
      </w:tcPr>
    </w:tblStylePr>
    <w:tblStylePr w:type="lastCol">
      <w:rPr>
        <w:b/>
        <w:bCs/>
      </w:rPr>
      <w:tblPr/>
      <w:trPr>
        <w:hidden/>
      </w:trPr>
      <w:tcPr>
        <w:tcBorders>
          <w:left w:val="nil"/>
        </w:tcBorders>
        <w:shd w:val="clear" w:color="auto" w:fill="FFFFFF" w:themeFill="background1"/>
      </w:tcPr>
    </w:tblStylePr>
    <w:tblStylePr w:type="band1Vert">
      <w:tblPr/>
      <w:trPr>
        <w:hidden/>
      </w:trPr>
      <w:tcPr>
        <w:tcBorders>
          <w:left w:val="single" w:sz="4" w:space="0" w:color="F79646" w:themeColor="accent6"/>
          <w:right w:val="single" w:sz="4" w:space="0" w:color="F79646" w:themeColor="accent6"/>
        </w:tcBorders>
      </w:tcPr>
    </w:tblStylePr>
    <w:tblStylePr w:type="band1Horz">
      <w:tblPr/>
      <w:trPr>
        <w:hidden/>
      </w:trPr>
      <w:tcPr>
        <w:tcBorders>
          <w:top w:val="single" w:sz="4" w:space="0" w:color="F79646" w:themeColor="accent6"/>
          <w:bottom w:val="single" w:sz="4" w:space="0" w:color="F79646" w:themeColor="accent6"/>
          <w:insideH w:val="nil"/>
        </w:tcBorders>
      </w:tcPr>
    </w:tblStylePr>
    <w:tblStylePr w:type="neCell">
      <w:tblPr/>
      <w:trPr>
        <w:hidden/>
      </w:trPr>
      <w:tcPr>
        <w:tcBorders>
          <w:left w:val="nil"/>
          <w:bottom w:val="nil"/>
        </w:tcBorders>
      </w:tcPr>
    </w:tblStylePr>
    <w:tblStylePr w:type="nwCell">
      <w:tblPr/>
      <w:trPr>
        <w:hidden/>
      </w:trPr>
      <w:tcPr>
        <w:tcBorders>
          <w:bottom w:val="nil"/>
          <w:right w:val="nil"/>
        </w:tcBorders>
      </w:tcPr>
    </w:tblStylePr>
    <w:tblStylePr w:type="seCell">
      <w:tblPr/>
      <w:trPr>
        <w:hidden/>
      </w:trPr>
      <w:tcPr>
        <w:tcBorders>
          <w:top w:val="double" w:sz="4" w:space="0" w:color="F79646" w:themeColor="accent6"/>
          <w:left w:val="nil"/>
        </w:tcBorders>
      </w:tcPr>
    </w:tblStylePr>
    <w:tblStylePr w:type="swCell">
      <w:tblPr/>
      <w:trPr>
        <w:hidden/>
      </w:trPr>
      <w:tcPr>
        <w:tcBorders>
          <w:top w:val="double" w:sz="4" w:space="0" w:color="F79646" w:themeColor="accent6"/>
          <w:right w:val="nil"/>
        </w:tcBorders>
      </w:tcPr>
    </w:tblStylePr>
  </w:style>
  <w:style w:type="table" w:styleId="ListTable4">
    <w:name w:val="List Table 4"/>
    <w:basedOn w:val="TableNormal"/>
    <w:uiPriority w:val="49"/>
    <w:rsid w:val="00150F71"/>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rPr>
      <w:hidden/>
    </w:trPr>
    <w:tblStylePr w:type="firstRow">
      <w:rPr>
        <w:b/>
        <w:bCs/>
        <w:color w:val="FFFFFF" w:themeColor="background1"/>
      </w:rPr>
      <w:tblPr/>
      <w:trPr>
        <w:hidden/>
      </w:tr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rPr>
        <w:hidden/>
      </w:trPr>
      <w:tcPr>
        <w:tcBorders>
          <w:top w:val="double" w:sz="4" w:space="0" w:color="666666" w:themeColor="text1" w:themeTint="99"/>
        </w:tcBorders>
      </w:tcPr>
    </w:tblStylePr>
    <w:tblStylePr w:type="firstCol">
      <w:rPr>
        <w:b/>
        <w:bCs/>
      </w:rPr>
    </w:tblStylePr>
    <w:tblStylePr w:type="lastCol">
      <w:rPr>
        <w:b/>
        <w:bCs/>
      </w:rPr>
    </w:tblStylePr>
    <w:tblStylePr w:type="band1Vert">
      <w:tblPr/>
      <w:trPr>
        <w:hidden/>
      </w:trPr>
      <w:tcPr>
        <w:shd w:val="clear" w:color="auto" w:fill="CCCCCC" w:themeFill="text1" w:themeFillTint="33"/>
      </w:tcPr>
    </w:tblStylePr>
    <w:tblStylePr w:type="band1Horz">
      <w:tblPr/>
      <w:trPr>
        <w:hidden/>
      </w:trPr>
      <w:tcPr>
        <w:shd w:val="clear" w:color="auto" w:fill="CCCCCC" w:themeFill="text1" w:themeFillTint="33"/>
      </w:tcPr>
    </w:tblStylePr>
  </w:style>
  <w:style w:type="table" w:styleId="ListTable4-Accent1">
    <w:name w:val="List Table 4 Accent 1"/>
    <w:basedOn w:val="TableNormal"/>
    <w:uiPriority w:val="49"/>
    <w:rsid w:val="00150F71"/>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rPr>
      <w:hidden/>
    </w:trPr>
    <w:tblStylePr w:type="firstRow">
      <w:rPr>
        <w:b/>
        <w:bCs/>
        <w:color w:val="FFFFFF" w:themeColor="background1"/>
      </w:rPr>
      <w:tblPr/>
      <w:trPr>
        <w:hidden/>
      </w:tr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rPr>
        <w:hidden/>
      </w:trPr>
      <w:tcPr>
        <w:tcBorders>
          <w:top w:val="double" w:sz="4" w:space="0" w:color="95B3D7" w:themeColor="accent1" w:themeTint="99"/>
        </w:tcBorders>
      </w:tcPr>
    </w:tblStylePr>
    <w:tblStylePr w:type="firstCol">
      <w:rPr>
        <w:b/>
        <w:bCs/>
      </w:rPr>
    </w:tblStylePr>
    <w:tblStylePr w:type="lastCol">
      <w:rPr>
        <w:b/>
        <w:bCs/>
      </w:rPr>
    </w:tblStylePr>
    <w:tblStylePr w:type="band1Vert">
      <w:tblPr/>
      <w:trPr>
        <w:hidden/>
      </w:trPr>
      <w:tcPr>
        <w:shd w:val="clear" w:color="auto" w:fill="DBE5F1" w:themeFill="accent1" w:themeFillTint="33"/>
      </w:tcPr>
    </w:tblStylePr>
    <w:tblStylePr w:type="band1Horz">
      <w:tblPr/>
      <w:trPr>
        <w:hidden/>
      </w:trPr>
      <w:tcPr>
        <w:shd w:val="clear" w:color="auto" w:fill="DBE5F1" w:themeFill="accent1" w:themeFillTint="33"/>
      </w:tcPr>
    </w:tblStylePr>
  </w:style>
  <w:style w:type="table" w:styleId="ListTable4-Accent2">
    <w:name w:val="List Table 4 Accent 2"/>
    <w:basedOn w:val="TableNormal"/>
    <w:uiPriority w:val="49"/>
    <w:rsid w:val="00150F71"/>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rPr>
      <w:hidden/>
    </w:trPr>
    <w:tblStylePr w:type="firstRow">
      <w:rPr>
        <w:b/>
        <w:bCs/>
        <w:color w:val="FFFFFF" w:themeColor="background1"/>
      </w:rPr>
      <w:tblPr/>
      <w:trPr>
        <w:hidden/>
      </w:tr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rPr>
        <w:hidden/>
      </w:trPr>
      <w:tcPr>
        <w:tcBorders>
          <w:top w:val="double" w:sz="4" w:space="0" w:color="D99594" w:themeColor="accent2" w:themeTint="99"/>
        </w:tcBorders>
      </w:tcPr>
    </w:tblStylePr>
    <w:tblStylePr w:type="firstCol">
      <w:rPr>
        <w:b/>
        <w:bCs/>
      </w:rPr>
    </w:tblStylePr>
    <w:tblStylePr w:type="lastCol">
      <w:rPr>
        <w:b/>
        <w:bCs/>
      </w:rPr>
    </w:tblStylePr>
    <w:tblStylePr w:type="band1Vert">
      <w:tblPr/>
      <w:trPr>
        <w:hidden/>
      </w:trPr>
      <w:tcPr>
        <w:shd w:val="clear" w:color="auto" w:fill="F2DBDB" w:themeFill="accent2" w:themeFillTint="33"/>
      </w:tcPr>
    </w:tblStylePr>
    <w:tblStylePr w:type="band1Horz">
      <w:tblPr/>
      <w:trPr>
        <w:hidden/>
      </w:trPr>
      <w:tcPr>
        <w:shd w:val="clear" w:color="auto" w:fill="F2DBDB" w:themeFill="accent2" w:themeFillTint="33"/>
      </w:tcPr>
    </w:tblStylePr>
  </w:style>
  <w:style w:type="table" w:styleId="ListTable4-Accent3">
    <w:name w:val="List Table 4 Accent 3"/>
    <w:basedOn w:val="TableNormal"/>
    <w:uiPriority w:val="49"/>
    <w:rsid w:val="00150F71"/>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rPr>
      <w:hidden/>
    </w:trPr>
    <w:tblStylePr w:type="firstRow">
      <w:rPr>
        <w:b/>
        <w:bCs/>
        <w:color w:val="FFFFFF" w:themeColor="background1"/>
      </w:rPr>
      <w:tblPr/>
      <w:trPr>
        <w:hidden/>
      </w:tr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rPr>
        <w:hidden/>
      </w:trPr>
      <w:tcPr>
        <w:tcBorders>
          <w:top w:val="double" w:sz="4" w:space="0" w:color="C2D69B" w:themeColor="accent3" w:themeTint="99"/>
        </w:tcBorders>
      </w:tcPr>
    </w:tblStylePr>
    <w:tblStylePr w:type="firstCol">
      <w:rPr>
        <w:b/>
        <w:bCs/>
      </w:rPr>
    </w:tblStylePr>
    <w:tblStylePr w:type="lastCol">
      <w:rPr>
        <w:b/>
        <w:bCs/>
      </w:rPr>
    </w:tblStylePr>
    <w:tblStylePr w:type="band1Vert">
      <w:tblPr/>
      <w:trPr>
        <w:hidden/>
      </w:trPr>
      <w:tcPr>
        <w:shd w:val="clear" w:color="auto" w:fill="EAF1DD" w:themeFill="accent3" w:themeFillTint="33"/>
      </w:tcPr>
    </w:tblStylePr>
    <w:tblStylePr w:type="band1Horz">
      <w:tblPr/>
      <w:trPr>
        <w:hidden/>
      </w:trPr>
      <w:tcPr>
        <w:shd w:val="clear" w:color="auto" w:fill="EAF1DD" w:themeFill="accent3" w:themeFillTint="33"/>
      </w:tcPr>
    </w:tblStylePr>
  </w:style>
  <w:style w:type="table" w:styleId="ListTable4-Accent4">
    <w:name w:val="List Table 4 Accent 4"/>
    <w:basedOn w:val="TableNormal"/>
    <w:uiPriority w:val="49"/>
    <w:rsid w:val="00150F71"/>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rPr>
      <w:hidden/>
    </w:trPr>
    <w:tblStylePr w:type="firstRow">
      <w:rPr>
        <w:b/>
        <w:bCs/>
        <w:color w:val="FFFFFF" w:themeColor="background1"/>
      </w:rPr>
      <w:tblPr/>
      <w:trPr>
        <w:hidden/>
      </w:tr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rPr>
        <w:hidden/>
      </w:trPr>
      <w:tcPr>
        <w:tcBorders>
          <w:top w:val="double" w:sz="4" w:space="0" w:color="B2A1C7" w:themeColor="accent4" w:themeTint="99"/>
        </w:tcBorders>
      </w:tcPr>
    </w:tblStylePr>
    <w:tblStylePr w:type="firstCol">
      <w:rPr>
        <w:b/>
        <w:bCs/>
      </w:rPr>
    </w:tblStylePr>
    <w:tblStylePr w:type="lastCol">
      <w:rPr>
        <w:b/>
        <w:bCs/>
      </w:rPr>
    </w:tblStylePr>
    <w:tblStylePr w:type="band1Vert">
      <w:tblPr/>
      <w:trPr>
        <w:hidden/>
      </w:trPr>
      <w:tcPr>
        <w:shd w:val="clear" w:color="auto" w:fill="E5DFEC" w:themeFill="accent4" w:themeFillTint="33"/>
      </w:tcPr>
    </w:tblStylePr>
    <w:tblStylePr w:type="band1Horz">
      <w:tblPr/>
      <w:trPr>
        <w:hidden/>
      </w:trPr>
      <w:tcPr>
        <w:shd w:val="clear" w:color="auto" w:fill="E5DFEC" w:themeFill="accent4" w:themeFillTint="33"/>
      </w:tcPr>
    </w:tblStylePr>
  </w:style>
  <w:style w:type="table" w:styleId="ListTable4-Accent5">
    <w:name w:val="List Table 4 Accent 5"/>
    <w:basedOn w:val="TableNormal"/>
    <w:uiPriority w:val="49"/>
    <w:rsid w:val="00150F71"/>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rPr>
      <w:hidden/>
    </w:trPr>
    <w:tblStylePr w:type="firstRow">
      <w:rPr>
        <w:b/>
        <w:bCs/>
        <w:color w:val="FFFFFF" w:themeColor="background1"/>
      </w:rPr>
      <w:tblPr/>
      <w:trPr>
        <w:hidden/>
      </w:tr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rPr>
        <w:hidden/>
      </w:trPr>
      <w:tcPr>
        <w:tcBorders>
          <w:top w:val="double" w:sz="4" w:space="0" w:color="92CDDC" w:themeColor="accent5" w:themeTint="99"/>
        </w:tcBorders>
      </w:tcPr>
    </w:tblStylePr>
    <w:tblStylePr w:type="firstCol">
      <w:rPr>
        <w:b/>
        <w:bCs/>
      </w:rPr>
    </w:tblStylePr>
    <w:tblStylePr w:type="lastCol">
      <w:rPr>
        <w:b/>
        <w:bCs/>
      </w:rPr>
    </w:tblStylePr>
    <w:tblStylePr w:type="band1Vert">
      <w:tblPr/>
      <w:trPr>
        <w:hidden/>
      </w:trPr>
      <w:tcPr>
        <w:shd w:val="clear" w:color="auto" w:fill="DAEEF3" w:themeFill="accent5" w:themeFillTint="33"/>
      </w:tcPr>
    </w:tblStylePr>
    <w:tblStylePr w:type="band1Horz">
      <w:tblPr/>
      <w:trPr>
        <w:hidden/>
      </w:trPr>
      <w:tcPr>
        <w:shd w:val="clear" w:color="auto" w:fill="DAEEF3" w:themeFill="accent5" w:themeFillTint="33"/>
      </w:tcPr>
    </w:tblStylePr>
  </w:style>
  <w:style w:type="table" w:styleId="ListTable4-Accent6">
    <w:name w:val="List Table 4 Accent 6"/>
    <w:basedOn w:val="TableNormal"/>
    <w:uiPriority w:val="49"/>
    <w:rsid w:val="00150F71"/>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rPr>
      <w:hidden/>
    </w:trPr>
    <w:tblStylePr w:type="firstRow">
      <w:rPr>
        <w:b/>
        <w:bCs/>
        <w:color w:val="FFFFFF" w:themeColor="background1"/>
      </w:rPr>
      <w:tblPr/>
      <w:trPr>
        <w:hidden/>
      </w:tr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rPr>
        <w:hidden/>
      </w:trPr>
      <w:tcPr>
        <w:tcBorders>
          <w:top w:val="double" w:sz="4" w:space="0" w:color="FABF8F" w:themeColor="accent6" w:themeTint="99"/>
        </w:tcBorders>
      </w:tcPr>
    </w:tblStylePr>
    <w:tblStylePr w:type="firstCol">
      <w:rPr>
        <w:b/>
        <w:bCs/>
      </w:rPr>
    </w:tblStylePr>
    <w:tblStylePr w:type="lastCol">
      <w:rPr>
        <w:b/>
        <w:bCs/>
      </w:rPr>
    </w:tblStylePr>
    <w:tblStylePr w:type="band1Vert">
      <w:tblPr/>
      <w:trPr>
        <w:hidden/>
      </w:trPr>
      <w:tcPr>
        <w:shd w:val="clear" w:color="auto" w:fill="FDE9D9" w:themeFill="accent6" w:themeFillTint="33"/>
      </w:tcPr>
    </w:tblStylePr>
    <w:tblStylePr w:type="band1Horz">
      <w:tblPr/>
      <w:trPr>
        <w:hidden/>
      </w:trPr>
      <w:tcPr>
        <w:shd w:val="clear" w:color="auto" w:fill="FDE9D9" w:themeFill="accent6" w:themeFillTint="33"/>
      </w:tcPr>
    </w:tblStylePr>
  </w:style>
  <w:style w:type="table" w:styleId="ListTable5Dark">
    <w:name w:val="List Table 5 Dark"/>
    <w:basedOn w:val="TableNormal"/>
    <w:uiPriority w:val="50"/>
    <w:rsid w:val="00150F71"/>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rPr>
      <w:hidden/>
    </w:trPr>
    <w:tcPr>
      <w:shd w:val="clear" w:color="auto" w:fill="000000" w:themeFill="text1"/>
    </w:tcPr>
    <w:tblStylePr w:type="firstRow">
      <w:rPr>
        <w:b/>
        <w:bCs/>
      </w:rPr>
      <w:tblPr/>
      <w:trPr>
        <w:hidden/>
      </w:trPr>
      <w:tcPr>
        <w:tcBorders>
          <w:bottom w:val="single" w:sz="18" w:space="0" w:color="FFFFFF" w:themeColor="background1"/>
        </w:tcBorders>
      </w:tcPr>
    </w:tblStylePr>
    <w:tblStylePr w:type="lastRow">
      <w:rPr>
        <w:b/>
        <w:bCs/>
      </w:rPr>
      <w:tblPr/>
      <w:trPr>
        <w:hidden/>
      </w:trPr>
      <w:tcPr>
        <w:tcBorders>
          <w:top w:val="single" w:sz="4" w:space="0" w:color="FFFFFF" w:themeColor="background1"/>
        </w:tcBorders>
      </w:tcPr>
    </w:tblStylePr>
    <w:tblStylePr w:type="firstCol">
      <w:rPr>
        <w:b/>
        <w:bCs/>
      </w:rPr>
      <w:tblPr/>
      <w:trPr>
        <w:hidden/>
      </w:trPr>
      <w:tcPr>
        <w:tcBorders>
          <w:right w:val="single" w:sz="4" w:space="0" w:color="FFFFFF" w:themeColor="background1"/>
        </w:tcBorders>
      </w:tcPr>
    </w:tblStylePr>
    <w:tblStylePr w:type="lastCol">
      <w:rPr>
        <w:b/>
        <w:bCs/>
      </w:rPr>
      <w:tblPr/>
      <w:trPr>
        <w:hidden/>
      </w:trPr>
      <w:tcPr>
        <w:tcBorders>
          <w:left w:val="single" w:sz="4" w:space="0" w:color="FFFFFF" w:themeColor="background1"/>
        </w:tcBorders>
      </w:tcPr>
    </w:tblStylePr>
    <w:tblStylePr w:type="band1Vert">
      <w:tblPr/>
      <w:trPr>
        <w:hidden/>
      </w:trPr>
      <w:tcPr>
        <w:tcBorders>
          <w:left w:val="single" w:sz="4" w:space="0" w:color="FFFFFF" w:themeColor="background1"/>
          <w:right w:val="single" w:sz="4" w:space="0" w:color="FFFFFF" w:themeColor="background1"/>
        </w:tcBorders>
      </w:tcPr>
    </w:tblStylePr>
    <w:tblStylePr w:type="band2Vert">
      <w:tblPr/>
      <w:trPr>
        <w:hidden/>
      </w:trPr>
      <w:tcPr>
        <w:tcBorders>
          <w:left w:val="single" w:sz="4" w:space="0" w:color="FFFFFF" w:themeColor="background1"/>
          <w:right w:val="single" w:sz="4" w:space="0" w:color="FFFFFF" w:themeColor="background1"/>
        </w:tcBorders>
      </w:tcPr>
    </w:tblStylePr>
    <w:tblStylePr w:type="band1Horz">
      <w:tblPr/>
      <w:trPr>
        <w:hidden/>
      </w:trPr>
      <w:tcPr>
        <w:tcBorders>
          <w:top w:val="single" w:sz="4" w:space="0" w:color="FFFFFF" w:themeColor="background1"/>
          <w:bottom w:val="single" w:sz="4" w:space="0" w:color="FFFFFF" w:themeColor="background1"/>
        </w:tcBorders>
      </w:tcPr>
    </w:tblStylePr>
    <w:tblStylePr w:type="neCell">
      <w:tblPr/>
      <w:trPr>
        <w:hidden/>
      </w:trPr>
      <w:tcPr>
        <w:tcBorders>
          <w:left w:val="nil"/>
        </w:tcBorders>
      </w:tcPr>
    </w:tblStylePr>
    <w:tblStylePr w:type="nwCell">
      <w:tblPr/>
      <w:trPr>
        <w:hidden/>
      </w:trPr>
      <w:tcPr>
        <w:tcBorders>
          <w:right w:val="nil"/>
        </w:tcBorders>
      </w:tcPr>
    </w:tblStylePr>
    <w:tblStylePr w:type="seCell">
      <w:tblPr/>
      <w:trPr>
        <w:hidden/>
      </w:trPr>
      <w:tcPr>
        <w:tcBorders>
          <w:top w:val="nil"/>
          <w:left w:val="nil"/>
        </w:tcBorders>
      </w:tcPr>
    </w:tblStylePr>
    <w:tblStylePr w:type="swCell">
      <w:tblPr/>
      <w:trPr>
        <w:hidden/>
      </w:trPr>
      <w:tcPr>
        <w:tcBorders>
          <w:top w:val="nil"/>
          <w:right w:val="nil"/>
        </w:tcBorders>
      </w:tcPr>
    </w:tblStylePr>
  </w:style>
  <w:style w:type="table" w:styleId="ListTable5Dark-Accent1">
    <w:name w:val="List Table 5 Dark Accent 1"/>
    <w:basedOn w:val="TableNormal"/>
    <w:uiPriority w:val="50"/>
    <w:rsid w:val="00150F71"/>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rPr>
      <w:hidden/>
    </w:trPr>
    <w:tcPr>
      <w:shd w:val="clear" w:color="auto" w:fill="4F81BD" w:themeFill="accent1"/>
    </w:tcPr>
    <w:tblStylePr w:type="firstRow">
      <w:rPr>
        <w:b/>
        <w:bCs/>
      </w:rPr>
      <w:tblPr/>
      <w:trPr>
        <w:hidden/>
      </w:trPr>
      <w:tcPr>
        <w:tcBorders>
          <w:bottom w:val="single" w:sz="18" w:space="0" w:color="FFFFFF" w:themeColor="background1"/>
        </w:tcBorders>
      </w:tcPr>
    </w:tblStylePr>
    <w:tblStylePr w:type="lastRow">
      <w:rPr>
        <w:b/>
        <w:bCs/>
      </w:rPr>
      <w:tblPr/>
      <w:trPr>
        <w:hidden/>
      </w:trPr>
      <w:tcPr>
        <w:tcBorders>
          <w:top w:val="single" w:sz="4" w:space="0" w:color="FFFFFF" w:themeColor="background1"/>
        </w:tcBorders>
      </w:tcPr>
    </w:tblStylePr>
    <w:tblStylePr w:type="firstCol">
      <w:rPr>
        <w:b/>
        <w:bCs/>
      </w:rPr>
      <w:tblPr/>
      <w:trPr>
        <w:hidden/>
      </w:trPr>
      <w:tcPr>
        <w:tcBorders>
          <w:right w:val="single" w:sz="4" w:space="0" w:color="FFFFFF" w:themeColor="background1"/>
        </w:tcBorders>
      </w:tcPr>
    </w:tblStylePr>
    <w:tblStylePr w:type="lastCol">
      <w:rPr>
        <w:b/>
        <w:bCs/>
      </w:rPr>
      <w:tblPr/>
      <w:trPr>
        <w:hidden/>
      </w:trPr>
      <w:tcPr>
        <w:tcBorders>
          <w:left w:val="single" w:sz="4" w:space="0" w:color="FFFFFF" w:themeColor="background1"/>
        </w:tcBorders>
      </w:tcPr>
    </w:tblStylePr>
    <w:tblStylePr w:type="band1Vert">
      <w:tblPr/>
      <w:trPr>
        <w:hidden/>
      </w:trPr>
      <w:tcPr>
        <w:tcBorders>
          <w:left w:val="single" w:sz="4" w:space="0" w:color="FFFFFF" w:themeColor="background1"/>
          <w:right w:val="single" w:sz="4" w:space="0" w:color="FFFFFF" w:themeColor="background1"/>
        </w:tcBorders>
      </w:tcPr>
    </w:tblStylePr>
    <w:tblStylePr w:type="band2Vert">
      <w:tblPr/>
      <w:trPr>
        <w:hidden/>
      </w:trPr>
      <w:tcPr>
        <w:tcBorders>
          <w:left w:val="single" w:sz="4" w:space="0" w:color="FFFFFF" w:themeColor="background1"/>
          <w:right w:val="single" w:sz="4" w:space="0" w:color="FFFFFF" w:themeColor="background1"/>
        </w:tcBorders>
      </w:tcPr>
    </w:tblStylePr>
    <w:tblStylePr w:type="band1Horz">
      <w:tblPr/>
      <w:trPr>
        <w:hidden/>
      </w:trPr>
      <w:tcPr>
        <w:tcBorders>
          <w:top w:val="single" w:sz="4" w:space="0" w:color="FFFFFF" w:themeColor="background1"/>
          <w:bottom w:val="single" w:sz="4" w:space="0" w:color="FFFFFF" w:themeColor="background1"/>
        </w:tcBorders>
      </w:tcPr>
    </w:tblStylePr>
    <w:tblStylePr w:type="neCell">
      <w:tblPr/>
      <w:trPr>
        <w:hidden/>
      </w:trPr>
      <w:tcPr>
        <w:tcBorders>
          <w:left w:val="nil"/>
        </w:tcBorders>
      </w:tcPr>
    </w:tblStylePr>
    <w:tblStylePr w:type="nwCell">
      <w:tblPr/>
      <w:trPr>
        <w:hidden/>
      </w:trPr>
      <w:tcPr>
        <w:tcBorders>
          <w:right w:val="nil"/>
        </w:tcBorders>
      </w:tcPr>
    </w:tblStylePr>
    <w:tblStylePr w:type="seCell">
      <w:tblPr/>
      <w:trPr>
        <w:hidden/>
      </w:trPr>
      <w:tcPr>
        <w:tcBorders>
          <w:top w:val="nil"/>
          <w:left w:val="nil"/>
        </w:tcBorders>
      </w:tcPr>
    </w:tblStylePr>
    <w:tblStylePr w:type="swCell">
      <w:tblPr/>
      <w:trPr>
        <w:hidden/>
      </w:trPr>
      <w:tcPr>
        <w:tcBorders>
          <w:top w:val="nil"/>
          <w:right w:val="nil"/>
        </w:tcBorders>
      </w:tcPr>
    </w:tblStylePr>
  </w:style>
  <w:style w:type="table" w:styleId="ListTable5Dark-Accent2">
    <w:name w:val="List Table 5 Dark Accent 2"/>
    <w:basedOn w:val="TableNormal"/>
    <w:uiPriority w:val="50"/>
    <w:rsid w:val="00150F71"/>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rPr>
      <w:hidden/>
    </w:trPr>
    <w:tcPr>
      <w:shd w:val="clear" w:color="auto" w:fill="C0504D" w:themeFill="accent2"/>
    </w:tcPr>
    <w:tblStylePr w:type="firstRow">
      <w:rPr>
        <w:b/>
        <w:bCs/>
      </w:rPr>
      <w:tblPr/>
      <w:trPr>
        <w:hidden/>
      </w:trPr>
      <w:tcPr>
        <w:tcBorders>
          <w:bottom w:val="single" w:sz="18" w:space="0" w:color="FFFFFF" w:themeColor="background1"/>
        </w:tcBorders>
      </w:tcPr>
    </w:tblStylePr>
    <w:tblStylePr w:type="lastRow">
      <w:rPr>
        <w:b/>
        <w:bCs/>
      </w:rPr>
      <w:tblPr/>
      <w:trPr>
        <w:hidden/>
      </w:trPr>
      <w:tcPr>
        <w:tcBorders>
          <w:top w:val="single" w:sz="4" w:space="0" w:color="FFFFFF" w:themeColor="background1"/>
        </w:tcBorders>
      </w:tcPr>
    </w:tblStylePr>
    <w:tblStylePr w:type="firstCol">
      <w:rPr>
        <w:b/>
        <w:bCs/>
      </w:rPr>
      <w:tblPr/>
      <w:trPr>
        <w:hidden/>
      </w:trPr>
      <w:tcPr>
        <w:tcBorders>
          <w:right w:val="single" w:sz="4" w:space="0" w:color="FFFFFF" w:themeColor="background1"/>
        </w:tcBorders>
      </w:tcPr>
    </w:tblStylePr>
    <w:tblStylePr w:type="lastCol">
      <w:rPr>
        <w:b/>
        <w:bCs/>
      </w:rPr>
      <w:tblPr/>
      <w:trPr>
        <w:hidden/>
      </w:trPr>
      <w:tcPr>
        <w:tcBorders>
          <w:left w:val="single" w:sz="4" w:space="0" w:color="FFFFFF" w:themeColor="background1"/>
        </w:tcBorders>
      </w:tcPr>
    </w:tblStylePr>
    <w:tblStylePr w:type="band1Vert">
      <w:tblPr/>
      <w:trPr>
        <w:hidden/>
      </w:trPr>
      <w:tcPr>
        <w:tcBorders>
          <w:left w:val="single" w:sz="4" w:space="0" w:color="FFFFFF" w:themeColor="background1"/>
          <w:right w:val="single" w:sz="4" w:space="0" w:color="FFFFFF" w:themeColor="background1"/>
        </w:tcBorders>
      </w:tcPr>
    </w:tblStylePr>
    <w:tblStylePr w:type="band2Vert">
      <w:tblPr/>
      <w:trPr>
        <w:hidden/>
      </w:trPr>
      <w:tcPr>
        <w:tcBorders>
          <w:left w:val="single" w:sz="4" w:space="0" w:color="FFFFFF" w:themeColor="background1"/>
          <w:right w:val="single" w:sz="4" w:space="0" w:color="FFFFFF" w:themeColor="background1"/>
        </w:tcBorders>
      </w:tcPr>
    </w:tblStylePr>
    <w:tblStylePr w:type="band1Horz">
      <w:tblPr/>
      <w:trPr>
        <w:hidden/>
      </w:trPr>
      <w:tcPr>
        <w:tcBorders>
          <w:top w:val="single" w:sz="4" w:space="0" w:color="FFFFFF" w:themeColor="background1"/>
          <w:bottom w:val="single" w:sz="4" w:space="0" w:color="FFFFFF" w:themeColor="background1"/>
        </w:tcBorders>
      </w:tcPr>
    </w:tblStylePr>
    <w:tblStylePr w:type="neCell">
      <w:tblPr/>
      <w:trPr>
        <w:hidden/>
      </w:trPr>
      <w:tcPr>
        <w:tcBorders>
          <w:left w:val="nil"/>
        </w:tcBorders>
      </w:tcPr>
    </w:tblStylePr>
    <w:tblStylePr w:type="nwCell">
      <w:tblPr/>
      <w:trPr>
        <w:hidden/>
      </w:trPr>
      <w:tcPr>
        <w:tcBorders>
          <w:right w:val="nil"/>
        </w:tcBorders>
      </w:tcPr>
    </w:tblStylePr>
    <w:tblStylePr w:type="seCell">
      <w:tblPr/>
      <w:trPr>
        <w:hidden/>
      </w:trPr>
      <w:tcPr>
        <w:tcBorders>
          <w:top w:val="nil"/>
          <w:left w:val="nil"/>
        </w:tcBorders>
      </w:tcPr>
    </w:tblStylePr>
    <w:tblStylePr w:type="swCell">
      <w:tblPr/>
      <w:trPr>
        <w:hidden/>
      </w:trPr>
      <w:tcPr>
        <w:tcBorders>
          <w:top w:val="nil"/>
          <w:right w:val="nil"/>
        </w:tcBorders>
      </w:tcPr>
    </w:tblStylePr>
  </w:style>
  <w:style w:type="table" w:styleId="ListTable5Dark-Accent3">
    <w:name w:val="List Table 5 Dark Accent 3"/>
    <w:basedOn w:val="TableNormal"/>
    <w:uiPriority w:val="50"/>
    <w:rsid w:val="00150F71"/>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rPr>
      <w:hidden/>
    </w:trPr>
    <w:tcPr>
      <w:shd w:val="clear" w:color="auto" w:fill="9BBB59" w:themeFill="accent3"/>
    </w:tcPr>
    <w:tblStylePr w:type="firstRow">
      <w:rPr>
        <w:b/>
        <w:bCs/>
      </w:rPr>
      <w:tblPr/>
      <w:trPr>
        <w:hidden/>
      </w:trPr>
      <w:tcPr>
        <w:tcBorders>
          <w:bottom w:val="single" w:sz="18" w:space="0" w:color="FFFFFF" w:themeColor="background1"/>
        </w:tcBorders>
      </w:tcPr>
    </w:tblStylePr>
    <w:tblStylePr w:type="lastRow">
      <w:rPr>
        <w:b/>
        <w:bCs/>
      </w:rPr>
      <w:tblPr/>
      <w:trPr>
        <w:hidden/>
      </w:trPr>
      <w:tcPr>
        <w:tcBorders>
          <w:top w:val="single" w:sz="4" w:space="0" w:color="FFFFFF" w:themeColor="background1"/>
        </w:tcBorders>
      </w:tcPr>
    </w:tblStylePr>
    <w:tblStylePr w:type="firstCol">
      <w:rPr>
        <w:b/>
        <w:bCs/>
      </w:rPr>
      <w:tblPr/>
      <w:trPr>
        <w:hidden/>
      </w:trPr>
      <w:tcPr>
        <w:tcBorders>
          <w:right w:val="single" w:sz="4" w:space="0" w:color="FFFFFF" w:themeColor="background1"/>
        </w:tcBorders>
      </w:tcPr>
    </w:tblStylePr>
    <w:tblStylePr w:type="lastCol">
      <w:rPr>
        <w:b/>
        <w:bCs/>
      </w:rPr>
      <w:tblPr/>
      <w:trPr>
        <w:hidden/>
      </w:trPr>
      <w:tcPr>
        <w:tcBorders>
          <w:left w:val="single" w:sz="4" w:space="0" w:color="FFFFFF" w:themeColor="background1"/>
        </w:tcBorders>
      </w:tcPr>
    </w:tblStylePr>
    <w:tblStylePr w:type="band1Vert">
      <w:tblPr/>
      <w:trPr>
        <w:hidden/>
      </w:trPr>
      <w:tcPr>
        <w:tcBorders>
          <w:left w:val="single" w:sz="4" w:space="0" w:color="FFFFFF" w:themeColor="background1"/>
          <w:right w:val="single" w:sz="4" w:space="0" w:color="FFFFFF" w:themeColor="background1"/>
        </w:tcBorders>
      </w:tcPr>
    </w:tblStylePr>
    <w:tblStylePr w:type="band2Vert">
      <w:tblPr/>
      <w:trPr>
        <w:hidden/>
      </w:trPr>
      <w:tcPr>
        <w:tcBorders>
          <w:left w:val="single" w:sz="4" w:space="0" w:color="FFFFFF" w:themeColor="background1"/>
          <w:right w:val="single" w:sz="4" w:space="0" w:color="FFFFFF" w:themeColor="background1"/>
        </w:tcBorders>
      </w:tcPr>
    </w:tblStylePr>
    <w:tblStylePr w:type="band1Horz">
      <w:tblPr/>
      <w:trPr>
        <w:hidden/>
      </w:trPr>
      <w:tcPr>
        <w:tcBorders>
          <w:top w:val="single" w:sz="4" w:space="0" w:color="FFFFFF" w:themeColor="background1"/>
          <w:bottom w:val="single" w:sz="4" w:space="0" w:color="FFFFFF" w:themeColor="background1"/>
        </w:tcBorders>
      </w:tcPr>
    </w:tblStylePr>
    <w:tblStylePr w:type="neCell">
      <w:tblPr/>
      <w:trPr>
        <w:hidden/>
      </w:trPr>
      <w:tcPr>
        <w:tcBorders>
          <w:left w:val="nil"/>
        </w:tcBorders>
      </w:tcPr>
    </w:tblStylePr>
    <w:tblStylePr w:type="nwCell">
      <w:tblPr/>
      <w:trPr>
        <w:hidden/>
      </w:trPr>
      <w:tcPr>
        <w:tcBorders>
          <w:right w:val="nil"/>
        </w:tcBorders>
      </w:tcPr>
    </w:tblStylePr>
    <w:tblStylePr w:type="seCell">
      <w:tblPr/>
      <w:trPr>
        <w:hidden/>
      </w:trPr>
      <w:tcPr>
        <w:tcBorders>
          <w:top w:val="nil"/>
          <w:left w:val="nil"/>
        </w:tcBorders>
      </w:tcPr>
    </w:tblStylePr>
    <w:tblStylePr w:type="swCell">
      <w:tblPr/>
      <w:trPr>
        <w:hidden/>
      </w:trPr>
      <w:tcPr>
        <w:tcBorders>
          <w:top w:val="nil"/>
          <w:right w:val="nil"/>
        </w:tcBorders>
      </w:tcPr>
    </w:tblStylePr>
  </w:style>
  <w:style w:type="table" w:styleId="ListTable5Dark-Accent4">
    <w:name w:val="List Table 5 Dark Accent 4"/>
    <w:basedOn w:val="TableNormal"/>
    <w:uiPriority w:val="50"/>
    <w:rsid w:val="00150F71"/>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rPr>
      <w:hidden/>
    </w:trPr>
    <w:tcPr>
      <w:shd w:val="clear" w:color="auto" w:fill="8064A2" w:themeFill="accent4"/>
    </w:tcPr>
    <w:tblStylePr w:type="firstRow">
      <w:rPr>
        <w:b/>
        <w:bCs/>
      </w:rPr>
      <w:tblPr/>
      <w:trPr>
        <w:hidden/>
      </w:trPr>
      <w:tcPr>
        <w:tcBorders>
          <w:bottom w:val="single" w:sz="18" w:space="0" w:color="FFFFFF" w:themeColor="background1"/>
        </w:tcBorders>
      </w:tcPr>
    </w:tblStylePr>
    <w:tblStylePr w:type="lastRow">
      <w:rPr>
        <w:b/>
        <w:bCs/>
      </w:rPr>
      <w:tblPr/>
      <w:trPr>
        <w:hidden/>
      </w:trPr>
      <w:tcPr>
        <w:tcBorders>
          <w:top w:val="single" w:sz="4" w:space="0" w:color="FFFFFF" w:themeColor="background1"/>
        </w:tcBorders>
      </w:tcPr>
    </w:tblStylePr>
    <w:tblStylePr w:type="firstCol">
      <w:rPr>
        <w:b/>
        <w:bCs/>
      </w:rPr>
      <w:tblPr/>
      <w:trPr>
        <w:hidden/>
      </w:trPr>
      <w:tcPr>
        <w:tcBorders>
          <w:right w:val="single" w:sz="4" w:space="0" w:color="FFFFFF" w:themeColor="background1"/>
        </w:tcBorders>
      </w:tcPr>
    </w:tblStylePr>
    <w:tblStylePr w:type="lastCol">
      <w:rPr>
        <w:b/>
        <w:bCs/>
      </w:rPr>
      <w:tblPr/>
      <w:trPr>
        <w:hidden/>
      </w:trPr>
      <w:tcPr>
        <w:tcBorders>
          <w:left w:val="single" w:sz="4" w:space="0" w:color="FFFFFF" w:themeColor="background1"/>
        </w:tcBorders>
      </w:tcPr>
    </w:tblStylePr>
    <w:tblStylePr w:type="band1Vert">
      <w:tblPr/>
      <w:trPr>
        <w:hidden/>
      </w:trPr>
      <w:tcPr>
        <w:tcBorders>
          <w:left w:val="single" w:sz="4" w:space="0" w:color="FFFFFF" w:themeColor="background1"/>
          <w:right w:val="single" w:sz="4" w:space="0" w:color="FFFFFF" w:themeColor="background1"/>
        </w:tcBorders>
      </w:tcPr>
    </w:tblStylePr>
    <w:tblStylePr w:type="band2Vert">
      <w:tblPr/>
      <w:trPr>
        <w:hidden/>
      </w:trPr>
      <w:tcPr>
        <w:tcBorders>
          <w:left w:val="single" w:sz="4" w:space="0" w:color="FFFFFF" w:themeColor="background1"/>
          <w:right w:val="single" w:sz="4" w:space="0" w:color="FFFFFF" w:themeColor="background1"/>
        </w:tcBorders>
      </w:tcPr>
    </w:tblStylePr>
    <w:tblStylePr w:type="band1Horz">
      <w:tblPr/>
      <w:trPr>
        <w:hidden/>
      </w:trPr>
      <w:tcPr>
        <w:tcBorders>
          <w:top w:val="single" w:sz="4" w:space="0" w:color="FFFFFF" w:themeColor="background1"/>
          <w:bottom w:val="single" w:sz="4" w:space="0" w:color="FFFFFF" w:themeColor="background1"/>
        </w:tcBorders>
      </w:tcPr>
    </w:tblStylePr>
    <w:tblStylePr w:type="neCell">
      <w:tblPr/>
      <w:trPr>
        <w:hidden/>
      </w:trPr>
      <w:tcPr>
        <w:tcBorders>
          <w:left w:val="nil"/>
        </w:tcBorders>
      </w:tcPr>
    </w:tblStylePr>
    <w:tblStylePr w:type="nwCell">
      <w:tblPr/>
      <w:trPr>
        <w:hidden/>
      </w:trPr>
      <w:tcPr>
        <w:tcBorders>
          <w:right w:val="nil"/>
        </w:tcBorders>
      </w:tcPr>
    </w:tblStylePr>
    <w:tblStylePr w:type="seCell">
      <w:tblPr/>
      <w:trPr>
        <w:hidden/>
      </w:trPr>
      <w:tcPr>
        <w:tcBorders>
          <w:top w:val="nil"/>
          <w:left w:val="nil"/>
        </w:tcBorders>
      </w:tcPr>
    </w:tblStylePr>
    <w:tblStylePr w:type="swCell">
      <w:tblPr/>
      <w:trPr>
        <w:hidden/>
      </w:trPr>
      <w:tcPr>
        <w:tcBorders>
          <w:top w:val="nil"/>
          <w:right w:val="nil"/>
        </w:tcBorders>
      </w:tcPr>
    </w:tblStylePr>
  </w:style>
  <w:style w:type="table" w:styleId="ListTable5Dark-Accent5">
    <w:name w:val="List Table 5 Dark Accent 5"/>
    <w:basedOn w:val="TableNormal"/>
    <w:uiPriority w:val="50"/>
    <w:rsid w:val="00150F71"/>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rPr>
      <w:hidden/>
    </w:trPr>
    <w:tcPr>
      <w:shd w:val="clear" w:color="auto" w:fill="4BACC6" w:themeFill="accent5"/>
    </w:tcPr>
    <w:tblStylePr w:type="firstRow">
      <w:rPr>
        <w:b/>
        <w:bCs/>
      </w:rPr>
      <w:tblPr/>
      <w:trPr>
        <w:hidden/>
      </w:trPr>
      <w:tcPr>
        <w:tcBorders>
          <w:bottom w:val="single" w:sz="18" w:space="0" w:color="FFFFFF" w:themeColor="background1"/>
        </w:tcBorders>
      </w:tcPr>
    </w:tblStylePr>
    <w:tblStylePr w:type="lastRow">
      <w:rPr>
        <w:b/>
        <w:bCs/>
      </w:rPr>
      <w:tblPr/>
      <w:trPr>
        <w:hidden/>
      </w:trPr>
      <w:tcPr>
        <w:tcBorders>
          <w:top w:val="single" w:sz="4" w:space="0" w:color="FFFFFF" w:themeColor="background1"/>
        </w:tcBorders>
      </w:tcPr>
    </w:tblStylePr>
    <w:tblStylePr w:type="firstCol">
      <w:rPr>
        <w:b/>
        <w:bCs/>
      </w:rPr>
      <w:tblPr/>
      <w:trPr>
        <w:hidden/>
      </w:trPr>
      <w:tcPr>
        <w:tcBorders>
          <w:right w:val="single" w:sz="4" w:space="0" w:color="FFFFFF" w:themeColor="background1"/>
        </w:tcBorders>
      </w:tcPr>
    </w:tblStylePr>
    <w:tblStylePr w:type="lastCol">
      <w:rPr>
        <w:b/>
        <w:bCs/>
      </w:rPr>
      <w:tblPr/>
      <w:trPr>
        <w:hidden/>
      </w:trPr>
      <w:tcPr>
        <w:tcBorders>
          <w:left w:val="single" w:sz="4" w:space="0" w:color="FFFFFF" w:themeColor="background1"/>
        </w:tcBorders>
      </w:tcPr>
    </w:tblStylePr>
    <w:tblStylePr w:type="band1Vert">
      <w:tblPr/>
      <w:trPr>
        <w:hidden/>
      </w:trPr>
      <w:tcPr>
        <w:tcBorders>
          <w:left w:val="single" w:sz="4" w:space="0" w:color="FFFFFF" w:themeColor="background1"/>
          <w:right w:val="single" w:sz="4" w:space="0" w:color="FFFFFF" w:themeColor="background1"/>
        </w:tcBorders>
      </w:tcPr>
    </w:tblStylePr>
    <w:tblStylePr w:type="band2Vert">
      <w:tblPr/>
      <w:trPr>
        <w:hidden/>
      </w:trPr>
      <w:tcPr>
        <w:tcBorders>
          <w:left w:val="single" w:sz="4" w:space="0" w:color="FFFFFF" w:themeColor="background1"/>
          <w:right w:val="single" w:sz="4" w:space="0" w:color="FFFFFF" w:themeColor="background1"/>
        </w:tcBorders>
      </w:tcPr>
    </w:tblStylePr>
    <w:tblStylePr w:type="band1Horz">
      <w:tblPr/>
      <w:trPr>
        <w:hidden/>
      </w:trPr>
      <w:tcPr>
        <w:tcBorders>
          <w:top w:val="single" w:sz="4" w:space="0" w:color="FFFFFF" w:themeColor="background1"/>
          <w:bottom w:val="single" w:sz="4" w:space="0" w:color="FFFFFF" w:themeColor="background1"/>
        </w:tcBorders>
      </w:tcPr>
    </w:tblStylePr>
    <w:tblStylePr w:type="neCell">
      <w:tblPr/>
      <w:trPr>
        <w:hidden/>
      </w:trPr>
      <w:tcPr>
        <w:tcBorders>
          <w:left w:val="nil"/>
        </w:tcBorders>
      </w:tcPr>
    </w:tblStylePr>
    <w:tblStylePr w:type="nwCell">
      <w:tblPr/>
      <w:trPr>
        <w:hidden/>
      </w:trPr>
      <w:tcPr>
        <w:tcBorders>
          <w:right w:val="nil"/>
        </w:tcBorders>
      </w:tcPr>
    </w:tblStylePr>
    <w:tblStylePr w:type="seCell">
      <w:tblPr/>
      <w:trPr>
        <w:hidden/>
      </w:trPr>
      <w:tcPr>
        <w:tcBorders>
          <w:top w:val="nil"/>
          <w:left w:val="nil"/>
        </w:tcBorders>
      </w:tcPr>
    </w:tblStylePr>
    <w:tblStylePr w:type="swCell">
      <w:tblPr/>
      <w:trPr>
        <w:hidden/>
      </w:trPr>
      <w:tcPr>
        <w:tcBorders>
          <w:top w:val="nil"/>
          <w:right w:val="nil"/>
        </w:tcBorders>
      </w:tcPr>
    </w:tblStylePr>
  </w:style>
  <w:style w:type="table" w:styleId="ListTable5Dark-Accent6">
    <w:name w:val="List Table 5 Dark Accent 6"/>
    <w:basedOn w:val="TableNormal"/>
    <w:uiPriority w:val="50"/>
    <w:rsid w:val="00150F71"/>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rPr>
      <w:hidden/>
    </w:trPr>
    <w:tcPr>
      <w:shd w:val="clear" w:color="auto" w:fill="F79646" w:themeFill="accent6"/>
    </w:tcPr>
    <w:tblStylePr w:type="firstRow">
      <w:rPr>
        <w:b/>
        <w:bCs/>
      </w:rPr>
      <w:tblPr/>
      <w:trPr>
        <w:hidden/>
      </w:trPr>
      <w:tcPr>
        <w:tcBorders>
          <w:bottom w:val="single" w:sz="18" w:space="0" w:color="FFFFFF" w:themeColor="background1"/>
        </w:tcBorders>
      </w:tcPr>
    </w:tblStylePr>
    <w:tblStylePr w:type="lastRow">
      <w:rPr>
        <w:b/>
        <w:bCs/>
      </w:rPr>
      <w:tblPr/>
      <w:trPr>
        <w:hidden/>
      </w:trPr>
      <w:tcPr>
        <w:tcBorders>
          <w:top w:val="single" w:sz="4" w:space="0" w:color="FFFFFF" w:themeColor="background1"/>
        </w:tcBorders>
      </w:tcPr>
    </w:tblStylePr>
    <w:tblStylePr w:type="firstCol">
      <w:rPr>
        <w:b/>
        <w:bCs/>
      </w:rPr>
      <w:tblPr/>
      <w:trPr>
        <w:hidden/>
      </w:trPr>
      <w:tcPr>
        <w:tcBorders>
          <w:right w:val="single" w:sz="4" w:space="0" w:color="FFFFFF" w:themeColor="background1"/>
        </w:tcBorders>
      </w:tcPr>
    </w:tblStylePr>
    <w:tblStylePr w:type="lastCol">
      <w:rPr>
        <w:b/>
        <w:bCs/>
      </w:rPr>
      <w:tblPr/>
      <w:trPr>
        <w:hidden/>
      </w:trPr>
      <w:tcPr>
        <w:tcBorders>
          <w:left w:val="single" w:sz="4" w:space="0" w:color="FFFFFF" w:themeColor="background1"/>
        </w:tcBorders>
      </w:tcPr>
    </w:tblStylePr>
    <w:tblStylePr w:type="band1Vert">
      <w:tblPr/>
      <w:trPr>
        <w:hidden/>
      </w:trPr>
      <w:tcPr>
        <w:tcBorders>
          <w:left w:val="single" w:sz="4" w:space="0" w:color="FFFFFF" w:themeColor="background1"/>
          <w:right w:val="single" w:sz="4" w:space="0" w:color="FFFFFF" w:themeColor="background1"/>
        </w:tcBorders>
      </w:tcPr>
    </w:tblStylePr>
    <w:tblStylePr w:type="band2Vert">
      <w:tblPr/>
      <w:trPr>
        <w:hidden/>
      </w:trPr>
      <w:tcPr>
        <w:tcBorders>
          <w:left w:val="single" w:sz="4" w:space="0" w:color="FFFFFF" w:themeColor="background1"/>
          <w:right w:val="single" w:sz="4" w:space="0" w:color="FFFFFF" w:themeColor="background1"/>
        </w:tcBorders>
      </w:tcPr>
    </w:tblStylePr>
    <w:tblStylePr w:type="band1Horz">
      <w:tblPr/>
      <w:trPr>
        <w:hidden/>
      </w:trPr>
      <w:tcPr>
        <w:tcBorders>
          <w:top w:val="single" w:sz="4" w:space="0" w:color="FFFFFF" w:themeColor="background1"/>
          <w:bottom w:val="single" w:sz="4" w:space="0" w:color="FFFFFF" w:themeColor="background1"/>
        </w:tcBorders>
      </w:tcPr>
    </w:tblStylePr>
    <w:tblStylePr w:type="neCell">
      <w:tblPr/>
      <w:trPr>
        <w:hidden/>
      </w:trPr>
      <w:tcPr>
        <w:tcBorders>
          <w:left w:val="nil"/>
        </w:tcBorders>
      </w:tcPr>
    </w:tblStylePr>
    <w:tblStylePr w:type="nwCell">
      <w:tblPr/>
      <w:trPr>
        <w:hidden/>
      </w:trPr>
      <w:tcPr>
        <w:tcBorders>
          <w:right w:val="nil"/>
        </w:tcBorders>
      </w:tcPr>
    </w:tblStylePr>
    <w:tblStylePr w:type="seCell">
      <w:tblPr/>
      <w:trPr>
        <w:hidden/>
      </w:trPr>
      <w:tcPr>
        <w:tcBorders>
          <w:top w:val="nil"/>
          <w:left w:val="nil"/>
        </w:tcBorders>
      </w:tcPr>
    </w:tblStylePr>
    <w:tblStylePr w:type="swCell">
      <w:tblPr/>
      <w:trPr>
        <w:hidden/>
      </w:trPr>
      <w:tcPr>
        <w:tcBorders>
          <w:top w:val="nil"/>
          <w:right w:val="nil"/>
        </w:tcBorders>
      </w:tcPr>
    </w:tblStylePr>
  </w:style>
  <w:style w:type="table" w:styleId="ListTable6Colorful">
    <w:name w:val="List Table 6 Colorful"/>
    <w:basedOn w:val="TableNormal"/>
    <w:uiPriority w:val="51"/>
    <w:rsid w:val="00150F71"/>
    <w:rPr>
      <w:color w:val="000000" w:themeColor="text1"/>
    </w:rPr>
    <w:tblPr>
      <w:tblStyleRowBandSize w:val="1"/>
      <w:tblStyleColBandSize w:val="1"/>
      <w:tblBorders>
        <w:top w:val="single" w:sz="4" w:space="0" w:color="000000" w:themeColor="text1"/>
        <w:bottom w:val="single" w:sz="4" w:space="0" w:color="000000" w:themeColor="text1"/>
      </w:tblBorders>
    </w:tblPr>
    <w:trPr>
      <w:hidden/>
    </w:trPr>
    <w:tblStylePr w:type="firstRow">
      <w:rPr>
        <w:b/>
        <w:bCs/>
      </w:rPr>
      <w:tblPr/>
      <w:trPr>
        <w:hidden/>
      </w:trPr>
      <w:tcPr>
        <w:tcBorders>
          <w:bottom w:val="single" w:sz="4" w:space="0" w:color="000000" w:themeColor="text1"/>
        </w:tcBorders>
      </w:tcPr>
    </w:tblStylePr>
    <w:tblStylePr w:type="lastRow">
      <w:rPr>
        <w:b/>
        <w:bCs/>
      </w:rPr>
      <w:tblPr/>
      <w:trPr>
        <w:hidden/>
      </w:trPr>
      <w:tcPr>
        <w:tcBorders>
          <w:top w:val="double" w:sz="4" w:space="0" w:color="000000" w:themeColor="text1"/>
        </w:tcBorders>
      </w:tcPr>
    </w:tblStylePr>
    <w:tblStylePr w:type="firstCol">
      <w:rPr>
        <w:b/>
        <w:bCs/>
      </w:rPr>
    </w:tblStylePr>
    <w:tblStylePr w:type="lastCol">
      <w:rPr>
        <w:b/>
        <w:bCs/>
      </w:rPr>
    </w:tblStylePr>
    <w:tblStylePr w:type="band1Vert">
      <w:tblPr/>
      <w:trPr>
        <w:hidden/>
      </w:trPr>
      <w:tcPr>
        <w:shd w:val="clear" w:color="auto" w:fill="CCCCCC" w:themeFill="text1" w:themeFillTint="33"/>
      </w:tcPr>
    </w:tblStylePr>
    <w:tblStylePr w:type="band1Horz">
      <w:tblPr/>
      <w:trPr>
        <w:hidden/>
      </w:trPr>
      <w:tcPr>
        <w:shd w:val="clear" w:color="auto" w:fill="CCCCCC" w:themeFill="text1" w:themeFillTint="33"/>
      </w:tcPr>
    </w:tblStylePr>
  </w:style>
  <w:style w:type="table" w:styleId="ListTable6Colorful-Accent1">
    <w:name w:val="List Table 6 Colorful Accent 1"/>
    <w:basedOn w:val="TableNormal"/>
    <w:uiPriority w:val="51"/>
    <w:rsid w:val="00150F71"/>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rPr>
      <w:hidden/>
    </w:trPr>
    <w:tblStylePr w:type="firstRow">
      <w:rPr>
        <w:b/>
        <w:bCs/>
      </w:rPr>
      <w:tblPr/>
      <w:trPr>
        <w:hidden/>
      </w:trPr>
      <w:tcPr>
        <w:tcBorders>
          <w:bottom w:val="single" w:sz="4" w:space="0" w:color="4F81BD" w:themeColor="accent1"/>
        </w:tcBorders>
      </w:tcPr>
    </w:tblStylePr>
    <w:tblStylePr w:type="lastRow">
      <w:rPr>
        <w:b/>
        <w:bCs/>
      </w:rPr>
      <w:tblPr/>
      <w:trPr>
        <w:hidden/>
      </w:trPr>
      <w:tcPr>
        <w:tcBorders>
          <w:top w:val="double" w:sz="4" w:space="0" w:color="4F81BD" w:themeColor="accent1"/>
        </w:tcBorders>
      </w:tcPr>
    </w:tblStylePr>
    <w:tblStylePr w:type="firstCol">
      <w:rPr>
        <w:b/>
        <w:bCs/>
      </w:rPr>
    </w:tblStylePr>
    <w:tblStylePr w:type="lastCol">
      <w:rPr>
        <w:b/>
        <w:bCs/>
      </w:rPr>
    </w:tblStylePr>
    <w:tblStylePr w:type="band1Vert">
      <w:tblPr/>
      <w:trPr>
        <w:hidden/>
      </w:trPr>
      <w:tcPr>
        <w:shd w:val="clear" w:color="auto" w:fill="DBE5F1" w:themeFill="accent1" w:themeFillTint="33"/>
      </w:tcPr>
    </w:tblStylePr>
    <w:tblStylePr w:type="band1Horz">
      <w:tblPr/>
      <w:trPr>
        <w:hidden/>
      </w:trPr>
      <w:tcPr>
        <w:shd w:val="clear" w:color="auto" w:fill="DBE5F1" w:themeFill="accent1" w:themeFillTint="33"/>
      </w:tcPr>
    </w:tblStylePr>
  </w:style>
  <w:style w:type="table" w:styleId="ListTable6Colorful-Accent2">
    <w:name w:val="List Table 6 Colorful Accent 2"/>
    <w:basedOn w:val="TableNormal"/>
    <w:uiPriority w:val="51"/>
    <w:rsid w:val="00150F71"/>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rPr>
      <w:hidden/>
    </w:trPr>
    <w:tblStylePr w:type="firstRow">
      <w:rPr>
        <w:b/>
        <w:bCs/>
      </w:rPr>
      <w:tblPr/>
      <w:trPr>
        <w:hidden/>
      </w:trPr>
      <w:tcPr>
        <w:tcBorders>
          <w:bottom w:val="single" w:sz="4" w:space="0" w:color="C0504D" w:themeColor="accent2"/>
        </w:tcBorders>
      </w:tcPr>
    </w:tblStylePr>
    <w:tblStylePr w:type="lastRow">
      <w:rPr>
        <w:b/>
        <w:bCs/>
      </w:rPr>
      <w:tblPr/>
      <w:trPr>
        <w:hidden/>
      </w:trPr>
      <w:tcPr>
        <w:tcBorders>
          <w:top w:val="double" w:sz="4" w:space="0" w:color="C0504D" w:themeColor="accent2"/>
        </w:tcBorders>
      </w:tcPr>
    </w:tblStylePr>
    <w:tblStylePr w:type="firstCol">
      <w:rPr>
        <w:b/>
        <w:bCs/>
      </w:rPr>
    </w:tblStylePr>
    <w:tblStylePr w:type="lastCol">
      <w:rPr>
        <w:b/>
        <w:bCs/>
      </w:rPr>
    </w:tblStylePr>
    <w:tblStylePr w:type="band1Vert">
      <w:tblPr/>
      <w:trPr>
        <w:hidden/>
      </w:trPr>
      <w:tcPr>
        <w:shd w:val="clear" w:color="auto" w:fill="F2DBDB" w:themeFill="accent2" w:themeFillTint="33"/>
      </w:tcPr>
    </w:tblStylePr>
    <w:tblStylePr w:type="band1Horz">
      <w:tblPr/>
      <w:trPr>
        <w:hidden/>
      </w:trPr>
      <w:tcPr>
        <w:shd w:val="clear" w:color="auto" w:fill="F2DBDB" w:themeFill="accent2" w:themeFillTint="33"/>
      </w:tcPr>
    </w:tblStylePr>
  </w:style>
  <w:style w:type="table" w:styleId="ListTable6Colorful-Accent3">
    <w:name w:val="List Table 6 Colorful Accent 3"/>
    <w:basedOn w:val="TableNormal"/>
    <w:uiPriority w:val="51"/>
    <w:rsid w:val="00150F71"/>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rPr>
      <w:hidden/>
    </w:trPr>
    <w:tblStylePr w:type="firstRow">
      <w:rPr>
        <w:b/>
        <w:bCs/>
      </w:rPr>
      <w:tblPr/>
      <w:trPr>
        <w:hidden/>
      </w:trPr>
      <w:tcPr>
        <w:tcBorders>
          <w:bottom w:val="single" w:sz="4" w:space="0" w:color="9BBB59" w:themeColor="accent3"/>
        </w:tcBorders>
      </w:tcPr>
    </w:tblStylePr>
    <w:tblStylePr w:type="lastRow">
      <w:rPr>
        <w:b/>
        <w:bCs/>
      </w:rPr>
      <w:tblPr/>
      <w:trPr>
        <w:hidden/>
      </w:trPr>
      <w:tcPr>
        <w:tcBorders>
          <w:top w:val="double" w:sz="4" w:space="0" w:color="9BBB59" w:themeColor="accent3"/>
        </w:tcBorders>
      </w:tcPr>
    </w:tblStylePr>
    <w:tblStylePr w:type="firstCol">
      <w:rPr>
        <w:b/>
        <w:bCs/>
      </w:rPr>
    </w:tblStylePr>
    <w:tblStylePr w:type="lastCol">
      <w:rPr>
        <w:b/>
        <w:bCs/>
      </w:rPr>
    </w:tblStylePr>
    <w:tblStylePr w:type="band1Vert">
      <w:tblPr/>
      <w:trPr>
        <w:hidden/>
      </w:trPr>
      <w:tcPr>
        <w:shd w:val="clear" w:color="auto" w:fill="EAF1DD" w:themeFill="accent3" w:themeFillTint="33"/>
      </w:tcPr>
    </w:tblStylePr>
    <w:tblStylePr w:type="band1Horz">
      <w:tblPr/>
      <w:trPr>
        <w:hidden/>
      </w:trPr>
      <w:tcPr>
        <w:shd w:val="clear" w:color="auto" w:fill="EAF1DD" w:themeFill="accent3" w:themeFillTint="33"/>
      </w:tcPr>
    </w:tblStylePr>
  </w:style>
  <w:style w:type="table" w:styleId="ListTable6Colorful-Accent4">
    <w:name w:val="List Table 6 Colorful Accent 4"/>
    <w:basedOn w:val="TableNormal"/>
    <w:uiPriority w:val="51"/>
    <w:rsid w:val="00150F71"/>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rPr>
      <w:hidden/>
    </w:trPr>
    <w:tblStylePr w:type="firstRow">
      <w:rPr>
        <w:b/>
        <w:bCs/>
      </w:rPr>
      <w:tblPr/>
      <w:trPr>
        <w:hidden/>
      </w:trPr>
      <w:tcPr>
        <w:tcBorders>
          <w:bottom w:val="single" w:sz="4" w:space="0" w:color="8064A2" w:themeColor="accent4"/>
        </w:tcBorders>
      </w:tcPr>
    </w:tblStylePr>
    <w:tblStylePr w:type="lastRow">
      <w:rPr>
        <w:b/>
        <w:bCs/>
      </w:rPr>
      <w:tblPr/>
      <w:trPr>
        <w:hidden/>
      </w:trPr>
      <w:tcPr>
        <w:tcBorders>
          <w:top w:val="double" w:sz="4" w:space="0" w:color="8064A2" w:themeColor="accent4"/>
        </w:tcBorders>
      </w:tcPr>
    </w:tblStylePr>
    <w:tblStylePr w:type="firstCol">
      <w:rPr>
        <w:b/>
        <w:bCs/>
      </w:rPr>
    </w:tblStylePr>
    <w:tblStylePr w:type="lastCol">
      <w:rPr>
        <w:b/>
        <w:bCs/>
      </w:rPr>
    </w:tblStylePr>
    <w:tblStylePr w:type="band1Vert">
      <w:tblPr/>
      <w:trPr>
        <w:hidden/>
      </w:trPr>
      <w:tcPr>
        <w:shd w:val="clear" w:color="auto" w:fill="E5DFEC" w:themeFill="accent4" w:themeFillTint="33"/>
      </w:tcPr>
    </w:tblStylePr>
    <w:tblStylePr w:type="band1Horz">
      <w:tblPr/>
      <w:trPr>
        <w:hidden/>
      </w:trPr>
      <w:tcPr>
        <w:shd w:val="clear" w:color="auto" w:fill="E5DFEC" w:themeFill="accent4" w:themeFillTint="33"/>
      </w:tcPr>
    </w:tblStylePr>
  </w:style>
  <w:style w:type="table" w:styleId="ListTable6Colorful-Accent5">
    <w:name w:val="List Table 6 Colorful Accent 5"/>
    <w:basedOn w:val="TableNormal"/>
    <w:uiPriority w:val="51"/>
    <w:rsid w:val="00150F71"/>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rPr>
      <w:hidden/>
    </w:trPr>
    <w:tblStylePr w:type="firstRow">
      <w:rPr>
        <w:b/>
        <w:bCs/>
      </w:rPr>
      <w:tblPr/>
      <w:trPr>
        <w:hidden/>
      </w:trPr>
      <w:tcPr>
        <w:tcBorders>
          <w:bottom w:val="single" w:sz="4" w:space="0" w:color="4BACC6" w:themeColor="accent5"/>
        </w:tcBorders>
      </w:tcPr>
    </w:tblStylePr>
    <w:tblStylePr w:type="lastRow">
      <w:rPr>
        <w:b/>
        <w:bCs/>
      </w:rPr>
      <w:tblPr/>
      <w:trPr>
        <w:hidden/>
      </w:trPr>
      <w:tcPr>
        <w:tcBorders>
          <w:top w:val="double" w:sz="4" w:space="0" w:color="4BACC6" w:themeColor="accent5"/>
        </w:tcBorders>
      </w:tcPr>
    </w:tblStylePr>
    <w:tblStylePr w:type="firstCol">
      <w:rPr>
        <w:b/>
        <w:bCs/>
      </w:rPr>
    </w:tblStylePr>
    <w:tblStylePr w:type="lastCol">
      <w:rPr>
        <w:b/>
        <w:bCs/>
      </w:rPr>
    </w:tblStylePr>
    <w:tblStylePr w:type="band1Vert">
      <w:tblPr/>
      <w:trPr>
        <w:hidden/>
      </w:trPr>
      <w:tcPr>
        <w:shd w:val="clear" w:color="auto" w:fill="DAEEF3" w:themeFill="accent5" w:themeFillTint="33"/>
      </w:tcPr>
    </w:tblStylePr>
    <w:tblStylePr w:type="band1Horz">
      <w:tblPr/>
      <w:trPr>
        <w:hidden/>
      </w:trPr>
      <w:tcPr>
        <w:shd w:val="clear" w:color="auto" w:fill="DAEEF3" w:themeFill="accent5" w:themeFillTint="33"/>
      </w:tcPr>
    </w:tblStylePr>
  </w:style>
  <w:style w:type="table" w:styleId="ListTable6Colorful-Accent6">
    <w:name w:val="List Table 6 Colorful Accent 6"/>
    <w:basedOn w:val="TableNormal"/>
    <w:uiPriority w:val="51"/>
    <w:rsid w:val="00150F71"/>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rPr>
      <w:hidden/>
    </w:trPr>
    <w:tblStylePr w:type="firstRow">
      <w:rPr>
        <w:b/>
        <w:bCs/>
      </w:rPr>
      <w:tblPr/>
      <w:trPr>
        <w:hidden/>
      </w:trPr>
      <w:tcPr>
        <w:tcBorders>
          <w:bottom w:val="single" w:sz="4" w:space="0" w:color="F79646" w:themeColor="accent6"/>
        </w:tcBorders>
      </w:tcPr>
    </w:tblStylePr>
    <w:tblStylePr w:type="lastRow">
      <w:rPr>
        <w:b/>
        <w:bCs/>
      </w:rPr>
      <w:tblPr/>
      <w:trPr>
        <w:hidden/>
      </w:trPr>
      <w:tcPr>
        <w:tcBorders>
          <w:top w:val="double" w:sz="4" w:space="0" w:color="F79646" w:themeColor="accent6"/>
        </w:tcBorders>
      </w:tcPr>
    </w:tblStylePr>
    <w:tblStylePr w:type="firstCol">
      <w:rPr>
        <w:b/>
        <w:bCs/>
      </w:rPr>
    </w:tblStylePr>
    <w:tblStylePr w:type="lastCol">
      <w:rPr>
        <w:b/>
        <w:bCs/>
      </w:rPr>
    </w:tblStylePr>
    <w:tblStylePr w:type="band1Vert">
      <w:tblPr/>
      <w:trPr>
        <w:hidden/>
      </w:trPr>
      <w:tcPr>
        <w:shd w:val="clear" w:color="auto" w:fill="FDE9D9" w:themeFill="accent6" w:themeFillTint="33"/>
      </w:tcPr>
    </w:tblStylePr>
    <w:tblStylePr w:type="band1Horz">
      <w:tblPr/>
      <w:trPr>
        <w:hidden/>
      </w:trPr>
      <w:tcPr>
        <w:shd w:val="clear" w:color="auto" w:fill="FDE9D9" w:themeFill="accent6" w:themeFillTint="33"/>
      </w:tcPr>
    </w:tblStylePr>
  </w:style>
  <w:style w:type="table" w:styleId="ListTable7Colorful">
    <w:name w:val="List Table 7 Colorful"/>
    <w:basedOn w:val="TableNormal"/>
    <w:uiPriority w:val="52"/>
    <w:rsid w:val="00150F71"/>
    <w:rPr>
      <w:color w:val="000000" w:themeColor="text1"/>
    </w:rPr>
    <w:tblPr>
      <w:tblStyleRowBandSize w:val="1"/>
      <w:tblStyleColBandSize w:val="1"/>
    </w:tblPr>
    <w:trPr>
      <w:hidden/>
    </w:trPr>
    <w:tblStylePr w:type="firstRow">
      <w:rPr>
        <w:rFonts w:asciiTheme="majorHAnsi" w:eastAsiaTheme="majorEastAsia" w:hAnsiTheme="majorHAnsi" w:cstheme="majorBidi"/>
        <w:i/>
        <w:iCs/>
        <w:sz w:val="26"/>
      </w:rPr>
      <w:tblPr/>
      <w:trPr>
        <w:hidden/>
      </w:tr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rPr>
        <w:hidden/>
      </w:tr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rPr>
        <w:hidden/>
      </w:tr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rPr>
        <w:hidden/>
      </w:trPr>
      <w:tcPr>
        <w:tcBorders>
          <w:left w:val="single" w:sz="4" w:space="0" w:color="000000" w:themeColor="text1"/>
        </w:tcBorders>
        <w:shd w:val="clear" w:color="auto" w:fill="FFFFFF" w:themeFill="background1"/>
      </w:tcPr>
    </w:tblStylePr>
    <w:tblStylePr w:type="band1Vert">
      <w:tblPr/>
      <w:trPr>
        <w:hidden/>
      </w:trPr>
      <w:tcPr>
        <w:shd w:val="clear" w:color="auto" w:fill="CCCCCC" w:themeFill="text1" w:themeFillTint="33"/>
      </w:tcPr>
    </w:tblStylePr>
    <w:tblStylePr w:type="band1Horz">
      <w:tblPr/>
      <w:trPr>
        <w:hidden/>
      </w:trPr>
      <w:tcPr>
        <w:shd w:val="clear" w:color="auto" w:fill="CCCCCC" w:themeFill="text1" w:themeFillTint="33"/>
      </w:tcPr>
    </w:tblStylePr>
    <w:tblStylePr w:type="neCell">
      <w:tblPr/>
      <w:trPr>
        <w:hidden/>
      </w:trPr>
      <w:tcPr>
        <w:tcBorders>
          <w:left w:val="nil"/>
        </w:tcBorders>
      </w:tcPr>
    </w:tblStylePr>
    <w:tblStylePr w:type="nwCell">
      <w:tblPr/>
      <w:trPr>
        <w:hidden/>
      </w:trPr>
      <w:tcPr>
        <w:tcBorders>
          <w:right w:val="nil"/>
        </w:tcBorders>
      </w:tcPr>
    </w:tblStylePr>
    <w:tblStylePr w:type="seCell">
      <w:tblPr/>
      <w:trPr>
        <w:hidden/>
      </w:trPr>
      <w:tcPr>
        <w:tcBorders>
          <w:left w:val="nil"/>
        </w:tcBorders>
      </w:tcPr>
    </w:tblStylePr>
    <w:tblStylePr w:type="swCell">
      <w:tblPr/>
      <w:trPr>
        <w:hidden/>
      </w:trPr>
      <w:tcPr>
        <w:tcBorders>
          <w:right w:val="nil"/>
        </w:tcBorders>
      </w:tcPr>
    </w:tblStylePr>
  </w:style>
  <w:style w:type="table" w:styleId="ListTable7Colorful-Accent1">
    <w:name w:val="List Table 7 Colorful Accent 1"/>
    <w:basedOn w:val="TableNormal"/>
    <w:uiPriority w:val="52"/>
    <w:rsid w:val="00150F71"/>
    <w:rPr>
      <w:color w:val="365F91" w:themeColor="accent1" w:themeShade="BF"/>
    </w:rPr>
    <w:tblPr>
      <w:tblStyleRowBandSize w:val="1"/>
      <w:tblStyleColBandSize w:val="1"/>
    </w:tblPr>
    <w:trPr>
      <w:hidden/>
    </w:trPr>
    <w:tblStylePr w:type="firstRow">
      <w:rPr>
        <w:rFonts w:asciiTheme="majorHAnsi" w:eastAsiaTheme="majorEastAsia" w:hAnsiTheme="majorHAnsi" w:cstheme="majorBidi"/>
        <w:i/>
        <w:iCs/>
        <w:sz w:val="26"/>
      </w:rPr>
      <w:tblPr/>
      <w:trPr>
        <w:hidden/>
      </w:tr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rPr>
        <w:hidden/>
      </w:tr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rPr>
        <w:hidden/>
      </w:tr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rPr>
        <w:hidden/>
      </w:trPr>
      <w:tcPr>
        <w:tcBorders>
          <w:left w:val="single" w:sz="4" w:space="0" w:color="4F81BD" w:themeColor="accent1"/>
        </w:tcBorders>
        <w:shd w:val="clear" w:color="auto" w:fill="FFFFFF" w:themeFill="background1"/>
      </w:tcPr>
    </w:tblStylePr>
    <w:tblStylePr w:type="band1Vert">
      <w:tblPr/>
      <w:trPr>
        <w:hidden/>
      </w:trPr>
      <w:tcPr>
        <w:shd w:val="clear" w:color="auto" w:fill="DBE5F1" w:themeFill="accent1" w:themeFillTint="33"/>
      </w:tcPr>
    </w:tblStylePr>
    <w:tblStylePr w:type="band1Horz">
      <w:tblPr/>
      <w:trPr>
        <w:hidden/>
      </w:trPr>
      <w:tcPr>
        <w:shd w:val="clear" w:color="auto" w:fill="DBE5F1" w:themeFill="accent1" w:themeFillTint="33"/>
      </w:tcPr>
    </w:tblStylePr>
    <w:tblStylePr w:type="neCell">
      <w:tblPr/>
      <w:trPr>
        <w:hidden/>
      </w:trPr>
      <w:tcPr>
        <w:tcBorders>
          <w:left w:val="nil"/>
        </w:tcBorders>
      </w:tcPr>
    </w:tblStylePr>
    <w:tblStylePr w:type="nwCell">
      <w:tblPr/>
      <w:trPr>
        <w:hidden/>
      </w:trPr>
      <w:tcPr>
        <w:tcBorders>
          <w:right w:val="nil"/>
        </w:tcBorders>
      </w:tcPr>
    </w:tblStylePr>
    <w:tblStylePr w:type="seCell">
      <w:tblPr/>
      <w:trPr>
        <w:hidden/>
      </w:trPr>
      <w:tcPr>
        <w:tcBorders>
          <w:left w:val="nil"/>
        </w:tcBorders>
      </w:tcPr>
    </w:tblStylePr>
    <w:tblStylePr w:type="swCell">
      <w:tblPr/>
      <w:trPr>
        <w:hidden/>
      </w:trPr>
      <w:tcPr>
        <w:tcBorders>
          <w:right w:val="nil"/>
        </w:tcBorders>
      </w:tcPr>
    </w:tblStylePr>
  </w:style>
  <w:style w:type="table" w:styleId="ListTable7Colorful-Accent2">
    <w:name w:val="List Table 7 Colorful Accent 2"/>
    <w:basedOn w:val="TableNormal"/>
    <w:uiPriority w:val="52"/>
    <w:rsid w:val="00150F71"/>
    <w:rPr>
      <w:color w:val="943634" w:themeColor="accent2" w:themeShade="BF"/>
    </w:rPr>
    <w:tblPr>
      <w:tblStyleRowBandSize w:val="1"/>
      <w:tblStyleColBandSize w:val="1"/>
    </w:tblPr>
    <w:trPr>
      <w:hidden/>
    </w:trPr>
    <w:tblStylePr w:type="firstRow">
      <w:rPr>
        <w:rFonts w:asciiTheme="majorHAnsi" w:eastAsiaTheme="majorEastAsia" w:hAnsiTheme="majorHAnsi" w:cstheme="majorBidi"/>
        <w:i/>
        <w:iCs/>
        <w:sz w:val="26"/>
      </w:rPr>
      <w:tblPr/>
      <w:trPr>
        <w:hidden/>
      </w:tr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rPr>
        <w:hidden/>
      </w:tr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rPr>
        <w:hidden/>
      </w:tr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rPr>
        <w:hidden/>
      </w:trPr>
      <w:tcPr>
        <w:tcBorders>
          <w:left w:val="single" w:sz="4" w:space="0" w:color="C0504D" w:themeColor="accent2"/>
        </w:tcBorders>
        <w:shd w:val="clear" w:color="auto" w:fill="FFFFFF" w:themeFill="background1"/>
      </w:tcPr>
    </w:tblStylePr>
    <w:tblStylePr w:type="band1Vert">
      <w:tblPr/>
      <w:trPr>
        <w:hidden/>
      </w:trPr>
      <w:tcPr>
        <w:shd w:val="clear" w:color="auto" w:fill="F2DBDB" w:themeFill="accent2" w:themeFillTint="33"/>
      </w:tcPr>
    </w:tblStylePr>
    <w:tblStylePr w:type="band1Horz">
      <w:tblPr/>
      <w:trPr>
        <w:hidden/>
      </w:trPr>
      <w:tcPr>
        <w:shd w:val="clear" w:color="auto" w:fill="F2DBDB" w:themeFill="accent2" w:themeFillTint="33"/>
      </w:tcPr>
    </w:tblStylePr>
    <w:tblStylePr w:type="neCell">
      <w:tblPr/>
      <w:trPr>
        <w:hidden/>
      </w:trPr>
      <w:tcPr>
        <w:tcBorders>
          <w:left w:val="nil"/>
        </w:tcBorders>
      </w:tcPr>
    </w:tblStylePr>
    <w:tblStylePr w:type="nwCell">
      <w:tblPr/>
      <w:trPr>
        <w:hidden/>
      </w:trPr>
      <w:tcPr>
        <w:tcBorders>
          <w:right w:val="nil"/>
        </w:tcBorders>
      </w:tcPr>
    </w:tblStylePr>
    <w:tblStylePr w:type="seCell">
      <w:tblPr/>
      <w:trPr>
        <w:hidden/>
      </w:trPr>
      <w:tcPr>
        <w:tcBorders>
          <w:left w:val="nil"/>
        </w:tcBorders>
      </w:tcPr>
    </w:tblStylePr>
    <w:tblStylePr w:type="swCell">
      <w:tblPr/>
      <w:trPr>
        <w:hidden/>
      </w:trPr>
      <w:tcPr>
        <w:tcBorders>
          <w:right w:val="nil"/>
        </w:tcBorders>
      </w:tcPr>
    </w:tblStylePr>
  </w:style>
  <w:style w:type="table" w:styleId="ListTable7Colorful-Accent3">
    <w:name w:val="List Table 7 Colorful Accent 3"/>
    <w:basedOn w:val="TableNormal"/>
    <w:uiPriority w:val="52"/>
    <w:rsid w:val="00150F71"/>
    <w:rPr>
      <w:color w:val="76923C" w:themeColor="accent3" w:themeShade="BF"/>
    </w:rPr>
    <w:tblPr>
      <w:tblStyleRowBandSize w:val="1"/>
      <w:tblStyleColBandSize w:val="1"/>
    </w:tblPr>
    <w:trPr>
      <w:hidden/>
    </w:trPr>
    <w:tblStylePr w:type="firstRow">
      <w:rPr>
        <w:rFonts w:asciiTheme="majorHAnsi" w:eastAsiaTheme="majorEastAsia" w:hAnsiTheme="majorHAnsi" w:cstheme="majorBidi"/>
        <w:i/>
        <w:iCs/>
        <w:sz w:val="26"/>
      </w:rPr>
      <w:tblPr/>
      <w:trPr>
        <w:hidden/>
      </w:tr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rPr>
        <w:hidden/>
      </w:tr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rPr>
        <w:hidden/>
      </w:tr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rPr>
        <w:hidden/>
      </w:trPr>
      <w:tcPr>
        <w:tcBorders>
          <w:left w:val="single" w:sz="4" w:space="0" w:color="9BBB59" w:themeColor="accent3"/>
        </w:tcBorders>
        <w:shd w:val="clear" w:color="auto" w:fill="FFFFFF" w:themeFill="background1"/>
      </w:tcPr>
    </w:tblStylePr>
    <w:tblStylePr w:type="band1Vert">
      <w:tblPr/>
      <w:trPr>
        <w:hidden/>
      </w:trPr>
      <w:tcPr>
        <w:shd w:val="clear" w:color="auto" w:fill="EAF1DD" w:themeFill="accent3" w:themeFillTint="33"/>
      </w:tcPr>
    </w:tblStylePr>
    <w:tblStylePr w:type="band1Horz">
      <w:tblPr/>
      <w:trPr>
        <w:hidden/>
      </w:trPr>
      <w:tcPr>
        <w:shd w:val="clear" w:color="auto" w:fill="EAF1DD" w:themeFill="accent3" w:themeFillTint="33"/>
      </w:tcPr>
    </w:tblStylePr>
    <w:tblStylePr w:type="neCell">
      <w:tblPr/>
      <w:trPr>
        <w:hidden/>
      </w:trPr>
      <w:tcPr>
        <w:tcBorders>
          <w:left w:val="nil"/>
        </w:tcBorders>
      </w:tcPr>
    </w:tblStylePr>
    <w:tblStylePr w:type="nwCell">
      <w:tblPr/>
      <w:trPr>
        <w:hidden/>
      </w:trPr>
      <w:tcPr>
        <w:tcBorders>
          <w:right w:val="nil"/>
        </w:tcBorders>
      </w:tcPr>
    </w:tblStylePr>
    <w:tblStylePr w:type="seCell">
      <w:tblPr/>
      <w:trPr>
        <w:hidden/>
      </w:trPr>
      <w:tcPr>
        <w:tcBorders>
          <w:left w:val="nil"/>
        </w:tcBorders>
      </w:tcPr>
    </w:tblStylePr>
    <w:tblStylePr w:type="swCell">
      <w:tblPr/>
      <w:trPr>
        <w:hidden/>
      </w:trPr>
      <w:tcPr>
        <w:tcBorders>
          <w:right w:val="nil"/>
        </w:tcBorders>
      </w:tcPr>
    </w:tblStylePr>
  </w:style>
  <w:style w:type="table" w:styleId="ListTable7Colorful-Accent4">
    <w:name w:val="List Table 7 Colorful Accent 4"/>
    <w:basedOn w:val="TableNormal"/>
    <w:uiPriority w:val="52"/>
    <w:rsid w:val="00150F71"/>
    <w:rPr>
      <w:color w:val="5F497A" w:themeColor="accent4" w:themeShade="BF"/>
    </w:rPr>
    <w:tblPr>
      <w:tblStyleRowBandSize w:val="1"/>
      <w:tblStyleColBandSize w:val="1"/>
    </w:tblPr>
    <w:trPr>
      <w:hidden/>
    </w:trPr>
    <w:tblStylePr w:type="firstRow">
      <w:rPr>
        <w:rFonts w:asciiTheme="majorHAnsi" w:eastAsiaTheme="majorEastAsia" w:hAnsiTheme="majorHAnsi" w:cstheme="majorBidi"/>
        <w:i/>
        <w:iCs/>
        <w:sz w:val="26"/>
      </w:rPr>
      <w:tblPr/>
      <w:trPr>
        <w:hidden/>
      </w:tr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rPr>
        <w:hidden/>
      </w:tr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rPr>
        <w:hidden/>
      </w:tr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rPr>
        <w:hidden/>
      </w:trPr>
      <w:tcPr>
        <w:tcBorders>
          <w:left w:val="single" w:sz="4" w:space="0" w:color="8064A2" w:themeColor="accent4"/>
        </w:tcBorders>
        <w:shd w:val="clear" w:color="auto" w:fill="FFFFFF" w:themeFill="background1"/>
      </w:tcPr>
    </w:tblStylePr>
    <w:tblStylePr w:type="band1Vert">
      <w:tblPr/>
      <w:trPr>
        <w:hidden/>
      </w:trPr>
      <w:tcPr>
        <w:shd w:val="clear" w:color="auto" w:fill="E5DFEC" w:themeFill="accent4" w:themeFillTint="33"/>
      </w:tcPr>
    </w:tblStylePr>
    <w:tblStylePr w:type="band1Horz">
      <w:tblPr/>
      <w:trPr>
        <w:hidden/>
      </w:trPr>
      <w:tcPr>
        <w:shd w:val="clear" w:color="auto" w:fill="E5DFEC" w:themeFill="accent4" w:themeFillTint="33"/>
      </w:tcPr>
    </w:tblStylePr>
    <w:tblStylePr w:type="neCell">
      <w:tblPr/>
      <w:trPr>
        <w:hidden/>
      </w:trPr>
      <w:tcPr>
        <w:tcBorders>
          <w:left w:val="nil"/>
        </w:tcBorders>
      </w:tcPr>
    </w:tblStylePr>
    <w:tblStylePr w:type="nwCell">
      <w:tblPr/>
      <w:trPr>
        <w:hidden/>
      </w:trPr>
      <w:tcPr>
        <w:tcBorders>
          <w:right w:val="nil"/>
        </w:tcBorders>
      </w:tcPr>
    </w:tblStylePr>
    <w:tblStylePr w:type="seCell">
      <w:tblPr/>
      <w:trPr>
        <w:hidden/>
      </w:trPr>
      <w:tcPr>
        <w:tcBorders>
          <w:left w:val="nil"/>
        </w:tcBorders>
      </w:tcPr>
    </w:tblStylePr>
    <w:tblStylePr w:type="swCell">
      <w:tblPr/>
      <w:trPr>
        <w:hidden/>
      </w:trPr>
      <w:tcPr>
        <w:tcBorders>
          <w:right w:val="nil"/>
        </w:tcBorders>
      </w:tcPr>
    </w:tblStylePr>
  </w:style>
  <w:style w:type="table" w:styleId="ListTable7Colorful-Accent5">
    <w:name w:val="List Table 7 Colorful Accent 5"/>
    <w:basedOn w:val="TableNormal"/>
    <w:uiPriority w:val="52"/>
    <w:rsid w:val="00150F71"/>
    <w:rPr>
      <w:color w:val="31849B" w:themeColor="accent5" w:themeShade="BF"/>
    </w:rPr>
    <w:tblPr>
      <w:tblStyleRowBandSize w:val="1"/>
      <w:tblStyleColBandSize w:val="1"/>
    </w:tblPr>
    <w:trPr>
      <w:hidden/>
    </w:trPr>
    <w:tblStylePr w:type="firstRow">
      <w:rPr>
        <w:rFonts w:asciiTheme="majorHAnsi" w:eastAsiaTheme="majorEastAsia" w:hAnsiTheme="majorHAnsi" w:cstheme="majorBidi"/>
        <w:i/>
        <w:iCs/>
        <w:sz w:val="26"/>
      </w:rPr>
      <w:tblPr/>
      <w:trPr>
        <w:hidden/>
      </w:tr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rPr>
        <w:hidden/>
      </w:tr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rPr>
        <w:hidden/>
      </w:tr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rPr>
        <w:hidden/>
      </w:trPr>
      <w:tcPr>
        <w:tcBorders>
          <w:left w:val="single" w:sz="4" w:space="0" w:color="4BACC6" w:themeColor="accent5"/>
        </w:tcBorders>
        <w:shd w:val="clear" w:color="auto" w:fill="FFFFFF" w:themeFill="background1"/>
      </w:tcPr>
    </w:tblStylePr>
    <w:tblStylePr w:type="band1Vert">
      <w:tblPr/>
      <w:trPr>
        <w:hidden/>
      </w:trPr>
      <w:tcPr>
        <w:shd w:val="clear" w:color="auto" w:fill="DAEEF3" w:themeFill="accent5" w:themeFillTint="33"/>
      </w:tcPr>
    </w:tblStylePr>
    <w:tblStylePr w:type="band1Horz">
      <w:tblPr/>
      <w:trPr>
        <w:hidden/>
      </w:trPr>
      <w:tcPr>
        <w:shd w:val="clear" w:color="auto" w:fill="DAEEF3" w:themeFill="accent5" w:themeFillTint="33"/>
      </w:tcPr>
    </w:tblStylePr>
    <w:tblStylePr w:type="neCell">
      <w:tblPr/>
      <w:trPr>
        <w:hidden/>
      </w:trPr>
      <w:tcPr>
        <w:tcBorders>
          <w:left w:val="nil"/>
        </w:tcBorders>
      </w:tcPr>
    </w:tblStylePr>
    <w:tblStylePr w:type="nwCell">
      <w:tblPr/>
      <w:trPr>
        <w:hidden/>
      </w:trPr>
      <w:tcPr>
        <w:tcBorders>
          <w:right w:val="nil"/>
        </w:tcBorders>
      </w:tcPr>
    </w:tblStylePr>
    <w:tblStylePr w:type="seCell">
      <w:tblPr/>
      <w:trPr>
        <w:hidden/>
      </w:trPr>
      <w:tcPr>
        <w:tcBorders>
          <w:left w:val="nil"/>
        </w:tcBorders>
      </w:tcPr>
    </w:tblStylePr>
    <w:tblStylePr w:type="swCell">
      <w:tblPr/>
      <w:trPr>
        <w:hidden/>
      </w:trPr>
      <w:tcPr>
        <w:tcBorders>
          <w:right w:val="nil"/>
        </w:tcBorders>
      </w:tcPr>
    </w:tblStylePr>
  </w:style>
  <w:style w:type="table" w:styleId="ListTable7Colorful-Accent6">
    <w:name w:val="List Table 7 Colorful Accent 6"/>
    <w:basedOn w:val="TableNormal"/>
    <w:uiPriority w:val="52"/>
    <w:rsid w:val="00150F71"/>
    <w:rPr>
      <w:color w:val="E36C0A" w:themeColor="accent6" w:themeShade="BF"/>
    </w:rPr>
    <w:tblPr>
      <w:tblStyleRowBandSize w:val="1"/>
      <w:tblStyleColBandSize w:val="1"/>
    </w:tblPr>
    <w:trPr>
      <w:hidden/>
    </w:trPr>
    <w:tblStylePr w:type="firstRow">
      <w:rPr>
        <w:rFonts w:asciiTheme="majorHAnsi" w:eastAsiaTheme="majorEastAsia" w:hAnsiTheme="majorHAnsi" w:cstheme="majorBidi"/>
        <w:i/>
        <w:iCs/>
        <w:sz w:val="26"/>
      </w:rPr>
      <w:tblPr/>
      <w:trPr>
        <w:hidden/>
      </w:tr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rPr>
        <w:hidden/>
      </w:tr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rPr>
        <w:hidden/>
      </w:tr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rPr>
        <w:hidden/>
      </w:trPr>
      <w:tcPr>
        <w:tcBorders>
          <w:left w:val="single" w:sz="4" w:space="0" w:color="F79646" w:themeColor="accent6"/>
        </w:tcBorders>
        <w:shd w:val="clear" w:color="auto" w:fill="FFFFFF" w:themeFill="background1"/>
      </w:tcPr>
    </w:tblStylePr>
    <w:tblStylePr w:type="band1Vert">
      <w:tblPr/>
      <w:trPr>
        <w:hidden/>
      </w:trPr>
      <w:tcPr>
        <w:shd w:val="clear" w:color="auto" w:fill="FDE9D9" w:themeFill="accent6" w:themeFillTint="33"/>
      </w:tcPr>
    </w:tblStylePr>
    <w:tblStylePr w:type="band1Horz">
      <w:tblPr/>
      <w:trPr>
        <w:hidden/>
      </w:trPr>
      <w:tcPr>
        <w:shd w:val="clear" w:color="auto" w:fill="FDE9D9" w:themeFill="accent6" w:themeFillTint="33"/>
      </w:tcPr>
    </w:tblStylePr>
    <w:tblStylePr w:type="neCell">
      <w:tblPr/>
      <w:trPr>
        <w:hidden/>
      </w:trPr>
      <w:tcPr>
        <w:tcBorders>
          <w:left w:val="nil"/>
        </w:tcBorders>
      </w:tcPr>
    </w:tblStylePr>
    <w:tblStylePr w:type="nwCell">
      <w:tblPr/>
      <w:trPr>
        <w:hidden/>
      </w:trPr>
      <w:tcPr>
        <w:tcBorders>
          <w:right w:val="nil"/>
        </w:tcBorders>
      </w:tcPr>
    </w:tblStylePr>
    <w:tblStylePr w:type="seCell">
      <w:tblPr/>
      <w:trPr>
        <w:hidden/>
      </w:trPr>
      <w:tcPr>
        <w:tcBorders>
          <w:left w:val="nil"/>
        </w:tcBorders>
      </w:tcPr>
    </w:tblStylePr>
    <w:tblStylePr w:type="swCell">
      <w:tblPr/>
      <w:trPr>
        <w:hidden/>
      </w:trPr>
      <w:tcPr>
        <w:tcBorders>
          <w:right w:val="nil"/>
        </w:tcBorders>
      </w:tcPr>
    </w:tblStylePr>
  </w:style>
  <w:style w:type="character" w:customStyle="1" w:styleId="Mention1">
    <w:name w:val="Mention1"/>
    <w:basedOn w:val="DefaultParagraphFont"/>
    <w:uiPriority w:val="99"/>
    <w:semiHidden/>
    <w:unhideWhenUsed/>
    <w:rsid w:val="00150F71"/>
    <w:rPr>
      <w:color w:val="2B579A"/>
      <w:shd w:val="clear" w:color="auto" w:fill="E1DFDD"/>
    </w:rPr>
  </w:style>
  <w:style w:type="table" w:styleId="PlainTable1">
    <w:name w:val="Plain Table 1"/>
    <w:basedOn w:val="TableNormal"/>
    <w:uiPriority w:val="41"/>
    <w:rsid w:val="00150F7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rPr>
      <w:hidden/>
    </w:trPr>
    <w:tblStylePr w:type="firstRow">
      <w:rPr>
        <w:b/>
        <w:bCs/>
      </w:rPr>
    </w:tblStylePr>
    <w:tblStylePr w:type="lastRow">
      <w:rPr>
        <w:b/>
        <w:bCs/>
      </w:rPr>
      <w:tblPr/>
      <w:trPr>
        <w:hidden/>
      </w:trPr>
      <w:tcPr>
        <w:tcBorders>
          <w:top w:val="double" w:sz="4" w:space="0" w:color="BFBFBF" w:themeColor="background1" w:themeShade="BF"/>
        </w:tcBorders>
      </w:tcPr>
    </w:tblStylePr>
    <w:tblStylePr w:type="firstCol">
      <w:rPr>
        <w:b/>
        <w:bCs/>
      </w:rPr>
    </w:tblStylePr>
    <w:tblStylePr w:type="lastCol">
      <w:rPr>
        <w:b/>
        <w:bCs/>
      </w:rPr>
    </w:tblStylePr>
    <w:tblStylePr w:type="band1Vert">
      <w:tblPr/>
      <w:trPr>
        <w:hidden/>
      </w:trPr>
      <w:tcPr>
        <w:shd w:val="clear" w:color="auto" w:fill="F2F2F2" w:themeFill="background1" w:themeFillShade="F2"/>
      </w:tcPr>
    </w:tblStylePr>
    <w:tblStylePr w:type="band1Horz">
      <w:tblPr/>
      <w:trPr>
        <w:hidden/>
      </w:trPr>
      <w:tcPr>
        <w:shd w:val="clear" w:color="auto" w:fill="F2F2F2" w:themeFill="background1" w:themeFillShade="F2"/>
      </w:tcPr>
    </w:tblStylePr>
  </w:style>
  <w:style w:type="table" w:styleId="PlainTable2">
    <w:name w:val="Plain Table 2"/>
    <w:basedOn w:val="TableNormal"/>
    <w:uiPriority w:val="42"/>
    <w:rsid w:val="00150F71"/>
    <w:tblPr>
      <w:tblStyleRowBandSize w:val="1"/>
      <w:tblStyleColBandSize w:val="1"/>
      <w:tblBorders>
        <w:top w:val="single" w:sz="4" w:space="0" w:color="7F7F7F" w:themeColor="text1" w:themeTint="80"/>
        <w:bottom w:val="single" w:sz="4" w:space="0" w:color="7F7F7F" w:themeColor="text1" w:themeTint="80"/>
      </w:tblBorders>
    </w:tblPr>
    <w:trPr>
      <w:hidden/>
    </w:trPr>
    <w:tblStylePr w:type="firstRow">
      <w:rPr>
        <w:b/>
        <w:bCs/>
      </w:rPr>
      <w:tblPr/>
      <w:trPr>
        <w:hidden/>
      </w:trPr>
      <w:tcPr>
        <w:tcBorders>
          <w:bottom w:val="single" w:sz="4" w:space="0" w:color="7F7F7F" w:themeColor="text1" w:themeTint="80"/>
        </w:tcBorders>
      </w:tcPr>
    </w:tblStylePr>
    <w:tblStylePr w:type="lastRow">
      <w:rPr>
        <w:b/>
        <w:bCs/>
      </w:rPr>
      <w:tblPr/>
      <w:trPr>
        <w:hidden/>
      </w:trPr>
      <w:tcPr>
        <w:tcBorders>
          <w:top w:val="single" w:sz="4" w:space="0" w:color="7F7F7F" w:themeColor="text1" w:themeTint="80"/>
        </w:tcBorders>
      </w:tcPr>
    </w:tblStylePr>
    <w:tblStylePr w:type="firstCol">
      <w:rPr>
        <w:b/>
        <w:bCs/>
      </w:rPr>
    </w:tblStylePr>
    <w:tblStylePr w:type="lastCol">
      <w:rPr>
        <w:b/>
        <w:bCs/>
      </w:rPr>
    </w:tblStylePr>
    <w:tblStylePr w:type="band1Vert">
      <w:tblPr/>
      <w:trPr>
        <w:hidden/>
      </w:trPr>
      <w:tcPr>
        <w:tcBorders>
          <w:left w:val="single" w:sz="4" w:space="0" w:color="7F7F7F" w:themeColor="text1" w:themeTint="80"/>
          <w:right w:val="single" w:sz="4" w:space="0" w:color="7F7F7F" w:themeColor="text1" w:themeTint="80"/>
        </w:tcBorders>
      </w:tcPr>
    </w:tblStylePr>
    <w:tblStylePr w:type="band2Vert">
      <w:tblPr/>
      <w:trPr>
        <w:hidden/>
      </w:trPr>
      <w:tcPr>
        <w:tcBorders>
          <w:left w:val="single" w:sz="4" w:space="0" w:color="7F7F7F" w:themeColor="text1" w:themeTint="80"/>
          <w:right w:val="single" w:sz="4" w:space="0" w:color="7F7F7F" w:themeColor="text1" w:themeTint="80"/>
        </w:tcBorders>
      </w:tcPr>
    </w:tblStylePr>
    <w:tblStylePr w:type="band1Horz">
      <w:tblPr/>
      <w:trPr>
        <w:hidden/>
      </w:tr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150F71"/>
    <w:tblPr>
      <w:tblStyleRowBandSize w:val="1"/>
      <w:tblStyleColBandSize w:val="1"/>
    </w:tblPr>
    <w:trPr>
      <w:hidden/>
    </w:trPr>
    <w:tblStylePr w:type="firstRow">
      <w:rPr>
        <w:b/>
        <w:bCs/>
        <w:caps/>
      </w:rPr>
      <w:tblPr/>
      <w:trPr>
        <w:hidden/>
      </w:trPr>
      <w:tcPr>
        <w:tcBorders>
          <w:bottom w:val="single" w:sz="4" w:space="0" w:color="7F7F7F" w:themeColor="text1" w:themeTint="80"/>
        </w:tcBorders>
      </w:tcPr>
    </w:tblStylePr>
    <w:tblStylePr w:type="lastRow">
      <w:rPr>
        <w:b/>
        <w:bCs/>
        <w:caps/>
      </w:rPr>
      <w:tblPr/>
      <w:trPr>
        <w:hidden/>
      </w:trPr>
      <w:tcPr>
        <w:tcBorders>
          <w:top w:val="nil"/>
        </w:tcBorders>
      </w:tcPr>
    </w:tblStylePr>
    <w:tblStylePr w:type="firstCol">
      <w:rPr>
        <w:b/>
        <w:bCs/>
        <w:caps/>
      </w:rPr>
      <w:tblPr/>
      <w:trPr>
        <w:hidden/>
      </w:trPr>
      <w:tcPr>
        <w:tcBorders>
          <w:right w:val="single" w:sz="4" w:space="0" w:color="7F7F7F" w:themeColor="text1" w:themeTint="80"/>
        </w:tcBorders>
      </w:tcPr>
    </w:tblStylePr>
    <w:tblStylePr w:type="lastCol">
      <w:rPr>
        <w:b/>
        <w:bCs/>
        <w:caps/>
      </w:rPr>
      <w:tblPr/>
      <w:trPr>
        <w:hidden/>
      </w:trPr>
      <w:tcPr>
        <w:tcBorders>
          <w:left w:val="nil"/>
        </w:tcBorders>
      </w:tcPr>
    </w:tblStylePr>
    <w:tblStylePr w:type="band1Vert">
      <w:tblPr/>
      <w:trPr>
        <w:hidden/>
      </w:trPr>
      <w:tcPr>
        <w:shd w:val="clear" w:color="auto" w:fill="F2F2F2" w:themeFill="background1" w:themeFillShade="F2"/>
      </w:tcPr>
    </w:tblStylePr>
    <w:tblStylePr w:type="band1Horz">
      <w:tblPr/>
      <w:trPr>
        <w:hidden/>
      </w:trPr>
      <w:tcPr>
        <w:shd w:val="clear" w:color="auto" w:fill="F2F2F2" w:themeFill="background1" w:themeFillShade="F2"/>
      </w:tcPr>
    </w:tblStylePr>
    <w:tblStylePr w:type="neCell">
      <w:tblPr/>
      <w:trPr>
        <w:hidden/>
      </w:trPr>
      <w:tcPr>
        <w:tcBorders>
          <w:left w:val="nil"/>
        </w:tcBorders>
      </w:tcPr>
    </w:tblStylePr>
    <w:tblStylePr w:type="nwCell">
      <w:tblPr/>
      <w:trPr>
        <w:hidden/>
      </w:trPr>
      <w:tcPr>
        <w:tcBorders>
          <w:right w:val="nil"/>
        </w:tcBorders>
      </w:tcPr>
    </w:tblStylePr>
  </w:style>
  <w:style w:type="table" w:styleId="PlainTable4">
    <w:name w:val="Plain Table 4"/>
    <w:basedOn w:val="TableNormal"/>
    <w:uiPriority w:val="44"/>
    <w:rsid w:val="00150F71"/>
    <w:tblPr>
      <w:tblStyleRowBandSize w:val="1"/>
      <w:tblStyleColBandSize w:val="1"/>
    </w:tblPr>
    <w:trPr>
      <w:hidden/>
    </w:trPr>
    <w:tblStylePr w:type="firstRow">
      <w:rPr>
        <w:b/>
        <w:bCs/>
      </w:rPr>
    </w:tblStylePr>
    <w:tblStylePr w:type="lastRow">
      <w:rPr>
        <w:b/>
        <w:bCs/>
      </w:rPr>
    </w:tblStylePr>
    <w:tblStylePr w:type="firstCol">
      <w:rPr>
        <w:b/>
        <w:bCs/>
      </w:rPr>
    </w:tblStylePr>
    <w:tblStylePr w:type="lastCol">
      <w:rPr>
        <w:b/>
        <w:bCs/>
      </w:rPr>
    </w:tblStylePr>
    <w:tblStylePr w:type="band1Vert">
      <w:tblPr/>
      <w:trPr>
        <w:hidden/>
      </w:trPr>
      <w:tcPr>
        <w:shd w:val="clear" w:color="auto" w:fill="F2F2F2" w:themeFill="background1" w:themeFillShade="F2"/>
      </w:tcPr>
    </w:tblStylePr>
    <w:tblStylePr w:type="band1Horz">
      <w:tblPr/>
      <w:trPr>
        <w:hidden/>
      </w:trPr>
      <w:tcPr>
        <w:shd w:val="clear" w:color="auto" w:fill="F2F2F2" w:themeFill="background1" w:themeFillShade="F2"/>
      </w:tcPr>
    </w:tblStylePr>
  </w:style>
  <w:style w:type="table" w:styleId="PlainTable5">
    <w:name w:val="Plain Table 5"/>
    <w:basedOn w:val="TableNormal"/>
    <w:uiPriority w:val="45"/>
    <w:rsid w:val="00150F71"/>
    <w:tblPr>
      <w:tblStyleRowBandSize w:val="1"/>
      <w:tblStyleColBandSize w:val="1"/>
    </w:tblPr>
    <w:trPr>
      <w:hidden/>
    </w:trPr>
    <w:tblStylePr w:type="firstRow">
      <w:rPr>
        <w:rFonts w:asciiTheme="majorHAnsi" w:eastAsiaTheme="majorEastAsia" w:hAnsiTheme="majorHAnsi" w:cstheme="majorBidi"/>
        <w:i/>
        <w:iCs/>
        <w:sz w:val="26"/>
      </w:rPr>
      <w:tblPr/>
      <w:trPr>
        <w:hidden/>
      </w:tr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rPr>
        <w:hidden/>
      </w:tr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rPr>
        <w:hidden/>
      </w:tr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rPr>
        <w:hidden/>
      </w:trPr>
      <w:tcPr>
        <w:tcBorders>
          <w:left w:val="single" w:sz="4" w:space="0" w:color="7F7F7F" w:themeColor="text1" w:themeTint="80"/>
        </w:tcBorders>
        <w:shd w:val="clear" w:color="auto" w:fill="FFFFFF" w:themeFill="background1"/>
      </w:tcPr>
    </w:tblStylePr>
    <w:tblStylePr w:type="band1Vert">
      <w:tblPr/>
      <w:trPr>
        <w:hidden/>
      </w:trPr>
      <w:tcPr>
        <w:shd w:val="clear" w:color="auto" w:fill="F2F2F2" w:themeFill="background1" w:themeFillShade="F2"/>
      </w:tcPr>
    </w:tblStylePr>
    <w:tblStylePr w:type="band1Horz">
      <w:tblPr/>
      <w:trPr>
        <w:hidden/>
      </w:trPr>
      <w:tcPr>
        <w:shd w:val="clear" w:color="auto" w:fill="F2F2F2" w:themeFill="background1" w:themeFillShade="F2"/>
      </w:tcPr>
    </w:tblStylePr>
    <w:tblStylePr w:type="neCell">
      <w:tblPr/>
      <w:trPr>
        <w:hidden/>
      </w:trPr>
      <w:tcPr>
        <w:tcBorders>
          <w:left w:val="nil"/>
        </w:tcBorders>
      </w:tcPr>
    </w:tblStylePr>
    <w:tblStylePr w:type="nwCell">
      <w:tblPr/>
      <w:trPr>
        <w:hidden/>
      </w:trPr>
      <w:tcPr>
        <w:tcBorders>
          <w:right w:val="nil"/>
        </w:tcBorders>
      </w:tcPr>
    </w:tblStylePr>
    <w:tblStylePr w:type="seCell">
      <w:tblPr/>
      <w:trPr>
        <w:hidden/>
      </w:trPr>
      <w:tcPr>
        <w:tcBorders>
          <w:left w:val="nil"/>
        </w:tcBorders>
      </w:tcPr>
    </w:tblStylePr>
    <w:tblStylePr w:type="swCell">
      <w:tblPr/>
      <w:trPr>
        <w:hidden/>
      </w:trPr>
      <w:tcPr>
        <w:tcBorders>
          <w:right w:val="nil"/>
        </w:tcBorders>
      </w:tcPr>
    </w:tblStylePr>
  </w:style>
  <w:style w:type="character" w:customStyle="1" w:styleId="SmartHyperlink1">
    <w:name w:val="Smart Hyperlink1"/>
    <w:basedOn w:val="DefaultParagraphFont"/>
    <w:uiPriority w:val="99"/>
    <w:semiHidden/>
    <w:unhideWhenUsed/>
    <w:rsid w:val="00150F71"/>
    <w:rPr>
      <w:u w:val="dotted"/>
    </w:rPr>
  </w:style>
  <w:style w:type="character" w:customStyle="1" w:styleId="SmartLink1">
    <w:name w:val="SmartLink1"/>
    <w:basedOn w:val="DefaultParagraphFont"/>
    <w:uiPriority w:val="99"/>
    <w:semiHidden/>
    <w:unhideWhenUsed/>
    <w:rsid w:val="00150F71"/>
    <w:rPr>
      <w:color w:val="2B579A"/>
      <w:shd w:val="clear" w:color="auto" w:fill="E1DFDD"/>
    </w:rPr>
  </w:style>
  <w:style w:type="table" w:styleId="TableGridLight">
    <w:name w:val="Grid Table Light"/>
    <w:basedOn w:val="TableNormal"/>
    <w:uiPriority w:val="40"/>
    <w:rsid w:val="00150F7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rPr>
      <w:hidden/>
    </w:trPr>
  </w:style>
  <w:style w:type="character" w:customStyle="1" w:styleId="UnresolvedMention1">
    <w:name w:val="Unresolved Mention1"/>
    <w:basedOn w:val="DefaultParagraphFont"/>
    <w:uiPriority w:val="99"/>
    <w:semiHidden/>
    <w:unhideWhenUsed/>
    <w:rsid w:val="00150F71"/>
    <w:rPr>
      <w:color w:val="605E5C"/>
      <w:shd w:val="clear" w:color="auto" w:fill="E1DFDD"/>
    </w:rPr>
  </w:style>
  <w:style w:type="character" w:styleId="CommentReference">
    <w:name w:val="annotation reference"/>
    <w:aliases w:val="-H18"/>
    <w:basedOn w:val="DefaultParagraphFont"/>
    <w:uiPriority w:val="99"/>
    <w:unhideWhenUsed/>
    <w:rsid w:val="009C3E51"/>
    <w:rPr>
      <w:sz w:val="16"/>
      <w:szCs w:val="16"/>
    </w:rPr>
  </w:style>
  <w:style w:type="paragraph" w:styleId="List4">
    <w:name w:val="List 4"/>
    <w:basedOn w:val="Normal"/>
    <w:rsid w:val="006D7639"/>
    <w:pPr>
      <w:ind w:left="1440" w:hanging="360"/>
      <w:contextualSpacing/>
    </w:pPr>
  </w:style>
  <w:style w:type="paragraph" w:styleId="List5">
    <w:name w:val="List 5"/>
    <w:basedOn w:val="Normal"/>
    <w:rsid w:val="006D7639"/>
    <w:pPr>
      <w:ind w:left="1800" w:hanging="360"/>
      <w:contextualSpacing/>
    </w:pPr>
  </w:style>
  <w:style w:type="paragraph" w:styleId="ListBullet">
    <w:name w:val="List Bullet"/>
    <w:basedOn w:val="Normal"/>
    <w:uiPriority w:val="99"/>
    <w:unhideWhenUsed/>
    <w:rsid w:val="0049596D"/>
    <w:pPr>
      <w:numPr>
        <w:numId w:val="23"/>
      </w:numPr>
      <w:spacing w:after="240" w:line="240" w:lineRule="auto"/>
    </w:pPr>
    <w:rPr>
      <w:rFonts w:eastAsia="Times New Roman" w:cs="Times New Roman"/>
      <w:szCs w:val="24"/>
      <w:lang w:val="en-GB"/>
    </w:rPr>
  </w:style>
  <w:style w:type="paragraph" w:styleId="ListBullet2">
    <w:name w:val="List Bullet 2"/>
    <w:basedOn w:val="Normal"/>
    <w:semiHidden/>
    <w:unhideWhenUsed/>
    <w:rsid w:val="006D7639"/>
    <w:pPr>
      <w:numPr>
        <w:numId w:val="22"/>
      </w:numPr>
      <w:contextualSpacing/>
    </w:pPr>
  </w:style>
  <w:style w:type="paragraph" w:styleId="BodyTextFirstIndent">
    <w:name w:val="Body Text First Indent"/>
    <w:basedOn w:val="BodyText"/>
    <w:link w:val="BodyTextFirstIndentChar"/>
    <w:rsid w:val="00DE6DB4"/>
    <w:pPr>
      <w:ind w:firstLine="360"/>
    </w:pPr>
  </w:style>
  <w:style w:type="character" w:customStyle="1" w:styleId="BodyTextFirstIndentChar">
    <w:name w:val="Body Text First Indent Char"/>
    <w:basedOn w:val="BodyTextChar"/>
    <w:link w:val="BodyTextFirstIndent"/>
    <w:rsid w:val="00DE6DB4"/>
    <w:rPr>
      <w:rFonts w:eastAsia="Calibri" w:cs="Cordia New"/>
      <w:sz w:val="24"/>
      <w:szCs w:val="22"/>
    </w:rPr>
  </w:style>
  <w:style w:type="character" w:styleId="BookTitle">
    <w:name w:val="Book Title"/>
    <w:basedOn w:val="DefaultParagraphFont"/>
    <w:uiPriority w:val="33"/>
    <w:rsid w:val="00DE6DB4"/>
    <w:rPr>
      <w:b/>
      <w:bCs/>
      <w:i/>
      <w:iCs/>
      <w:spacing w:val="5"/>
    </w:rPr>
  </w:style>
  <w:style w:type="paragraph" w:styleId="Date">
    <w:name w:val="Date"/>
    <w:basedOn w:val="Normal"/>
    <w:next w:val="Normal"/>
    <w:link w:val="DateChar"/>
    <w:rsid w:val="00DE6DB4"/>
  </w:style>
  <w:style w:type="character" w:customStyle="1" w:styleId="DateChar">
    <w:name w:val="Date Char"/>
    <w:basedOn w:val="DefaultParagraphFont"/>
    <w:link w:val="Date"/>
    <w:rsid w:val="00DE6DB4"/>
    <w:rPr>
      <w:rFonts w:eastAsia="Calibri" w:cs="Cordia New"/>
      <w:sz w:val="24"/>
      <w:szCs w:val="22"/>
    </w:rPr>
  </w:style>
  <w:style w:type="character" w:styleId="Emphasis">
    <w:name w:val="Emphasis"/>
    <w:basedOn w:val="DefaultParagraphFont"/>
    <w:uiPriority w:val="20"/>
    <w:qFormat/>
    <w:rsid w:val="00DE6DB4"/>
    <w:rPr>
      <w:i/>
      <w:iCs/>
    </w:rPr>
  </w:style>
  <w:style w:type="character" w:styleId="IntenseEmphasis">
    <w:name w:val="Intense Emphasis"/>
    <w:basedOn w:val="DefaultParagraphFont"/>
    <w:uiPriority w:val="21"/>
    <w:rsid w:val="00DE6DB4"/>
    <w:rPr>
      <w:i/>
      <w:iCs/>
      <w:color w:val="4F81BD" w:themeColor="accent1"/>
    </w:rPr>
  </w:style>
  <w:style w:type="paragraph" w:styleId="IntenseQuote">
    <w:name w:val="Intense Quote"/>
    <w:basedOn w:val="Normal"/>
    <w:next w:val="Normal"/>
    <w:link w:val="IntenseQuoteChar"/>
    <w:uiPriority w:val="30"/>
    <w:rsid w:val="00DE6DB4"/>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DE6DB4"/>
    <w:rPr>
      <w:rFonts w:eastAsia="Calibri" w:cs="Cordia New"/>
      <w:i/>
      <w:iCs/>
      <w:color w:val="4F81BD" w:themeColor="accent1"/>
      <w:sz w:val="24"/>
      <w:szCs w:val="22"/>
    </w:rPr>
  </w:style>
  <w:style w:type="character" w:styleId="SubtleEmphasis">
    <w:name w:val="Subtle Emphasis"/>
    <w:basedOn w:val="DefaultParagraphFont"/>
    <w:uiPriority w:val="19"/>
    <w:qFormat/>
    <w:rsid w:val="00DE6DB4"/>
    <w:rPr>
      <w:i/>
      <w:iCs/>
      <w:color w:val="404040" w:themeColor="text1" w:themeTint="BF"/>
    </w:rPr>
  </w:style>
  <w:style w:type="character" w:customStyle="1" w:styleId="SmartLinkError1">
    <w:name w:val="SmartLinkError1"/>
    <w:basedOn w:val="DefaultParagraphFont"/>
    <w:uiPriority w:val="99"/>
    <w:semiHidden/>
    <w:unhideWhenUsed/>
    <w:rsid w:val="002700D9"/>
    <w:rPr>
      <w:color w:val="FF0000"/>
    </w:rPr>
  </w:style>
  <w:style w:type="character" w:customStyle="1" w:styleId="SmartLink2">
    <w:name w:val="SmartLink2"/>
    <w:basedOn w:val="DefaultParagraphFont"/>
    <w:uiPriority w:val="99"/>
    <w:semiHidden/>
    <w:unhideWhenUsed/>
    <w:rsid w:val="00FF59D7"/>
    <w:rPr>
      <w:color w:val="0000FF" w:themeColor="hyperlink"/>
      <w:u w:val="single"/>
      <w:shd w:val="clear" w:color="auto" w:fill="E1DFDD"/>
    </w:rPr>
  </w:style>
  <w:style w:type="character" w:customStyle="1" w:styleId="SmartLinkError2">
    <w:name w:val="SmartLinkError2"/>
    <w:basedOn w:val="DefaultParagraphFont"/>
    <w:uiPriority w:val="99"/>
    <w:semiHidden/>
    <w:unhideWhenUsed/>
    <w:rsid w:val="00FF59D7"/>
    <w:rPr>
      <w:color w:val="FF0000"/>
    </w:rPr>
  </w:style>
  <w:style w:type="numbering" w:customStyle="1" w:styleId="CPTB">
    <w:name w:val="CPT_B"/>
    <w:uiPriority w:val="99"/>
    <w:rsid w:val="00C952D5"/>
    <w:pPr>
      <w:numPr>
        <w:numId w:val="24"/>
      </w:numPr>
    </w:pPr>
  </w:style>
  <w:style w:type="paragraph" w:customStyle="1" w:styleId="CPTListBullet">
    <w:name w:val="CPT_List Bullet"/>
    <w:basedOn w:val="Normal"/>
    <w:qFormat/>
    <w:rsid w:val="00355A35"/>
    <w:pPr>
      <w:numPr>
        <w:numId w:val="45"/>
      </w:numPr>
      <w:spacing w:before="0" w:line="240" w:lineRule="auto"/>
    </w:pPr>
    <w:rPr>
      <w:rFonts w:cs="Times New Roman"/>
    </w:rPr>
  </w:style>
  <w:style w:type="paragraph" w:customStyle="1" w:styleId="CPTListNumber">
    <w:name w:val="CPT_List Number"/>
    <w:basedOn w:val="CPTListBullet"/>
    <w:qFormat/>
    <w:rsid w:val="00355A35"/>
    <w:pPr>
      <w:numPr>
        <w:numId w:val="46"/>
      </w:numPr>
    </w:pPr>
  </w:style>
  <w:style w:type="numbering" w:customStyle="1" w:styleId="CPTN">
    <w:name w:val="CPT_N"/>
    <w:uiPriority w:val="99"/>
    <w:rsid w:val="00C952D5"/>
    <w:pPr>
      <w:numPr>
        <w:numId w:val="25"/>
      </w:numPr>
    </w:pPr>
  </w:style>
  <w:style w:type="character" w:customStyle="1" w:styleId="TableText12">
    <w:name w:val="TableText 12"/>
    <w:rsid w:val="000875F6"/>
    <w:rPr>
      <w:rFonts w:ascii="Times New Roman" w:hAnsi="Times New Roman" w:cs="Times New Roman" w:hint="default"/>
      <w:sz w:val="24"/>
    </w:rPr>
  </w:style>
  <w:style w:type="character" w:customStyle="1" w:styleId="SmartLink3">
    <w:name w:val="SmartLink3"/>
    <w:basedOn w:val="DefaultParagraphFont"/>
    <w:uiPriority w:val="99"/>
    <w:semiHidden/>
    <w:unhideWhenUsed/>
    <w:rsid w:val="006507EB"/>
    <w:rPr>
      <w:color w:val="0000FF"/>
      <w:u w:val="single"/>
      <w:shd w:val="clear" w:color="auto" w:fill="F3F2F1"/>
    </w:rPr>
  </w:style>
  <w:style w:type="character" w:customStyle="1" w:styleId="normaltextrun">
    <w:name w:val="normaltextrun"/>
    <w:basedOn w:val="DefaultParagraphFont"/>
    <w:rsid w:val="009C783D"/>
  </w:style>
  <w:style w:type="character" w:customStyle="1" w:styleId="eop">
    <w:name w:val="eop"/>
    <w:basedOn w:val="DefaultParagraphFont"/>
    <w:rsid w:val="009C783D"/>
  </w:style>
  <w:style w:type="paragraph" w:customStyle="1" w:styleId="Default">
    <w:name w:val="Default"/>
    <w:rsid w:val="00C86160"/>
    <w:pPr>
      <w:autoSpaceDE w:val="0"/>
      <w:autoSpaceDN w:val="0"/>
      <w:adjustRightInd w:val="0"/>
    </w:pPr>
    <w:rPr>
      <w:rFonts w:ascii="Calibri" w:hAnsi="Calibri" w:cs="Calibri"/>
      <w:color w:val="000000"/>
      <w:sz w:val="24"/>
      <w:szCs w:val="24"/>
      <w:lang w:val="de-AT"/>
    </w:rPr>
  </w:style>
  <w:style w:type="table" w:customStyle="1" w:styleId="TableGrid10">
    <w:name w:val="Table Grid1"/>
    <w:basedOn w:val="TableNormal"/>
    <w:next w:val="TableGrid"/>
    <w:rsid w:val="004115E8"/>
    <w:rPr>
      <w:rFonts w:asciiTheme="minorHAnsi" w:eastAsiaTheme="minorHAnsi" w:hAnsiTheme="minorHAnsi" w:cstheme="minorBidi"/>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hidden/>
    </w:trPr>
  </w:style>
  <w:style w:type="numbering" w:customStyle="1" w:styleId="IMIbulletlist">
    <w:name w:val="IMI bullet list"/>
    <w:uiPriority w:val="99"/>
    <w:rsid w:val="002A59F0"/>
    <w:pPr>
      <w:numPr>
        <w:numId w:val="57"/>
      </w:numPr>
    </w:pPr>
  </w:style>
  <w:style w:type="table" w:customStyle="1" w:styleId="IMItable1">
    <w:name w:val="IMI table1"/>
    <w:basedOn w:val="TableNormal"/>
    <w:next w:val="MediumGrid3-Accent1"/>
    <w:uiPriority w:val="69"/>
    <w:rsid w:val="002A59F0"/>
    <w:pPr>
      <w:spacing w:before="40" w:after="40"/>
    </w:pPr>
    <w:rPr>
      <w:rFonts w:ascii="Arial" w:eastAsia="Calibri" w:hAnsi="Arial" w:cs="Arial"/>
      <w:sz w:val="18"/>
      <w:szCs w:val="22"/>
      <w:lang w:val="en-GB"/>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rPr>
      <w:hidden/>
    </w:trPr>
    <w:tcPr>
      <w:shd w:val="clear" w:color="auto" w:fill="auto"/>
    </w:tcPr>
    <w:tblStylePr w:type="firstRow">
      <w:rPr>
        <w:b/>
        <w:bCs/>
        <w:i w:val="0"/>
        <w:iCs w:val="0"/>
        <w:color w:val="FFFFFF"/>
      </w:rPr>
      <w:tblPr/>
      <w:trPr>
        <w:hidden/>
      </w:trPr>
      <w:tcPr>
        <w:shd w:val="clear" w:color="auto" w:fill="77B6C9"/>
      </w:tcPr>
    </w:tblStylePr>
    <w:tblStylePr w:type="lastRow">
      <w:rPr>
        <w:b/>
        <w:bCs/>
        <w:i w:val="0"/>
        <w:iCs w:val="0"/>
        <w:color w:val="FFFFFF"/>
      </w:rPr>
      <w:tblPr/>
      <w:trPr>
        <w:hidden/>
      </w:tr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70B5B5"/>
      </w:tcPr>
    </w:tblStylePr>
    <w:tblStylePr w:type="firstCol">
      <w:rPr>
        <w:b/>
        <w:bCs/>
        <w:i w:val="0"/>
        <w:iCs w:val="0"/>
        <w:color w:val="FFFFFF"/>
      </w:rPr>
      <w:tblPr/>
      <w:trPr>
        <w:hidden/>
      </w:trPr>
      <w:tcPr>
        <w:shd w:val="clear" w:color="auto" w:fill="77B6C9"/>
      </w:tcPr>
    </w:tblStylePr>
    <w:tblStylePr w:type="lastCol">
      <w:rPr>
        <w:b/>
        <w:bCs/>
        <w:i w:val="0"/>
        <w:iCs w:val="0"/>
        <w:color w:val="FFFFFF"/>
      </w:rPr>
      <w:tblPr/>
      <w:trPr>
        <w:hidden/>
      </w:trPr>
      <w:tcPr>
        <w:tcBorders>
          <w:top w:val="nil"/>
          <w:left w:val="single" w:sz="24" w:space="0" w:color="FFFFFF"/>
          <w:bottom w:val="nil"/>
          <w:right w:val="nil"/>
          <w:insideH w:val="nil"/>
          <w:insideV w:val="nil"/>
        </w:tcBorders>
        <w:shd w:val="clear" w:color="auto" w:fill="70B5B5"/>
      </w:tcPr>
    </w:tblStylePr>
    <w:tblStylePr w:type="band1Vert">
      <w:tblPr/>
      <w:trPr>
        <w:hidden/>
      </w:trPr>
      <w:tcPr>
        <w:tcBorders>
          <w:top w:val="single" w:sz="8" w:space="0" w:color="FFFFFF"/>
          <w:left w:val="single" w:sz="8" w:space="0" w:color="FFFFFF"/>
          <w:bottom w:val="single" w:sz="8" w:space="0" w:color="FFFFFF"/>
          <w:right w:val="single" w:sz="8" w:space="0" w:color="FFFFFF"/>
          <w:insideH w:val="nil"/>
          <w:insideV w:val="nil"/>
        </w:tcBorders>
        <w:shd w:val="clear" w:color="auto" w:fill="B7DADA"/>
      </w:tcPr>
    </w:tblStylePr>
    <w:tblStylePr w:type="band1Horz">
      <w:tblPr/>
      <w:trPr>
        <w:hidden/>
      </w:trPr>
      <w:tcPr>
        <w:shd w:val="clear" w:color="auto" w:fill="D0E6E8"/>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7666">
      <w:bodyDiv w:val="1"/>
      <w:marLeft w:val="0"/>
      <w:marRight w:val="0"/>
      <w:marTop w:val="0"/>
      <w:marBottom w:val="0"/>
      <w:divBdr>
        <w:top w:val="none" w:sz="0" w:space="0" w:color="auto"/>
        <w:left w:val="none" w:sz="0" w:space="0" w:color="auto"/>
        <w:bottom w:val="none" w:sz="0" w:space="0" w:color="auto"/>
        <w:right w:val="none" w:sz="0" w:space="0" w:color="auto"/>
      </w:divBdr>
    </w:div>
    <w:div w:id="11079548">
      <w:bodyDiv w:val="1"/>
      <w:marLeft w:val="0"/>
      <w:marRight w:val="0"/>
      <w:marTop w:val="0"/>
      <w:marBottom w:val="0"/>
      <w:divBdr>
        <w:top w:val="none" w:sz="0" w:space="0" w:color="auto"/>
        <w:left w:val="none" w:sz="0" w:space="0" w:color="auto"/>
        <w:bottom w:val="none" w:sz="0" w:space="0" w:color="auto"/>
        <w:right w:val="none" w:sz="0" w:space="0" w:color="auto"/>
      </w:divBdr>
    </w:div>
    <w:div w:id="25759458">
      <w:bodyDiv w:val="1"/>
      <w:marLeft w:val="0"/>
      <w:marRight w:val="0"/>
      <w:marTop w:val="0"/>
      <w:marBottom w:val="0"/>
      <w:divBdr>
        <w:top w:val="none" w:sz="0" w:space="0" w:color="auto"/>
        <w:left w:val="none" w:sz="0" w:space="0" w:color="auto"/>
        <w:bottom w:val="none" w:sz="0" w:space="0" w:color="auto"/>
        <w:right w:val="none" w:sz="0" w:space="0" w:color="auto"/>
      </w:divBdr>
      <w:divsChild>
        <w:div w:id="494761272">
          <w:marLeft w:val="0"/>
          <w:marRight w:val="0"/>
          <w:marTop w:val="0"/>
          <w:marBottom w:val="0"/>
          <w:divBdr>
            <w:top w:val="none" w:sz="0" w:space="0" w:color="auto"/>
            <w:left w:val="none" w:sz="0" w:space="0" w:color="auto"/>
            <w:bottom w:val="none" w:sz="0" w:space="0" w:color="auto"/>
            <w:right w:val="none" w:sz="0" w:space="0" w:color="auto"/>
          </w:divBdr>
          <w:divsChild>
            <w:div w:id="1997804476">
              <w:marLeft w:val="0"/>
              <w:marRight w:val="0"/>
              <w:marTop w:val="0"/>
              <w:marBottom w:val="0"/>
              <w:divBdr>
                <w:top w:val="none" w:sz="0" w:space="0" w:color="auto"/>
                <w:left w:val="none" w:sz="0" w:space="0" w:color="auto"/>
                <w:bottom w:val="none" w:sz="0" w:space="0" w:color="auto"/>
                <w:right w:val="none" w:sz="0" w:space="0" w:color="auto"/>
              </w:divBdr>
              <w:divsChild>
                <w:div w:id="13186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91016">
      <w:bodyDiv w:val="1"/>
      <w:marLeft w:val="0"/>
      <w:marRight w:val="0"/>
      <w:marTop w:val="0"/>
      <w:marBottom w:val="0"/>
      <w:divBdr>
        <w:top w:val="none" w:sz="0" w:space="0" w:color="auto"/>
        <w:left w:val="none" w:sz="0" w:space="0" w:color="auto"/>
        <w:bottom w:val="none" w:sz="0" w:space="0" w:color="auto"/>
        <w:right w:val="none" w:sz="0" w:space="0" w:color="auto"/>
      </w:divBdr>
      <w:divsChild>
        <w:div w:id="1953517684">
          <w:marLeft w:val="0"/>
          <w:marRight w:val="0"/>
          <w:marTop w:val="0"/>
          <w:marBottom w:val="0"/>
          <w:divBdr>
            <w:top w:val="none" w:sz="0" w:space="0" w:color="auto"/>
            <w:left w:val="none" w:sz="0" w:space="0" w:color="auto"/>
            <w:bottom w:val="none" w:sz="0" w:space="0" w:color="auto"/>
            <w:right w:val="none" w:sz="0" w:space="0" w:color="auto"/>
          </w:divBdr>
          <w:divsChild>
            <w:div w:id="553851822">
              <w:marLeft w:val="0"/>
              <w:marRight w:val="0"/>
              <w:marTop w:val="0"/>
              <w:marBottom w:val="0"/>
              <w:divBdr>
                <w:top w:val="none" w:sz="0" w:space="0" w:color="auto"/>
                <w:left w:val="none" w:sz="0" w:space="0" w:color="auto"/>
                <w:bottom w:val="none" w:sz="0" w:space="0" w:color="auto"/>
                <w:right w:val="none" w:sz="0" w:space="0" w:color="auto"/>
              </w:divBdr>
              <w:divsChild>
                <w:div w:id="600257013">
                  <w:marLeft w:val="0"/>
                  <w:marRight w:val="0"/>
                  <w:marTop w:val="0"/>
                  <w:marBottom w:val="0"/>
                  <w:divBdr>
                    <w:top w:val="none" w:sz="0" w:space="0" w:color="auto"/>
                    <w:left w:val="none" w:sz="0" w:space="0" w:color="auto"/>
                    <w:bottom w:val="none" w:sz="0" w:space="0" w:color="auto"/>
                    <w:right w:val="none" w:sz="0" w:space="0" w:color="auto"/>
                  </w:divBdr>
                  <w:divsChild>
                    <w:div w:id="683900744">
                      <w:marLeft w:val="0"/>
                      <w:marRight w:val="0"/>
                      <w:marTop w:val="0"/>
                      <w:marBottom w:val="0"/>
                      <w:divBdr>
                        <w:top w:val="none" w:sz="0" w:space="0" w:color="auto"/>
                        <w:left w:val="none" w:sz="0" w:space="0" w:color="auto"/>
                        <w:bottom w:val="none" w:sz="0" w:space="0" w:color="auto"/>
                        <w:right w:val="none" w:sz="0" w:space="0" w:color="auto"/>
                      </w:divBdr>
                      <w:divsChild>
                        <w:div w:id="2041542282">
                          <w:marLeft w:val="0"/>
                          <w:marRight w:val="0"/>
                          <w:marTop w:val="0"/>
                          <w:marBottom w:val="0"/>
                          <w:divBdr>
                            <w:top w:val="none" w:sz="0" w:space="0" w:color="auto"/>
                            <w:left w:val="none" w:sz="0" w:space="0" w:color="auto"/>
                            <w:bottom w:val="none" w:sz="0" w:space="0" w:color="auto"/>
                            <w:right w:val="none" w:sz="0" w:space="0" w:color="auto"/>
                          </w:divBdr>
                          <w:divsChild>
                            <w:div w:id="1235051300">
                              <w:marLeft w:val="0"/>
                              <w:marRight w:val="0"/>
                              <w:marTop w:val="0"/>
                              <w:marBottom w:val="0"/>
                              <w:divBdr>
                                <w:top w:val="none" w:sz="0" w:space="0" w:color="auto"/>
                                <w:left w:val="none" w:sz="0" w:space="0" w:color="auto"/>
                                <w:bottom w:val="none" w:sz="0" w:space="0" w:color="auto"/>
                                <w:right w:val="none" w:sz="0" w:space="0" w:color="auto"/>
                              </w:divBdr>
                              <w:divsChild>
                                <w:div w:id="1424492860">
                                  <w:marLeft w:val="0"/>
                                  <w:marRight w:val="0"/>
                                  <w:marTop w:val="0"/>
                                  <w:marBottom w:val="0"/>
                                  <w:divBdr>
                                    <w:top w:val="none" w:sz="0" w:space="0" w:color="auto"/>
                                    <w:left w:val="none" w:sz="0" w:space="0" w:color="auto"/>
                                    <w:bottom w:val="none" w:sz="0" w:space="0" w:color="auto"/>
                                    <w:right w:val="none" w:sz="0" w:space="0" w:color="auto"/>
                                  </w:divBdr>
                                  <w:divsChild>
                                    <w:div w:id="1935235908">
                                      <w:marLeft w:val="0"/>
                                      <w:marRight w:val="0"/>
                                      <w:marTop w:val="0"/>
                                      <w:marBottom w:val="0"/>
                                      <w:divBdr>
                                        <w:top w:val="none" w:sz="0" w:space="0" w:color="auto"/>
                                        <w:left w:val="none" w:sz="0" w:space="0" w:color="auto"/>
                                        <w:bottom w:val="none" w:sz="0" w:space="0" w:color="auto"/>
                                        <w:right w:val="none" w:sz="0" w:space="0" w:color="auto"/>
                                      </w:divBdr>
                                      <w:divsChild>
                                        <w:div w:id="313997345">
                                          <w:marLeft w:val="0"/>
                                          <w:marRight w:val="0"/>
                                          <w:marTop w:val="0"/>
                                          <w:marBottom w:val="0"/>
                                          <w:divBdr>
                                            <w:top w:val="none" w:sz="0" w:space="0" w:color="auto"/>
                                            <w:left w:val="none" w:sz="0" w:space="0" w:color="auto"/>
                                            <w:bottom w:val="none" w:sz="0" w:space="0" w:color="auto"/>
                                            <w:right w:val="none" w:sz="0" w:space="0" w:color="auto"/>
                                          </w:divBdr>
                                          <w:divsChild>
                                            <w:div w:id="1859156677">
                                              <w:marLeft w:val="3444"/>
                                              <w:marRight w:val="0"/>
                                              <w:marTop w:val="0"/>
                                              <w:marBottom w:val="0"/>
                                              <w:divBdr>
                                                <w:top w:val="single" w:sz="4" w:space="0" w:color="D2D5D7"/>
                                                <w:left w:val="single" w:sz="4" w:space="0" w:color="D2D5D7"/>
                                                <w:bottom w:val="none" w:sz="0" w:space="0" w:color="auto"/>
                                                <w:right w:val="single" w:sz="4" w:space="0" w:color="D2D5D7"/>
                                              </w:divBdr>
                                              <w:divsChild>
                                                <w:div w:id="344744159">
                                                  <w:marLeft w:val="0"/>
                                                  <w:marRight w:val="0"/>
                                                  <w:marTop w:val="0"/>
                                                  <w:marBottom w:val="0"/>
                                                  <w:divBdr>
                                                    <w:top w:val="none" w:sz="0" w:space="0" w:color="auto"/>
                                                    <w:left w:val="none" w:sz="0" w:space="0" w:color="auto"/>
                                                    <w:bottom w:val="none" w:sz="0" w:space="0" w:color="auto"/>
                                                    <w:right w:val="none" w:sz="0" w:space="0" w:color="auto"/>
                                                  </w:divBdr>
                                                  <w:divsChild>
                                                    <w:div w:id="1192838189">
                                                      <w:marLeft w:val="0"/>
                                                      <w:marRight w:val="0"/>
                                                      <w:marTop w:val="0"/>
                                                      <w:marBottom w:val="0"/>
                                                      <w:divBdr>
                                                        <w:top w:val="none" w:sz="0" w:space="0" w:color="auto"/>
                                                        <w:left w:val="none" w:sz="0" w:space="0" w:color="auto"/>
                                                        <w:bottom w:val="none" w:sz="0" w:space="0" w:color="auto"/>
                                                        <w:right w:val="none" w:sz="0" w:space="0" w:color="auto"/>
                                                      </w:divBdr>
                                                      <w:divsChild>
                                                        <w:div w:id="252202672">
                                                          <w:marLeft w:val="0"/>
                                                          <w:marRight w:val="0"/>
                                                          <w:marTop w:val="0"/>
                                                          <w:marBottom w:val="0"/>
                                                          <w:divBdr>
                                                            <w:top w:val="none" w:sz="0" w:space="0" w:color="auto"/>
                                                            <w:left w:val="none" w:sz="0" w:space="0" w:color="auto"/>
                                                            <w:bottom w:val="none" w:sz="0" w:space="0" w:color="auto"/>
                                                            <w:right w:val="none" w:sz="0" w:space="0" w:color="auto"/>
                                                          </w:divBdr>
                                                          <w:divsChild>
                                                            <w:div w:id="1478761598">
                                                              <w:marLeft w:val="0"/>
                                                              <w:marRight w:val="0"/>
                                                              <w:marTop w:val="0"/>
                                                              <w:marBottom w:val="0"/>
                                                              <w:divBdr>
                                                                <w:top w:val="none" w:sz="0" w:space="0" w:color="auto"/>
                                                                <w:left w:val="none" w:sz="0" w:space="0" w:color="auto"/>
                                                                <w:bottom w:val="none" w:sz="0" w:space="0" w:color="auto"/>
                                                                <w:right w:val="none" w:sz="0" w:space="0" w:color="auto"/>
                                                              </w:divBdr>
                                                              <w:divsChild>
                                                                <w:div w:id="834145486">
                                                                  <w:marLeft w:val="-60"/>
                                                                  <w:marRight w:val="0"/>
                                                                  <w:marTop w:val="24"/>
                                                                  <w:marBottom w:val="24"/>
                                                                  <w:divBdr>
                                                                    <w:top w:val="none" w:sz="0" w:space="0" w:color="auto"/>
                                                                    <w:left w:val="none" w:sz="0" w:space="0" w:color="auto"/>
                                                                    <w:bottom w:val="none" w:sz="0" w:space="0" w:color="auto"/>
                                                                    <w:right w:val="none" w:sz="0" w:space="0" w:color="auto"/>
                                                                  </w:divBdr>
                                                                  <w:divsChild>
                                                                    <w:div w:id="216475956">
                                                                      <w:marLeft w:val="0"/>
                                                                      <w:marRight w:val="0"/>
                                                                      <w:marTop w:val="0"/>
                                                                      <w:marBottom w:val="0"/>
                                                                      <w:divBdr>
                                                                        <w:top w:val="none" w:sz="0" w:space="0" w:color="auto"/>
                                                                        <w:left w:val="none" w:sz="0" w:space="0" w:color="auto"/>
                                                                        <w:bottom w:val="none" w:sz="0" w:space="0" w:color="auto"/>
                                                                        <w:right w:val="none" w:sz="0" w:space="0" w:color="auto"/>
                                                                      </w:divBdr>
                                                                      <w:divsChild>
                                                                        <w:div w:id="507135184">
                                                                          <w:marLeft w:val="0"/>
                                                                          <w:marRight w:val="0"/>
                                                                          <w:marTop w:val="0"/>
                                                                          <w:marBottom w:val="0"/>
                                                                          <w:divBdr>
                                                                            <w:top w:val="none" w:sz="0" w:space="0" w:color="auto"/>
                                                                            <w:left w:val="none" w:sz="0" w:space="0" w:color="auto"/>
                                                                            <w:bottom w:val="none" w:sz="0" w:space="0" w:color="auto"/>
                                                                            <w:right w:val="none" w:sz="0" w:space="0" w:color="auto"/>
                                                                          </w:divBdr>
                                                                          <w:divsChild>
                                                                            <w:div w:id="2034915241">
                                                                              <w:marLeft w:val="0"/>
                                                                              <w:marRight w:val="0"/>
                                                                              <w:marTop w:val="0"/>
                                                                              <w:marBottom w:val="0"/>
                                                                              <w:divBdr>
                                                                                <w:top w:val="none" w:sz="0" w:space="0" w:color="auto"/>
                                                                                <w:left w:val="none" w:sz="0" w:space="0" w:color="auto"/>
                                                                                <w:bottom w:val="none" w:sz="0" w:space="0" w:color="auto"/>
                                                                                <w:right w:val="none" w:sz="0" w:space="0" w:color="auto"/>
                                                                              </w:divBdr>
                                                                              <w:divsChild>
                                                                                <w:div w:id="1171676713">
                                                                                  <w:marLeft w:val="0"/>
                                                                                  <w:marRight w:val="0"/>
                                                                                  <w:marTop w:val="0"/>
                                                                                  <w:marBottom w:val="0"/>
                                                                                  <w:divBdr>
                                                                                    <w:top w:val="none" w:sz="0" w:space="0" w:color="auto"/>
                                                                                    <w:left w:val="none" w:sz="0" w:space="0" w:color="auto"/>
                                                                                    <w:bottom w:val="none" w:sz="0" w:space="0" w:color="auto"/>
                                                                                    <w:right w:val="none" w:sz="0" w:space="0" w:color="auto"/>
                                                                                  </w:divBdr>
                                                                                  <w:divsChild>
                                                                                    <w:div w:id="1899898367">
                                                                                      <w:marLeft w:val="0"/>
                                                                                      <w:marRight w:val="0"/>
                                                                                      <w:marTop w:val="0"/>
                                                                                      <w:marBottom w:val="0"/>
                                                                                      <w:divBdr>
                                                                                        <w:top w:val="none" w:sz="0" w:space="0" w:color="auto"/>
                                                                                        <w:left w:val="none" w:sz="0" w:space="0" w:color="auto"/>
                                                                                        <w:bottom w:val="none" w:sz="0" w:space="0" w:color="auto"/>
                                                                                        <w:right w:val="none" w:sz="0" w:space="0" w:color="auto"/>
                                                                                      </w:divBdr>
                                                                                      <w:divsChild>
                                                                                        <w:div w:id="1039205706">
                                                                                          <w:marLeft w:val="0"/>
                                                                                          <w:marRight w:val="0"/>
                                                                                          <w:marTop w:val="24"/>
                                                                                          <w:marBottom w:val="24"/>
                                                                                          <w:divBdr>
                                                                                            <w:top w:val="none" w:sz="0" w:space="0" w:color="auto"/>
                                                                                            <w:left w:val="none" w:sz="0" w:space="0" w:color="auto"/>
                                                                                            <w:bottom w:val="none" w:sz="0" w:space="0" w:color="auto"/>
                                                                                            <w:right w:val="none" w:sz="0" w:space="0" w:color="auto"/>
                                                                                          </w:divBdr>
                                                                                          <w:divsChild>
                                                                                            <w:div w:id="273175576">
                                                                                              <w:marLeft w:val="0"/>
                                                                                              <w:marRight w:val="0"/>
                                                                                              <w:marTop w:val="0"/>
                                                                                              <w:marBottom w:val="0"/>
                                                                                              <w:divBdr>
                                                                                                <w:top w:val="none" w:sz="0" w:space="0" w:color="auto"/>
                                                                                                <w:left w:val="none" w:sz="0" w:space="0" w:color="auto"/>
                                                                                                <w:bottom w:val="none" w:sz="0" w:space="0" w:color="auto"/>
                                                                                                <w:right w:val="none" w:sz="0" w:space="0" w:color="auto"/>
                                                                                              </w:divBdr>
                                                                                            </w:div>
                                                                                            <w:div w:id="461122879">
                                                                                              <w:marLeft w:val="0"/>
                                                                                              <w:marRight w:val="0"/>
                                                                                              <w:marTop w:val="0"/>
                                                                                              <w:marBottom w:val="0"/>
                                                                                              <w:divBdr>
                                                                                                <w:top w:val="none" w:sz="0" w:space="0" w:color="auto"/>
                                                                                                <w:left w:val="none" w:sz="0" w:space="0" w:color="auto"/>
                                                                                                <w:bottom w:val="none" w:sz="0" w:space="0" w:color="auto"/>
                                                                                                <w:right w:val="none" w:sz="0" w:space="0" w:color="auto"/>
                                                                                              </w:divBdr>
                                                                                            </w:div>
                                                                                            <w:div w:id="478812040">
                                                                                              <w:marLeft w:val="0"/>
                                                                                              <w:marRight w:val="0"/>
                                                                                              <w:marTop w:val="0"/>
                                                                                              <w:marBottom w:val="0"/>
                                                                                              <w:divBdr>
                                                                                                <w:top w:val="none" w:sz="0" w:space="0" w:color="auto"/>
                                                                                                <w:left w:val="none" w:sz="0" w:space="0" w:color="auto"/>
                                                                                                <w:bottom w:val="none" w:sz="0" w:space="0" w:color="auto"/>
                                                                                                <w:right w:val="none" w:sz="0" w:space="0" w:color="auto"/>
                                                                                              </w:divBdr>
                                                                                              <w:divsChild>
                                                                                                <w:div w:id="576787361">
                                                                                                  <w:marLeft w:val="0"/>
                                                                                                  <w:marRight w:val="0"/>
                                                                                                  <w:marTop w:val="0"/>
                                                                                                  <w:marBottom w:val="0"/>
                                                                                                  <w:divBdr>
                                                                                                    <w:top w:val="none" w:sz="0" w:space="0" w:color="auto"/>
                                                                                                    <w:left w:val="none" w:sz="0" w:space="0" w:color="auto"/>
                                                                                                    <w:bottom w:val="none" w:sz="0" w:space="0" w:color="auto"/>
                                                                                                    <w:right w:val="none" w:sz="0" w:space="0" w:color="auto"/>
                                                                                                  </w:divBdr>
                                                                                                </w:div>
                                                                                              </w:divsChild>
                                                                                            </w:div>
                                                                                            <w:div w:id="600260729">
                                                                                              <w:marLeft w:val="0"/>
                                                                                              <w:marRight w:val="0"/>
                                                                                              <w:marTop w:val="0"/>
                                                                                              <w:marBottom w:val="0"/>
                                                                                              <w:divBdr>
                                                                                                <w:top w:val="none" w:sz="0" w:space="0" w:color="auto"/>
                                                                                                <w:left w:val="none" w:sz="0" w:space="0" w:color="auto"/>
                                                                                                <w:bottom w:val="none" w:sz="0" w:space="0" w:color="auto"/>
                                                                                                <w:right w:val="none" w:sz="0" w:space="0" w:color="auto"/>
                                                                                              </w:divBdr>
                                                                                              <w:divsChild>
                                                                                                <w:div w:id="1847480627">
                                                                                                  <w:marLeft w:val="0"/>
                                                                                                  <w:marRight w:val="0"/>
                                                                                                  <w:marTop w:val="0"/>
                                                                                                  <w:marBottom w:val="0"/>
                                                                                                  <w:divBdr>
                                                                                                    <w:top w:val="none" w:sz="0" w:space="0" w:color="auto"/>
                                                                                                    <w:left w:val="none" w:sz="0" w:space="0" w:color="auto"/>
                                                                                                    <w:bottom w:val="none" w:sz="0" w:space="0" w:color="auto"/>
                                                                                                    <w:right w:val="none" w:sz="0" w:space="0" w:color="auto"/>
                                                                                                  </w:divBdr>
                                                                                                </w:div>
                                                                                              </w:divsChild>
                                                                                            </w:div>
                                                                                            <w:div w:id="696346435">
                                                                                              <w:marLeft w:val="0"/>
                                                                                              <w:marRight w:val="0"/>
                                                                                              <w:marTop w:val="0"/>
                                                                                              <w:marBottom w:val="0"/>
                                                                                              <w:divBdr>
                                                                                                <w:top w:val="none" w:sz="0" w:space="0" w:color="auto"/>
                                                                                                <w:left w:val="none" w:sz="0" w:space="0" w:color="auto"/>
                                                                                                <w:bottom w:val="none" w:sz="0" w:space="0" w:color="auto"/>
                                                                                                <w:right w:val="none" w:sz="0" w:space="0" w:color="auto"/>
                                                                                              </w:divBdr>
                                                                                            </w:div>
                                                                                            <w:div w:id="816528747">
                                                                                              <w:marLeft w:val="0"/>
                                                                                              <w:marRight w:val="0"/>
                                                                                              <w:marTop w:val="0"/>
                                                                                              <w:marBottom w:val="0"/>
                                                                                              <w:divBdr>
                                                                                                <w:top w:val="none" w:sz="0" w:space="0" w:color="auto"/>
                                                                                                <w:left w:val="none" w:sz="0" w:space="0" w:color="auto"/>
                                                                                                <w:bottom w:val="none" w:sz="0" w:space="0" w:color="auto"/>
                                                                                                <w:right w:val="none" w:sz="0" w:space="0" w:color="auto"/>
                                                                                              </w:divBdr>
                                                                                              <w:divsChild>
                                                                                                <w:div w:id="253830495">
                                                                                                  <w:marLeft w:val="0"/>
                                                                                                  <w:marRight w:val="0"/>
                                                                                                  <w:marTop w:val="0"/>
                                                                                                  <w:marBottom w:val="0"/>
                                                                                                  <w:divBdr>
                                                                                                    <w:top w:val="none" w:sz="0" w:space="0" w:color="auto"/>
                                                                                                    <w:left w:val="none" w:sz="0" w:space="0" w:color="auto"/>
                                                                                                    <w:bottom w:val="none" w:sz="0" w:space="0" w:color="auto"/>
                                                                                                    <w:right w:val="none" w:sz="0" w:space="0" w:color="auto"/>
                                                                                                  </w:divBdr>
                                                                                                </w:div>
                                                                                                <w:div w:id="458960326">
                                                                                                  <w:marLeft w:val="0"/>
                                                                                                  <w:marRight w:val="0"/>
                                                                                                  <w:marTop w:val="0"/>
                                                                                                  <w:marBottom w:val="0"/>
                                                                                                  <w:divBdr>
                                                                                                    <w:top w:val="none" w:sz="0" w:space="0" w:color="auto"/>
                                                                                                    <w:left w:val="none" w:sz="0" w:space="0" w:color="auto"/>
                                                                                                    <w:bottom w:val="none" w:sz="0" w:space="0" w:color="auto"/>
                                                                                                    <w:right w:val="none" w:sz="0" w:space="0" w:color="auto"/>
                                                                                                  </w:divBdr>
                                                                                                </w:div>
                                                                                              </w:divsChild>
                                                                                            </w:div>
                                                                                            <w:div w:id="1263611001">
                                                                                              <w:marLeft w:val="0"/>
                                                                                              <w:marRight w:val="0"/>
                                                                                              <w:marTop w:val="0"/>
                                                                                              <w:marBottom w:val="0"/>
                                                                                              <w:divBdr>
                                                                                                <w:top w:val="none" w:sz="0" w:space="0" w:color="auto"/>
                                                                                                <w:left w:val="none" w:sz="0" w:space="0" w:color="auto"/>
                                                                                                <w:bottom w:val="none" w:sz="0" w:space="0" w:color="auto"/>
                                                                                                <w:right w:val="none" w:sz="0" w:space="0" w:color="auto"/>
                                                                                              </w:divBdr>
                                                                                            </w:div>
                                                                                            <w:div w:id="1871919723">
                                                                                              <w:marLeft w:val="0"/>
                                                                                              <w:marRight w:val="0"/>
                                                                                              <w:marTop w:val="0"/>
                                                                                              <w:marBottom w:val="0"/>
                                                                                              <w:divBdr>
                                                                                                <w:top w:val="none" w:sz="0" w:space="0" w:color="auto"/>
                                                                                                <w:left w:val="none" w:sz="0" w:space="0" w:color="auto"/>
                                                                                                <w:bottom w:val="none" w:sz="0" w:space="0" w:color="auto"/>
                                                                                                <w:right w:val="none" w:sz="0" w:space="0" w:color="auto"/>
                                                                                              </w:divBdr>
                                                                                              <w:divsChild>
                                                                                                <w:div w:id="939725257">
                                                                                                  <w:marLeft w:val="0"/>
                                                                                                  <w:marRight w:val="0"/>
                                                                                                  <w:marTop w:val="0"/>
                                                                                                  <w:marBottom w:val="0"/>
                                                                                                  <w:divBdr>
                                                                                                    <w:top w:val="none" w:sz="0" w:space="0" w:color="auto"/>
                                                                                                    <w:left w:val="none" w:sz="0" w:space="0" w:color="auto"/>
                                                                                                    <w:bottom w:val="none" w:sz="0" w:space="0" w:color="auto"/>
                                                                                                    <w:right w:val="none" w:sz="0" w:space="0" w:color="auto"/>
                                                                                                  </w:divBdr>
                                                                                                </w:div>
                                                                                                <w:div w:id="1800342104">
                                                                                                  <w:marLeft w:val="0"/>
                                                                                                  <w:marRight w:val="0"/>
                                                                                                  <w:marTop w:val="0"/>
                                                                                                  <w:marBottom w:val="0"/>
                                                                                                  <w:divBdr>
                                                                                                    <w:top w:val="none" w:sz="0" w:space="0" w:color="auto"/>
                                                                                                    <w:left w:val="none" w:sz="0" w:space="0" w:color="auto"/>
                                                                                                    <w:bottom w:val="none" w:sz="0" w:space="0" w:color="auto"/>
                                                                                                    <w:right w:val="none" w:sz="0" w:space="0" w:color="auto"/>
                                                                                                  </w:divBdr>
                                                                                                </w:div>
                                                                                                <w:div w:id="2081827701">
                                                                                                  <w:marLeft w:val="0"/>
                                                                                                  <w:marRight w:val="0"/>
                                                                                                  <w:marTop w:val="0"/>
                                                                                                  <w:marBottom w:val="0"/>
                                                                                                  <w:divBdr>
                                                                                                    <w:top w:val="none" w:sz="0" w:space="0" w:color="auto"/>
                                                                                                    <w:left w:val="none" w:sz="0" w:space="0" w:color="auto"/>
                                                                                                    <w:bottom w:val="none" w:sz="0" w:space="0" w:color="auto"/>
                                                                                                    <w:right w:val="none" w:sz="0" w:space="0" w:color="auto"/>
                                                                                                  </w:divBdr>
                                                                                                </w:div>
                                                                                              </w:divsChild>
                                                                                            </w:div>
                                                                                            <w:div w:id="1886526319">
                                                                                              <w:marLeft w:val="0"/>
                                                                                              <w:marRight w:val="0"/>
                                                                                              <w:marTop w:val="0"/>
                                                                                              <w:marBottom w:val="0"/>
                                                                                              <w:divBdr>
                                                                                                <w:top w:val="none" w:sz="0" w:space="0" w:color="auto"/>
                                                                                                <w:left w:val="none" w:sz="0" w:space="0" w:color="auto"/>
                                                                                                <w:bottom w:val="none" w:sz="0" w:space="0" w:color="auto"/>
                                                                                                <w:right w:val="none" w:sz="0" w:space="0" w:color="auto"/>
                                                                                              </w:divBdr>
                                                                                              <w:divsChild>
                                                                                                <w:div w:id="898709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3668054">
      <w:bodyDiv w:val="1"/>
      <w:marLeft w:val="0"/>
      <w:marRight w:val="0"/>
      <w:marTop w:val="0"/>
      <w:marBottom w:val="0"/>
      <w:divBdr>
        <w:top w:val="none" w:sz="0" w:space="0" w:color="auto"/>
        <w:left w:val="none" w:sz="0" w:space="0" w:color="auto"/>
        <w:bottom w:val="none" w:sz="0" w:space="0" w:color="auto"/>
        <w:right w:val="none" w:sz="0" w:space="0" w:color="auto"/>
      </w:divBdr>
    </w:div>
    <w:div w:id="95755978">
      <w:bodyDiv w:val="1"/>
      <w:marLeft w:val="0"/>
      <w:marRight w:val="0"/>
      <w:marTop w:val="0"/>
      <w:marBottom w:val="0"/>
      <w:divBdr>
        <w:top w:val="none" w:sz="0" w:space="0" w:color="auto"/>
        <w:left w:val="none" w:sz="0" w:space="0" w:color="auto"/>
        <w:bottom w:val="none" w:sz="0" w:space="0" w:color="auto"/>
        <w:right w:val="none" w:sz="0" w:space="0" w:color="auto"/>
      </w:divBdr>
    </w:div>
    <w:div w:id="104925466">
      <w:bodyDiv w:val="1"/>
      <w:marLeft w:val="0"/>
      <w:marRight w:val="0"/>
      <w:marTop w:val="0"/>
      <w:marBottom w:val="0"/>
      <w:divBdr>
        <w:top w:val="none" w:sz="0" w:space="0" w:color="auto"/>
        <w:left w:val="none" w:sz="0" w:space="0" w:color="auto"/>
        <w:bottom w:val="none" w:sz="0" w:space="0" w:color="auto"/>
        <w:right w:val="none" w:sz="0" w:space="0" w:color="auto"/>
      </w:divBdr>
    </w:div>
    <w:div w:id="128205798">
      <w:bodyDiv w:val="1"/>
      <w:marLeft w:val="0"/>
      <w:marRight w:val="0"/>
      <w:marTop w:val="0"/>
      <w:marBottom w:val="0"/>
      <w:divBdr>
        <w:top w:val="none" w:sz="0" w:space="0" w:color="auto"/>
        <w:left w:val="none" w:sz="0" w:space="0" w:color="auto"/>
        <w:bottom w:val="none" w:sz="0" w:space="0" w:color="auto"/>
        <w:right w:val="none" w:sz="0" w:space="0" w:color="auto"/>
      </w:divBdr>
    </w:div>
    <w:div w:id="142475324">
      <w:bodyDiv w:val="1"/>
      <w:marLeft w:val="0"/>
      <w:marRight w:val="0"/>
      <w:marTop w:val="0"/>
      <w:marBottom w:val="0"/>
      <w:divBdr>
        <w:top w:val="none" w:sz="0" w:space="0" w:color="auto"/>
        <w:left w:val="none" w:sz="0" w:space="0" w:color="auto"/>
        <w:bottom w:val="none" w:sz="0" w:space="0" w:color="auto"/>
        <w:right w:val="none" w:sz="0" w:space="0" w:color="auto"/>
      </w:divBdr>
      <w:divsChild>
        <w:div w:id="1044867453">
          <w:marLeft w:val="0"/>
          <w:marRight w:val="0"/>
          <w:marTop w:val="0"/>
          <w:marBottom w:val="0"/>
          <w:divBdr>
            <w:top w:val="none" w:sz="0" w:space="0" w:color="auto"/>
            <w:left w:val="none" w:sz="0" w:space="0" w:color="auto"/>
            <w:bottom w:val="none" w:sz="0" w:space="0" w:color="auto"/>
            <w:right w:val="none" w:sz="0" w:space="0" w:color="auto"/>
          </w:divBdr>
          <w:divsChild>
            <w:div w:id="1658654422">
              <w:marLeft w:val="0"/>
              <w:marRight w:val="0"/>
              <w:marTop w:val="0"/>
              <w:marBottom w:val="0"/>
              <w:divBdr>
                <w:top w:val="none" w:sz="0" w:space="0" w:color="auto"/>
                <w:left w:val="none" w:sz="0" w:space="0" w:color="auto"/>
                <w:bottom w:val="none" w:sz="0" w:space="0" w:color="auto"/>
                <w:right w:val="none" w:sz="0" w:space="0" w:color="auto"/>
              </w:divBdr>
              <w:divsChild>
                <w:div w:id="559177403">
                  <w:marLeft w:val="0"/>
                  <w:marRight w:val="0"/>
                  <w:marTop w:val="0"/>
                  <w:marBottom w:val="0"/>
                  <w:divBdr>
                    <w:top w:val="none" w:sz="0" w:space="0" w:color="auto"/>
                    <w:left w:val="none" w:sz="0" w:space="0" w:color="auto"/>
                    <w:bottom w:val="none" w:sz="0" w:space="0" w:color="auto"/>
                    <w:right w:val="none" w:sz="0" w:space="0" w:color="auto"/>
                  </w:divBdr>
                  <w:divsChild>
                    <w:div w:id="882443078">
                      <w:marLeft w:val="0"/>
                      <w:marRight w:val="0"/>
                      <w:marTop w:val="0"/>
                      <w:marBottom w:val="0"/>
                      <w:divBdr>
                        <w:top w:val="none" w:sz="0" w:space="0" w:color="auto"/>
                        <w:left w:val="none" w:sz="0" w:space="0" w:color="auto"/>
                        <w:bottom w:val="none" w:sz="0" w:space="0" w:color="auto"/>
                        <w:right w:val="none" w:sz="0" w:space="0" w:color="auto"/>
                      </w:divBdr>
                      <w:divsChild>
                        <w:div w:id="571086864">
                          <w:marLeft w:val="0"/>
                          <w:marRight w:val="0"/>
                          <w:marTop w:val="0"/>
                          <w:marBottom w:val="0"/>
                          <w:divBdr>
                            <w:top w:val="none" w:sz="0" w:space="0" w:color="auto"/>
                            <w:left w:val="none" w:sz="0" w:space="0" w:color="auto"/>
                            <w:bottom w:val="none" w:sz="0" w:space="0" w:color="auto"/>
                            <w:right w:val="none" w:sz="0" w:space="0" w:color="auto"/>
                          </w:divBdr>
                          <w:divsChild>
                            <w:div w:id="1076633319">
                              <w:marLeft w:val="0"/>
                              <w:marRight w:val="0"/>
                              <w:marTop w:val="0"/>
                              <w:marBottom w:val="0"/>
                              <w:divBdr>
                                <w:top w:val="none" w:sz="0" w:space="0" w:color="auto"/>
                                <w:left w:val="none" w:sz="0" w:space="0" w:color="auto"/>
                                <w:bottom w:val="none" w:sz="0" w:space="0" w:color="auto"/>
                                <w:right w:val="none" w:sz="0" w:space="0" w:color="auto"/>
                              </w:divBdr>
                              <w:divsChild>
                                <w:div w:id="213602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177251">
      <w:bodyDiv w:val="1"/>
      <w:marLeft w:val="0"/>
      <w:marRight w:val="0"/>
      <w:marTop w:val="0"/>
      <w:marBottom w:val="0"/>
      <w:divBdr>
        <w:top w:val="none" w:sz="0" w:space="0" w:color="auto"/>
        <w:left w:val="none" w:sz="0" w:space="0" w:color="auto"/>
        <w:bottom w:val="none" w:sz="0" w:space="0" w:color="auto"/>
        <w:right w:val="none" w:sz="0" w:space="0" w:color="auto"/>
      </w:divBdr>
    </w:div>
    <w:div w:id="163202410">
      <w:bodyDiv w:val="1"/>
      <w:marLeft w:val="0"/>
      <w:marRight w:val="0"/>
      <w:marTop w:val="0"/>
      <w:marBottom w:val="0"/>
      <w:divBdr>
        <w:top w:val="none" w:sz="0" w:space="0" w:color="auto"/>
        <w:left w:val="none" w:sz="0" w:space="0" w:color="auto"/>
        <w:bottom w:val="none" w:sz="0" w:space="0" w:color="auto"/>
        <w:right w:val="none" w:sz="0" w:space="0" w:color="auto"/>
      </w:divBdr>
    </w:div>
    <w:div w:id="174927130">
      <w:bodyDiv w:val="1"/>
      <w:marLeft w:val="0"/>
      <w:marRight w:val="0"/>
      <w:marTop w:val="0"/>
      <w:marBottom w:val="0"/>
      <w:divBdr>
        <w:top w:val="none" w:sz="0" w:space="0" w:color="auto"/>
        <w:left w:val="none" w:sz="0" w:space="0" w:color="auto"/>
        <w:bottom w:val="none" w:sz="0" w:space="0" w:color="auto"/>
        <w:right w:val="none" w:sz="0" w:space="0" w:color="auto"/>
      </w:divBdr>
    </w:div>
    <w:div w:id="180703083">
      <w:bodyDiv w:val="1"/>
      <w:marLeft w:val="0"/>
      <w:marRight w:val="0"/>
      <w:marTop w:val="0"/>
      <w:marBottom w:val="0"/>
      <w:divBdr>
        <w:top w:val="none" w:sz="0" w:space="0" w:color="auto"/>
        <w:left w:val="none" w:sz="0" w:space="0" w:color="auto"/>
        <w:bottom w:val="none" w:sz="0" w:space="0" w:color="auto"/>
        <w:right w:val="none" w:sz="0" w:space="0" w:color="auto"/>
      </w:divBdr>
    </w:div>
    <w:div w:id="184565281">
      <w:bodyDiv w:val="1"/>
      <w:marLeft w:val="0"/>
      <w:marRight w:val="0"/>
      <w:marTop w:val="0"/>
      <w:marBottom w:val="0"/>
      <w:divBdr>
        <w:top w:val="none" w:sz="0" w:space="0" w:color="auto"/>
        <w:left w:val="none" w:sz="0" w:space="0" w:color="auto"/>
        <w:bottom w:val="none" w:sz="0" w:space="0" w:color="auto"/>
        <w:right w:val="none" w:sz="0" w:space="0" w:color="auto"/>
      </w:divBdr>
    </w:div>
    <w:div w:id="205605489">
      <w:bodyDiv w:val="1"/>
      <w:marLeft w:val="0"/>
      <w:marRight w:val="0"/>
      <w:marTop w:val="0"/>
      <w:marBottom w:val="0"/>
      <w:divBdr>
        <w:top w:val="none" w:sz="0" w:space="0" w:color="auto"/>
        <w:left w:val="none" w:sz="0" w:space="0" w:color="auto"/>
        <w:bottom w:val="none" w:sz="0" w:space="0" w:color="auto"/>
        <w:right w:val="none" w:sz="0" w:space="0" w:color="auto"/>
      </w:divBdr>
    </w:div>
    <w:div w:id="236137126">
      <w:bodyDiv w:val="1"/>
      <w:marLeft w:val="0"/>
      <w:marRight w:val="0"/>
      <w:marTop w:val="0"/>
      <w:marBottom w:val="0"/>
      <w:divBdr>
        <w:top w:val="none" w:sz="0" w:space="0" w:color="auto"/>
        <w:left w:val="none" w:sz="0" w:space="0" w:color="auto"/>
        <w:bottom w:val="none" w:sz="0" w:space="0" w:color="auto"/>
        <w:right w:val="none" w:sz="0" w:space="0" w:color="auto"/>
      </w:divBdr>
    </w:div>
    <w:div w:id="241452767">
      <w:bodyDiv w:val="1"/>
      <w:marLeft w:val="0"/>
      <w:marRight w:val="0"/>
      <w:marTop w:val="0"/>
      <w:marBottom w:val="0"/>
      <w:divBdr>
        <w:top w:val="none" w:sz="0" w:space="0" w:color="auto"/>
        <w:left w:val="none" w:sz="0" w:space="0" w:color="auto"/>
        <w:bottom w:val="none" w:sz="0" w:space="0" w:color="auto"/>
        <w:right w:val="none" w:sz="0" w:space="0" w:color="auto"/>
      </w:divBdr>
    </w:div>
    <w:div w:id="245573317">
      <w:bodyDiv w:val="1"/>
      <w:marLeft w:val="0"/>
      <w:marRight w:val="0"/>
      <w:marTop w:val="0"/>
      <w:marBottom w:val="0"/>
      <w:divBdr>
        <w:top w:val="none" w:sz="0" w:space="0" w:color="auto"/>
        <w:left w:val="none" w:sz="0" w:space="0" w:color="auto"/>
        <w:bottom w:val="none" w:sz="0" w:space="0" w:color="auto"/>
        <w:right w:val="none" w:sz="0" w:space="0" w:color="auto"/>
      </w:divBdr>
      <w:divsChild>
        <w:div w:id="128592015">
          <w:marLeft w:val="360"/>
          <w:marRight w:val="0"/>
          <w:marTop w:val="144"/>
          <w:marBottom w:val="0"/>
          <w:divBdr>
            <w:top w:val="none" w:sz="0" w:space="0" w:color="auto"/>
            <w:left w:val="none" w:sz="0" w:space="0" w:color="auto"/>
            <w:bottom w:val="none" w:sz="0" w:space="0" w:color="auto"/>
            <w:right w:val="none" w:sz="0" w:space="0" w:color="auto"/>
          </w:divBdr>
        </w:div>
        <w:div w:id="936593910">
          <w:marLeft w:val="360"/>
          <w:marRight w:val="0"/>
          <w:marTop w:val="144"/>
          <w:marBottom w:val="0"/>
          <w:divBdr>
            <w:top w:val="none" w:sz="0" w:space="0" w:color="auto"/>
            <w:left w:val="none" w:sz="0" w:space="0" w:color="auto"/>
            <w:bottom w:val="none" w:sz="0" w:space="0" w:color="auto"/>
            <w:right w:val="none" w:sz="0" w:space="0" w:color="auto"/>
          </w:divBdr>
        </w:div>
        <w:div w:id="936672070">
          <w:marLeft w:val="360"/>
          <w:marRight w:val="0"/>
          <w:marTop w:val="144"/>
          <w:marBottom w:val="0"/>
          <w:divBdr>
            <w:top w:val="none" w:sz="0" w:space="0" w:color="auto"/>
            <w:left w:val="none" w:sz="0" w:space="0" w:color="auto"/>
            <w:bottom w:val="none" w:sz="0" w:space="0" w:color="auto"/>
            <w:right w:val="none" w:sz="0" w:space="0" w:color="auto"/>
          </w:divBdr>
        </w:div>
        <w:div w:id="1198816805">
          <w:marLeft w:val="360"/>
          <w:marRight w:val="0"/>
          <w:marTop w:val="144"/>
          <w:marBottom w:val="0"/>
          <w:divBdr>
            <w:top w:val="none" w:sz="0" w:space="0" w:color="auto"/>
            <w:left w:val="none" w:sz="0" w:space="0" w:color="auto"/>
            <w:bottom w:val="none" w:sz="0" w:space="0" w:color="auto"/>
            <w:right w:val="none" w:sz="0" w:space="0" w:color="auto"/>
          </w:divBdr>
        </w:div>
        <w:div w:id="1748073337">
          <w:marLeft w:val="360"/>
          <w:marRight w:val="0"/>
          <w:marTop w:val="144"/>
          <w:marBottom w:val="0"/>
          <w:divBdr>
            <w:top w:val="none" w:sz="0" w:space="0" w:color="auto"/>
            <w:left w:val="none" w:sz="0" w:space="0" w:color="auto"/>
            <w:bottom w:val="none" w:sz="0" w:space="0" w:color="auto"/>
            <w:right w:val="none" w:sz="0" w:space="0" w:color="auto"/>
          </w:divBdr>
        </w:div>
        <w:div w:id="1811366751">
          <w:marLeft w:val="360"/>
          <w:marRight w:val="0"/>
          <w:marTop w:val="144"/>
          <w:marBottom w:val="0"/>
          <w:divBdr>
            <w:top w:val="none" w:sz="0" w:space="0" w:color="auto"/>
            <w:left w:val="none" w:sz="0" w:space="0" w:color="auto"/>
            <w:bottom w:val="none" w:sz="0" w:space="0" w:color="auto"/>
            <w:right w:val="none" w:sz="0" w:space="0" w:color="auto"/>
          </w:divBdr>
        </w:div>
        <w:div w:id="1838155708">
          <w:marLeft w:val="360"/>
          <w:marRight w:val="0"/>
          <w:marTop w:val="144"/>
          <w:marBottom w:val="0"/>
          <w:divBdr>
            <w:top w:val="none" w:sz="0" w:space="0" w:color="auto"/>
            <w:left w:val="none" w:sz="0" w:space="0" w:color="auto"/>
            <w:bottom w:val="none" w:sz="0" w:space="0" w:color="auto"/>
            <w:right w:val="none" w:sz="0" w:space="0" w:color="auto"/>
          </w:divBdr>
        </w:div>
      </w:divsChild>
    </w:div>
    <w:div w:id="274752243">
      <w:bodyDiv w:val="1"/>
      <w:marLeft w:val="0"/>
      <w:marRight w:val="0"/>
      <w:marTop w:val="0"/>
      <w:marBottom w:val="0"/>
      <w:divBdr>
        <w:top w:val="none" w:sz="0" w:space="0" w:color="auto"/>
        <w:left w:val="none" w:sz="0" w:space="0" w:color="auto"/>
        <w:bottom w:val="none" w:sz="0" w:space="0" w:color="auto"/>
        <w:right w:val="none" w:sz="0" w:space="0" w:color="auto"/>
      </w:divBdr>
    </w:div>
    <w:div w:id="278613387">
      <w:bodyDiv w:val="1"/>
      <w:marLeft w:val="0"/>
      <w:marRight w:val="0"/>
      <w:marTop w:val="0"/>
      <w:marBottom w:val="0"/>
      <w:divBdr>
        <w:top w:val="none" w:sz="0" w:space="0" w:color="auto"/>
        <w:left w:val="none" w:sz="0" w:space="0" w:color="auto"/>
        <w:bottom w:val="none" w:sz="0" w:space="0" w:color="auto"/>
        <w:right w:val="none" w:sz="0" w:space="0" w:color="auto"/>
      </w:divBdr>
    </w:div>
    <w:div w:id="289945709">
      <w:bodyDiv w:val="1"/>
      <w:marLeft w:val="0"/>
      <w:marRight w:val="0"/>
      <w:marTop w:val="0"/>
      <w:marBottom w:val="0"/>
      <w:divBdr>
        <w:top w:val="none" w:sz="0" w:space="0" w:color="auto"/>
        <w:left w:val="none" w:sz="0" w:space="0" w:color="auto"/>
        <w:bottom w:val="none" w:sz="0" w:space="0" w:color="auto"/>
        <w:right w:val="none" w:sz="0" w:space="0" w:color="auto"/>
      </w:divBdr>
    </w:div>
    <w:div w:id="340276332">
      <w:bodyDiv w:val="1"/>
      <w:marLeft w:val="0"/>
      <w:marRight w:val="0"/>
      <w:marTop w:val="0"/>
      <w:marBottom w:val="0"/>
      <w:divBdr>
        <w:top w:val="none" w:sz="0" w:space="0" w:color="auto"/>
        <w:left w:val="none" w:sz="0" w:space="0" w:color="auto"/>
        <w:bottom w:val="none" w:sz="0" w:space="0" w:color="auto"/>
        <w:right w:val="none" w:sz="0" w:space="0" w:color="auto"/>
      </w:divBdr>
    </w:div>
    <w:div w:id="340789068">
      <w:bodyDiv w:val="1"/>
      <w:marLeft w:val="0"/>
      <w:marRight w:val="0"/>
      <w:marTop w:val="0"/>
      <w:marBottom w:val="0"/>
      <w:divBdr>
        <w:top w:val="none" w:sz="0" w:space="0" w:color="auto"/>
        <w:left w:val="none" w:sz="0" w:space="0" w:color="auto"/>
        <w:bottom w:val="none" w:sz="0" w:space="0" w:color="auto"/>
        <w:right w:val="none" w:sz="0" w:space="0" w:color="auto"/>
      </w:divBdr>
    </w:div>
    <w:div w:id="358554191">
      <w:bodyDiv w:val="1"/>
      <w:marLeft w:val="0"/>
      <w:marRight w:val="0"/>
      <w:marTop w:val="0"/>
      <w:marBottom w:val="0"/>
      <w:divBdr>
        <w:top w:val="none" w:sz="0" w:space="0" w:color="auto"/>
        <w:left w:val="none" w:sz="0" w:space="0" w:color="auto"/>
        <w:bottom w:val="none" w:sz="0" w:space="0" w:color="auto"/>
        <w:right w:val="none" w:sz="0" w:space="0" w:color="auto"/>
      </w:divBdr>
    </w:div>
    <w:div w:id="367150511">
      <w:bodyDiv w:val="1"/>
      <w:marLeft w:val="0"/>
      <w:marRight w:val="0"/>
      <w:marTop w:val="0"/>
      <w:marBottom w:val="0"/>
      <w:divBdr>
        <w:top w:val="none" w:sz="0" w:space="0" w:color="auto"/>
        <w:left w:val="none" w:sz="0" w:space="0" w:color="auto"/>
        <w:bottom w:val="none" w:sz="0" w:space="0" w:color="auto"/>
        <w:right w:val="none" w:sz="0" w:space="0" w:color="auto"/>
      </w:divBdr>
    </w:div>
    <w:div w:id="369109055">
      <w:bodyDiv w:val="1"/>
      <w:marLeft w:val="0"/>
      <w:marRight w:val="0"/>
      <w:marTop w:val="0"/>
      <w:marBottom w:val="0"/>
      <w:divBdr>
        <w:top w:val="none" w:sz="0" w:space="0" w:color="auto"/>
        <w:left w:val="none" w:sz="0" w:space="0" w:color="auto"/>
        <w:bottom w:val="none" w:sz="0" w:space="0" w:color="auto"/>
        <w:right w:val="none" w:sz="0" w:space="0" w:color="auto"/>
      </w:divBdr>
    </w:div>
    <w:div w:id="379474221">
      <w:bodyDiv w:val="1"/>
      <w:marLeft w:val="0"/>
      <w:marRight w:val="0"/>
      <w:marTop w:val="0"/>
      <w:marBottom w:val="0"/>
      <w:divBdr>
        <w:top w:val="none" w:sz="0" w:space="0" w:color="auto"/>
        <w:left w:val="none" w:sz="0" w:space="0" w:color="auto"/>
        <w:bottom w:val="none" w:sz="0" w:space="0" w:color="auto"/>
        <w:right w:val="none" w:sz="0" w:space="0" w:color="auto"/>
      </w:divBdr>
    </w:div>
    <w:div w:id="395207377">
      <w:bodyDiv w:val="1"/>
      <w:marLeft w:val="0"/>
      <w:marRight w:val="0"/>
      <w:marTop w:val="0"/>
      <w:marBottom w:val="0"/>
      <w:divBdr>
        <w:top w:val="none" w:sz="0" w:space="0" w:color="auto"/>
        <w:left w:val="none" w:sz="0" w:space="0" w:color="auto"/>
        <w:bottom w:val="none" w:sz="0" w:space="0" w:color="auto"/>
        <w:right w:val="none" w:sz="0" w:space="0" w:color="auto"/>
      </w:divBdr>
    </w:div>
    <w:div w:id="404842513">
      <w:bodyDiv w:val="1"/>
      <w:marLeft w:val="0"/>
      <w:marRight w:val="0"/>
      <w:marTop w:val="0"/>
      <w:marBottom w:val="0"/>
      <w:divBdr>
        <w:top w:val="none" w:sz="0" w:space="0" w:color="auto"/>
        <w:left w:val="none" w:sz="0" w:space="0" w:color="auto"/>
        <w:bottom w:val="none" w:sz="0" w:space="0" w:color="auto"/>
        <w:right w:val="none" w:sz="0" w:space="0" w:color="auto"/>
      </w:divBdr>
    </w:div>
    <w:div w:id="410128075">
      <w:bodyDiv w:val="1"/>
      <w:marLeft w:val="0"/>
      <w:marRight w:val="0"/>
      <w:marTop w:val="0"/>
      <w:marBottom w:val="0"/>
      <w:divBdr>
        <w:top w:val="none" w:sz="0" w:space="0" w:color="auto"/>
        <w:left w:val="none" w:sz="0" w:space="0" w:color="auto"/>
        <w:bottom w:val="none" w:sz="0" w:space="0" w:color="auto"/>
        <w:right w:val="none" w:sz="0" w:space="0" w:color="auto"/>
      </w:divBdr>
    </w:div>
    <w:div w:id="429816064">
      <w:bodyDiv w:val="1"/>
      <w:marLeft w:val="0"/>
      <w:marRight w:val="0"/>
      <w:marTop w:val="0"/>
      <w:marBottom w:val="0"/>
      <w:divBdr>
        <w:top w:val="none" w:sz="0" w:space="0" w:color="auto"/>
        <w:left w:val="none" w:sz="0" w:space="0" w:color="auto"/>
        <w:bottom w:val="none" w:sz="0" w:space="0" w:color="auto"/>
        <w:right w:val="none" w:sz="0" w:space="0" w:color="auto"/>
      </w:divBdr>
      <w:divsChild>
        <w:div w:id="1259101611">
          <w:marLeft w:val="0"/>
          <w:marRight w:val="0"/>
          <w:marTop w:val="0"/>
          <w:marBottom w:val="0"/>
          <w:divBdr>
            <w:top w:val="none" w:sz="0" w:space="0" w:color="auto"/>
            <w:left w:val="none" w:sz="0" w:space="0" w:color="auto"/>
            <w:bottom w:val="none" w:sz="0" w:space="0" w:color="auto"/>
            <w:right w:val="none" w:sz="0" w:space="0" w:color="auto"/>
          </w:divBdr>
          <w:divsChild>
            <w:div w:id="1899196736">
              <w:marLeft w:val="0"/>
              <w:marRight w:val="0"/>
              <w:marTop w:val="0"/>
              <w:marBottom w:val="0"/>
              <w:divBdr>
                <w:top w:val="none" w:sz="0" w:space="0" w:color="auto"/>
                <w:left w:val="none" w:sz="0" w:space="0" w:color="auto"/>
                <w:bottom w:val="none" w:sz="0" w:space="0" w:color="auto"/>
                <w:right w:val="none" w:sz="0" w:space="0" w:color="auto"/>
              </w:divBdr>
              <w:divsChild>
                <w:div w:id="477655101">
                  <w:marLeft w:val="0"/>
                  <w:marRight w:val="0"/>
                  <w:marTop w:val="0"/>
                  <w:marBottom w:val="0"/>
                  <w:divBdr>
                    <w:top w:val="none" w:sz="0" w:space="0" w:color="auto"/>
                    <w:left w:val="none" w:sz="0" w:space="0" w:color="auto"/>
                    <w:bottom w:val="none" w:sz="0" w:space="0" w:color="auto"/>
                    <w:right w:val="none" w:sz="0" w:space="0" w:color="auto"/>
                  </w:divBdr>
                  <w:divsChild>
                    <w:div w:id="1541628949">
                      <w:marLeft w:val="0"/>
                      <w:marRight w:val="0"/>
                      <w:marTop w:val="0"/>
                      <w:marBottom w:val="0"/>
                      <w:divBdr>
                        <w:top w:val="none" w:sz="0" w:space="0" w:color="auto"/>
                        <w:left w:val="none" w:sz="0" w:space="0" w:color="auto"/>
                        <w:bottom w:val="none" w:sz="0" w:space="0" w:color="auto"/>
                        <w:right w:val="none" w:sz="0" w:space="0" w:color="auto"/>
                      </w:divBdr>
                      <w:divsChild>
                        <w:div w:id="421293560">
                          <w:marLeft w:val="0"/>
                          <w:marRight w:val="0"/>
                          <w:marTop w:val="0"/>
                          <w:marBottom w:val="0"/>
                          <w:divBdr>
                            <w:top w:val="none" w:sz="0" w:space="0" w:color="auto"/>
                            <w:left w:val="none" w:sz="0" w:space="0" w:color="auto"/>
                            <w:bottom w:val="none" w:sz="0" w:space="0" w:color="auto"/>
                            <w:right w:val="none" w:sz="0" w:space="0" w:color="auto"/>
                          </w:divBdr>
                          <w:divsChild>
                            <w:div w:id="2084140441">
                              <w:marLeft w:val="0"/>
                              <w:marRight w:val="0"/>
                              <w:marTop w:val="0"/>
                              <w:marBottom w:val="0"/>
                              <w:divBdr>
                                <w:top w:val="none" w:sz="0" w:space="0" w:color="auto"/>
                                <w:left w:val="none" w:sz="0" w:space="0" w:color="auto"/>
                                <w:bottom w:val="none" w:sz="0" w:space="0" w:color="auto"/>
                                <w:right w:val="none" w:sz="0" w:space="0" w:color="auto"/>
                              </w:divBdr>
                              <w:divsChild>
                                <w:div w:id="1075857620">
                                  <w:marLeft w:val="0"/>
                                  <w:marRight w:val="0"/>
                                  <w:marTop w:val="0"/>
                                  <w:marBottom w:val="0"/>
                                  <w:divBdr>
                                    <w:top w:val="none" w:sz="0" w:space="0" w:color="auto"/>
                                    <w:left w:val="none" w:sz="0" w:space="0" w:color="auto"/>
                                    <w:bottom w:val="none" w:sz="0" w:space="0" w:color="auto"/>
                                    <w:right w:val="none" w:sz="0" w:space="0" w:color="auto"/>
                                  </w:divBdr>
                                  <w:divsChild>
                                    <w:div w:id="1850636191">
                                      <w:marLeft w:val="0"/>
                                      <w:marRight w:val="0"/>
                                      <w:marTop w:val="0"/>
                                      <w:marBottom w:val="0"/>
                                      <w:divBdr>
                                        <w:top w:val="none" w:sz="0" w:space="0" w:color="auto"/>
                                        <w:left w:val="none" w:sz="0" w:space="0" w:color="auto"/>
                                        <w:bottom w:val="none" w:sz="0" w:space="0" w:color="auto"/>
                                        <w:right w:val="none" w:sz="0" w:space="0" w:color="auto"/>
                                      </w:divBdr>
                                      <w:divsChild>
                                        <w:div w:id="96950938">
                                          <w:marLeft w:val="0"/>
                                          <w:marRight w:val="0"/>
                                          <w:marTop w:val="0"/>
                                          <w:marBottom w:val="0"/>
                                          <w:divBdr>
                                            <w:top w:val="none" w:sz="0" w:space="0" w:color="auto"/>
                                            <w:left w:val="none" w:sz="0" w:space="0" w:color="auto"/>
                                            <w:bottom w:val="none" w:sz="0" w:space="0" w:color="auto"/>
                                            <w:right w:val="none" w:sz="0" w:space="0" w:color="auto"/>
                                          </w:divBdr>
                                          <w:divsChild>
                                            <w:div w:id="229777417">
                                              <w:marLeft w:val="3444"/>
                                              <w:marRight w:val="0"/>
                                              <w:marTop w:val="0"/>
                                              <w:marBottom w:val="0"/>
                                              <w:divBdr>
                                                <w:top w:val="single" w:sz="4" w:space="0" w:color="D2D5D7"/>
                                                <w:left w:val="single" w:sz="4" w:space="0" w:color="D2D5D7"/>
                                                <w:bottom w:val="none" w:sz="0" w:space="0" w:color="auto"/>
                                                <w:right w:val="single" w:sz="4" w:space="0" w:color="D2D5D7"/>
                                              </w:divBdr>
                                              <w:divsChild>
                                                <w:div w:id="796945135">
                                                  <w:marLeft w:val="0"/>
                                                  <w:marRight w:val="0"/>
                                                  <w:marTop w:val="0"/>
                                                  <w:marBottom w:val="0"/>
                                                  <w:divBdr>
                                                    <w:top w:val="none" w:sz="0" w:space="0" w:color="auto"/>
                                                    <w:left w:val="none" w:sz="0" w:space="0" w:color="auto"/>
                                                    <w:bottom w:val="none" w:sz="0" w:space="0" w:color="auto"/>
                                                    <w:right w:val="none" w:sz="0" w:space="0" w:color="auto"/>
                                                  </w:divBdr>
                                                  <w:divsChild>
                                                    <w:div w:id="403184453">
                                                      <w:marLeft w:val="0"/>
                                                      <w:marRight w:val="0"/>
                                                      <w:marTop w:val="0"/>
                                                      <w:marBottom w:val="0"/>
                                                      <w:divBdr>
                                                        <w:top w:val="none" w:sz="0" w:space="0" w:color="auto"/>
                                                        <w:left w:val="none" w:sz="0" w:space="0" w:color="auto"/>
                                                        <w:bottom w:val="none" w:sz="0" w:space="0" w:color="auto"/>
                                                        <w:right w:val="none" w:sz="0" w:space="0" w:color="auto"/>
                                                      </w:divBdr>
                                                      <w:divsChild>
                                                        <w:div w:id="463039790">
                                                          <w:marLeft w:val="0"/>
                                                          <w:marRight w:val="0"/>
                                                          <w:marTop w:val="0"/>
                                                          <w:marBottom w:val="0"/>
                                                          <w:divBdr>
                                                            <w:top w:val="none" w:sz="0" w:space="0" w:color="auto"/>
                                                            <w:left w:val="none" w:sz="0" w:space="0" w:color="auto"/>
                                                            <w:bottom w:val="none" w:sz="0" w:space="0" w:color="auto"/>
                                                            <w:right w:val="none" w:sz="0" w:space="0" w:color="auto"/>
                                                          </w:divBdr>
                                                          <w:divsChild>
                                                            <w:div w:id="923950517">
                                                              <w:marLeft w:val="0"/>
                                                              <w:marRight w:val="0"/>
                                                              <w:marTop w:val="0"/>
                                                              <w:marBottom w:val="0"/>
                                                              <w:divBdr>
                                                                <w:top w:val="none" w:sz="0" w:space="0" w:color="auto"/>
                                                                <w:left w:val="none" w:sz="0" w:space="0" w:color="auto"/>
                                                                <w:bottom w:val="none" w:sz="0" w:space="0" w:color="auto"/>
                                                                <w:right w:val="none" w:sz="0" w:space="0" w:color="auto"/>
                                                              </w:divBdr>
                                                              <w:divsChild>
                                                                <w:div w:id="570195354">
                                                                  <w:marLeft w:val="0"/>
                                                                  <w:marRight w:val="0"/>
                                                                  <w:marTop w:val="0"/>
                                                                  <w:marBottom w:val="0"/>
                                                                  <w:divBdr>
                                                                    <w:top w:val="none" w:sz="0" w:space="0" w:color="auto"/>
                                                                    <w:left w:val="none" w:sz="0" w:space="0" w:color="auto"/>
                                                                    <w:bottom w:val="none" w:sz="0" w:space="0" w:color="auto"/>
                                                                    <w:right w:val="none" w:sz="0" w:space="0" w:color="auto"/>
                                                                  </w:divBdr>
                                                                  <w:divsChild>
                                                                    <w:div w:id="2026782452">
                                                                      <w:marLeft w:val="0"/>
                                                                      <w:marRight w:val="0"/>
                                                                      <w:marTop w:val="0"/>
                                                                      <w:marBottom w:val="0"/>
                                                                      <w:divBdr>
                                                                        <w:top w:val="none" w:sz="0" w:space="0" w:color="auto"/>
                                                                        <w:left w:val="none" w:sz="0" w:space="0" w:color="auto"/>
                                                                        <w:bottom w:val="none" w:sz="0" w:space="0" w:color="auto"/>
                                                                        <w:right w:val="none" w:sz="0" w:space="0" w:color="auto"/>
                                                                      </w:divBdr>
                                                                      <w:divsChild>
                                                                        <w:div w:id="629476576">
                                                                          <w:marLeft w:val="0"/>
                                                                          <w:marRight w:val="0"/>
                                                                          <w:marTop w:val="0"/>
                                                                          <w:marBottom w:val="0"/>
                                                                          <w:divBdr>
                                                                            <w:top w:val="none" w:sz="0" w:space="0" w:color="auto"/>
                                                                            <w:left w:val="none" w:sz="0" w:space="0" w:color="auto"/>
                                                                            <w:bottom w:val="none" w:sz="0" w:space="0" w:color="auto"/>
                                                                            <w:right w:val="none" w:sz="0" w:space="0" w:color="auto"/>
                                                                          </w:divBdr>
                                                                          <w:divsChild>
                                                                            <w:div w:id="191573613">
                                                                              <w:marLeft w:val="0"/>
                                                                              <w:marRight w:val="0"/>
                                                                              <w:marTop w:val="0"/>
                                                                              <w:marBottom w:val="0"/>
                                                                              <w:divBdr>
                                                                                <w:top w:val="none" w:sz="0" w:space="0" w:color="auto"/>
                                                                                <w:left w:val="none" w:sz="0" w:space="0" w:color="auto"/>
                                                                                <w:bottom w:val="none" w:sz="0" w:space="0" w:color="auto"/>
                                                                                <w:right w:val="none" w:sz="0" w:space="0" w:color="auto"/>
                                                                              </w:divBdr>
                                                                            </w:div>
                                                                            <w:div w:id="364795276">
                                                                              <w:marLeft w:val="0"/>
                                                                              <w:marRight w:val="0"/>
                                                                              <w:marTop w:val="0"/>
                                                                              <w:marBottom w:val="0"/>
                                                                              <w:divBdr>
                                                                                <w:top w:val="none" w:sz="0" w:space="0" w:color="auto"/>
                                                                                <w:left w:val="none" w:sz="0" w:space="0" w:color="auto"/>
                                                                                <w:bottom w:val="none" w:sz="0" w:space="0" w:color="auto"/>
                                                                                <w:right w:val="none" w:sz="0" w:space="0" w:color="auto"/>
                                                                              </w:divBdr>
                                                                            </w:div>
                                                                            <w:div w:id="179575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6756918">
      <w:bodyDiv w:val="1"/>
      <w:marLeft w:val="0"/>
      <w:marRight w:val="0"/>
      <w:marTop w:val="0"/>
      <w:marBottom w:val="0"/>
      <w:divBdr>
        <w:top w:val="none" w:sz="0" w:space="0" w:color="auto"/>
        <w:left w:val="none" w:sz="0" w:space="0" w:color="auto"/>
        <w:bottom w:val="none" w:sz="0" w:space="0" w:color="auto"/>
        <w:right w:val="none" w:sz="0" w:space="0" w:color="auto"/>
      </w:divBdr>
      <w:divsChild>
        <w:div w:id="850484531">
          <w:marLeft w:val="0"/>
          <w:marRight w:val="0"/>
          <w:marTop w:val="0"/>
          <w:marBottom w:val="0"/>
          <w:divBdr>
            <w:top w:val="none" w:sz="0" w:space="0" w:color="auto"/>
            <w:left w:val="none" w:sz="0" w:space="0" w:color="auto"/>
            <w:bottom w:val="none" w:sz="0" w:space="0" w:color="auto"/>
            <w:right w:val="none" w:sz="0" w:space="0" w:color="auto"/>
          </w:divBdr>
          <w:divsChild>
            <w:div w:id="314846786">
              <w:marLeft w:val="0"/>
              <w:marRight w:val="0"/>
              <w:marTop w:val="0"/>
              <w:marBottom w:val="0"/>
              <w:divBdr>
                <w:top w:val="none" w:sz="0" w:space="0" w:color="auto"/>
                <w:left w:val="none" w:sz="0" w:space="0" w:color="auto"/>
                <w:bottom w:val="none" w:sz="0" w:space="0" w:color="auto"/>
                <w:right w:val="none" w:sz="0" w:space="0" w:color="auto"/>
              </w:divBdr>
              <w:divsChild>
                <w:div w:id="224999925">
                  <w:marLeft w:val="0"/>
                  <w:marRight w:val="0"/>
                  <w:marTop w:val="0"/>
                  <w:marBottom w:val="0"/>
                  <w:divBdr>
                    <w:top w:val="none" w:sz="0" w:space="0" w:color="auto"/>
                    <w:left w:val="none" w:sz="0" w:space="0" w:color="auto"/>
                    <w:bottom w:val="none" w:sz="0" w:space="0" w:color="auto"/>
                    <w:right w:val="none" w:sz="0" w:space="0" w:color="auto"/>
                  </w:divBdr>
                  <w:divsChild>
                    <w:div w:id="1832603987">
                      <w:marLeft w:val="420"/>
                      <w:marRight w:val="0"/>
                      <w:marTop w:val="0"/>
                      <w:marBottom w:val="0"/>
                      <w:divBdr>
                        <w:top w:val="none" w:sz="0" w:space="0" w:color="auto"/>
                        <w:left w:val="none" w:sz="0" w:space="0" w:color="auto"/>
                        <w:bottom w:val="none" w:sz="0" w:space="0" w:color="auto"/>
                        <w:right w:val="none" w:sz="0" w:space="0" w:color="auto"/>
                      </w:divBdr>
                      <w:divsChild>
                        <w:div w:id="1064260523">
                          <w:marLeft w:val="0"/>
                          <w:marRight w:val="0"/>
                          <w:marTop w:val="0"/>
                          <w:marBottom w:val="0"/>
                          <w:divBdr>
                            <w:top w:val="none" w:sz="0" w:space="0" w:color="auto"/>
                            <w:left w:val="none" w:sz="0" w:space="0" w:color="auto"/>
                            <w:bottom w:val="none" w:sz="0" w:space="0" w:color="auto"/>
                            <w:right w:val="none" w:sz="0" w:space="0" w:color="auto"/>
                          </w:divBdr>
                          <w:divsChild>
                            <w:div w:id="1617981112">
                              <w:marLeft w:val="0"/>
                              <w:marRight w:val="0"/>
                              <w:marTop w:val="0"/>
                              <w:marBottom w:val="0"/>
                              <w:divBdr>
                                <w:top w:val="none" w:sz="0" w:space="0" w:color="auto"/>
                                <w:left w:val="none" w:sz="0" w:space="0" w:color="auto"/>
                                <w:bottom w:val="none" w:sz="0" w:space="0" w:color="auto"/>
                                <w:right w:val="none" w:sz="0" w:space="0" w:color="auto"/>
                              </w:divBdr>
                              <w:divsChild>
                                <w:div w:id="156388921">
                                  <w:marLeft w:val="0"/>
                                  <w:marRight w:val="0"/>
                                  <w:marTop w:val="0"/>
                                  <w:marBottom w:val="0"/>
                                  <w:divBdr>
                                    <w:top w:val="none" w:sz="0" w:space="0" w:color="auto"/>
                                    <w:left w:val="none" w:sz="0" w:space="0" w:color="auto"/>
                                    <w:bottom w:val="none" w:sz="0" w:space="0" w:color="auto"/>
                                    <w:right w:val="none" w:sz="0" w:space="0" w:color="auto"/>
                                  </w:divBdr>
                                </w:div>
                                <w:div w:id="1711997477">
                                  <w:marLeft w:val="0"/>
                                  <w:marRight w:val="0"/>
                                  <w:marTop w:val="0"/>
                                  <w:marBottom w:val="0"/>
                                  <w:divBdr>
                                    <w:top w:val="none" w:sz="0" w:space="0" w:color="auto"/>
                                    <w:left w:val="none" w:sz="0" w:space="0" w:color="auto"/>
                                    <w:bottom w:val="none" w:sz="0" w:space="0" w:color="auto"/>
                                    <w:right w:val="none" w:sz="0" w:space="0" w:color="auto"/>
                                  </w:divBdr>
                                  <w:divsChild>
                                    <w:div w:id="318191479">
                                      <w:marLeft w:val="0"/>
                                      <w:marRight w:val="0"/>
                                      <w:marTop w:val="0"/>
                                      <w:marBottom w:val="0"/>
                                      <w:divBdr>
                                        <w:top w:val="none" w:sz="0" w:space="0" w:color="auto"/>
                                        <w:left w:val="none" w:sz="0" w:space="0" w:color="auto"/>
                                        <w:bottom w:val="none" w:sz="0" w:space="0" w:color="auto"/>
                                        <w:right w:val="none" w:sz="0" w:space="0" w:color="auto"/>
                                      </w:divBdr>
                                      <w:divsChild>
                                        <w:div w:id="487214403">
                                          <w:marLeft w:val="0"/>
                                          <w:marRight w:val="0"/>
                                          <w:marTop w:val="0"/>
                                          <w:marBottom w:val="0"/>
                                          <w:divBdr>
                                            <w:top w:val="none" w:sz="0" w:space="0" w:color="auto"/>
                                            <w:left w:val="none" w:sz="0" w:space="0" w:color="auto"/>
                                            <w:bottom w:val="none" w:sz="0" w:space="0" w:color="auto"/>
                                            <w:right w:val="none" w:sz="0" w:space="0" w:color="auto"/>
                                          </w:divBdr>
                                        </w:div>
                                      </w:divsChild>
                                    </w:div>
                                    <w:div w:id="1541092367">
                                      <w:marLeft w:val="0"/>
                                      <w:marRight w:val="0"/>
                                      <w:marTop w:val="0"/>
                                      <w:marBottom w:val="0"/>
                                      <w:divBdr>
                                        <w:top w:val="none" w:sz="0" w:space="0" w:color="auto"/>
                                        <w:left w:val="none" w:sz="0" w:space="0" w:color="auto"/>
                                        <w:bottom w:val="none" w:sz="0" w:space="0" w:color="auto"/>
                                        <w:right w:val="none" w:sz="0" w:space="0" w:color="auto"/>
                                      </w:divBdr>
                                    </w:div>
                                    <w:div w:id="185318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4103763">
      <w:bodyDiv w:val="1"/>
      <w:marLeft w:val="0"/>
      <w:marRight w:val="0"/>
      <w:marTop w:val="0"/>
      <w:marBottom w:val="0"/>
      <w:divBdr>
        <w:top w:val="none" w:sz="0" w:space="0" w:color="auto"/>
        <w:left w:val="none" w:sz="0" w:space="0" w:color="auto"/>
        <w:bottom w:val="none" w:sz="0" w:space="0" w:color="auto"/>
        <w:right w:val="none" w:sz="0" w:space="0" w:color="auto"/>
      </w:divBdr>
    </w:div>
    <w:div w:id="455761562">
      <w:bodyDiv w:val="1"/>
      <w:marLeft w:val="0"/>
      <w:marRight w:val="0"/>
      <w:marTop w:val="0"/>
      <w:marBottom w:val="0"/>
      <w:divBdr>
        <w:top w:val="none" w:sz="0" w:space="0" w:color="auto"/>
        <w:left w:val="none" w:sz="0" w:space="0" w:color="auto"/>
        <w:bottom w:val="none" w:sz="0" w:space="0" w:color="auto"/>
        <w:right w:val="none" w:sz="0" w:space="0" w:color="auto"/>
      </w:divBdr>
    </w:div>
    <w:div w:id="485047793">
      <w:bodyDiv w:val="1"/>
      <w:marLeft w:val="0"/>
      <w:marRight w:val="0"/>
      <w:marTop w:val="0"/>
      <w:marBottom w:val="0"/>
      <w:divBdr>
        <w:top w:val="none" w:sz="0" w:space="0" w:color="auto"/>
        <w:left w:val="none" w:sz="0" w:space="0" w:color="auto"/>
        <w:bottom w:val="none" w:sz="0" w:space="0" w:color="auto"/>
        <w:right w:val="none" w:sz="0" w:space="0" w:color="auto"/>
      </w:divBdr>
    </w:div>
    <w:div w:id="490365771">
      <w:bodyDiv w:val="1"/>
      <w:marLeft w:val="0"/>
      <w:marRight w:val="0"/>
      <w:marTop w:val="0"/>
      <w:marBottom w:val="0"/>
      <w:divBdr>
        <w:top w:val="none" w:sz="0" w:space="0" w:color="auto"/>
        <w:left w:val="none" w:sz="0" w:space="0" w:color="auto"/>
        <w:bottom w:val="none" w:sz="0" w:space="0" w:color="auto"/>
        <w:right w:val="none" w:sz="0" w:space="0" w:color="auto"/>
      </w:divBdr>
    </w:div>
    <w:div w:id="495073386">
      <w:bodyDiv w:val="1"/>
      <w:marLeft w:val="0"/>
      <w:marRight w:val="0"/>
      <w:marTop w:val="0"/>
      <w:marBottom w:val="0"/>
      <w:divBdr>
        <w:top w:val="none" w:sz="0" w:space="0" w:color="auto"/>
        <w:left w:val="none" w:sz="0" w:space="0" w:color="auto"/>
        <w:bottom w:val="none" w:sz="0" w:space="0" w:color="auto"/>
        <w:right w:val="none" w:sz="0" w:space="0" w:color="auto"/>
      </w:divBdr>
    </w:div>
    <w:div w:id="515120086">
      <w:bodyDiv w:val="1"/>
      <w:marLeft w:val="0"/>
      <w:marRight w:val="0"/>
      <w:marTop w:val="0"/>
      <w:marBottom w:val="0"/>
      <w:divBdr>
        <w:top w:val="none" w:sz="0" w:space="0" w:color="auto"/>
        <w:left w:val="none" w:sz="0" w:space="0" w:color="auto"/>
        <w:bottom w:val="none" w:sz="0" w:space="0" w:color="auto"/>
        <w:right w:val="none" w:sz="0" w:space="0" w:color="auto"/>
      </w:divBdr>
    </w:div>
    <w:div w:id="523059866">
      <w:bodyDiv w:val="1"/>
      <w:marLeft w:val="0"/>
      <w:marRight w:val="0"/>
      <w:marTop w:val="0"/>
      <w:marBottom w:val="0"/>
      <w:divBdr>
        <w:top w:val="none" w:sz="0" w:space="0" w:color="auto"/>
        <w:left w:val="none" w:sz="0" w:space="0" w:color="auto"/>
        <w:bottom w:val="none" w:sz="0" w:space="0" w:color="auto"/>
        <w:right w:val="none" w:sz="0" w:space="0" w:color="auto"/>
      </w:divBdr>
    </w:div>
    <w:div w:id="524170646">
      <w:bodyDiv w:val="1"/>
      <w:marLeft w:val="0"/>
      <w:marRight w:val="0"/>
      <w:marTop w:val="0"/>
      <w:marBottom w:val="0"/>
      <w:divBdr>
        <w:top w:val="none" w:sz="0" w:space="0" w:color="auto"/>
        <w:left w:val="none" w:sz="0" w:space="0" w:color="auto"/>
        <w:bottom w:val="none" w:sz="0" w:space="0" w:color="auto"/>
        <w:right w:val="none" w:sz="0" w:space="0" w:color="auto"/>
      </w:divBdr>
    </w:div>
    <w:div w:id="527761925">
      <w:bodyDiv w:val="1"/>
      <w:marLeft w:val="0"/>
      <w:marRight w:val="0"/>
      <w:marTop w:val="0"/>
      <w:marBottom w:val="0"/>
      <w:divBdr>
        <w:top w:val="none" w:sz="0" w:space="0" w:color="auto"/>
        <w:left w:val="none" w:sz="0" w:space="0" w:color="auto"/>
        <w:bottom w:val="none" w:sz="0" w:space="0" w:color="auto"/>
        <w:right w:val="none" w:sz="0" w:space="0" w:color="auto"/>
      </w:divBdr>
    </w:div>
    <w:div w:id="545724581">
      <w:bodyDiv w:val="1"/>
      <w:marLeft w:val="0"/>
      <w:marRight w:val="0"/>
      <w:marTop w:val="0"/>
      <w:marBottom w:val="0"/>
      <w:divBdr>
        <w:top w:val="none" w:sz="0" w:space="0" w:color="auto"/>
        <w:left w:val="none" w:sz="0" w:space="0" w:color="auto"/>
        <w:bottom w:val="none" w:sz="0" w:space="0" w:color="auto"/>
        <w:right w:val="none" w:sz="0" w:space="0" w:color="auto"/>
      </w:divBdr>
      <w:divsChild>
        <w:div w:id="2017145367">
          <w:marLeft w:val="0"/>
          <w:marRight w:val="0"/>
          <w:marTop w:val="0"/>
          <w:marBottom w:val="0"/>
          <w:divBdr>
            <w:top w:val="none" w:sz="0" w:space="0" w:color="auto"/>
            <w:left w:val="none" w:sz="0" w:space="0" w:color="auto"/>
            <w:bottom w:val="none" w:sz="0" w:space="0" w:color="auto"/>
            <w:right w:val="none" w:sz="0" w:space="0" w:color="auto"/>
          </w:divBdr>
          <w:divsChild>
            <w:div w:id="928656207">
              <w:marLeft w:val="0"/>
              <w:marRight w:val="0"/>
              <w:marTop w:val="0"/>
              <w:marBottom w:val="0"/>
              <w:divBdr>
                <w:top w:val="none" w:sz="0" w:space="0" w:color="auto"/>
                <w:left w:val="none" w:sz="0" w:space="0" w:color="auto"/>
                <w:bottom w:val="none" w:sz="0" w:space="0" w:color="auto"/>
                <w:right w:val="none" w:sz="0" w:space="0" w:color="auto"/>
              </w:divBdr>
              <w:divsChild>
                <w:div w:id="238488001">
                  <w:marLeft w:val="0"/>
                  <w:marRight w:val="0"/>
                  <w:marTop w:val="0"/>
                  <w:marBottom w:val="0"/>
                  <w:divBdr>
                    <w:top w:val="none" w:sz="0" w:space="0" w:color="auto"/>
                    <w:left w:val="none" w:sz="0" w:space="0" w:color="auto"/>
                    <w:bottom w:val="none" w:sz="0" w:space="0" w:color="auto"/>
                    <w:right w:val="none" w:sz="0" w:space="0" w:color="auto"/>
                  </w:divBdr>
                  <w:divsChild>
                    <w:div w:id="972560990">
                      <w:marLeft w:val="0"/>
                      <w:marRight w:val="0"/>
                      <w:marTop w:val="0"/>
                      <w:marBottom w:val="0"/>
                      <w:divBdr>
                        <w:top w:val="none" w:sz="0" w:space="0" w:color="auto"/>
                        <w:left w:val="none" w:sz="0" w:space="0" w:color="auto"/>
                        <w:bottom w:val="none" w:sz="0" w:space="0" w:color="auto"/>
                        <w:right w:val="none" w:sz="0" w:space="0" w:color="auto"/>
                      </w:divBdr>
                      <w:divsChild>
                        <w:div w:id="2110074705">
                          <w:marLeft w:val="0"/>
                          <w:marRight w:val="0"/>
                          <w:marTop w:val="0"/>
                          <w:marBottom w:val="0"/>
                          <w:divBdr>
                            <w:top w:val="none" w:sz="0" w:space="0" w:color="auto"/>
                            <w:left w:val="none" w:sz="0" w:space="0" w:color="auto"/>
                            <w:bottom w:val="none" w:sz="0" w:space="0" w:color="auto"/>
                            <w:right w:val="none" w:sz="0" w:space="0" w:color="auto"/>
                          </w:divBdr>
                          <w:divsChild>
                            <w:div w:id="139465712">
                              <w:marLeft w:val="0"/>
                              <w:marRight w:val="0"/>
                              <w:marTop w:val="0"/>
                              <w:marBottom w:val="0"/>
                              <w:divBdr>
                                <w:top w:val="none" w:sz="0" w:space="0" w:color="auto"/>
                                <w:left w:val="none" w:sz="0" w:space="0" w:color="auto"/>
                                <w:bottom w:val="none" w:sz="0" w:space="0" w:color="auto"/>
                                <w:right w:val="none" w:sz="0" w:space="0" w:color="auto"/>
                              </w:divBdr>
                              <w:divsChild>
                                <w:div w:id="442501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1960677">
      <w:bodyDiv w:val="1"/>
      <w:marLeft w:val="0"/>
      <w:marRight w:val="0"/>
      <w:marTop w:val="0"/>
      <w:marBottom w:val="0"/>
      <w:divBdr>
        <w:top w:val="none" w:sz="0" w:space="0" w:color="auto"/>
        <w:left w:val="none" w:sz="0" w:space="0" w:color="auto"/>
        <w:bottom w:val="none" w:sz="0" w:space="0" w:color="auto"/>
        <w:right w:val="none" w:sz="0" w:space="0" w:color="auto"/>
      </w:divBdr>
    </w:div>
    <w:div w:id="556866629">
      <w:bodyDiv w:val="1"/>
      <w:marLeft w:val="0"/>
      <w:marRight w:val="0"/>
      <w:marTop w:val="0"/>
      <w:marBottom w:val="0"/>
      <w:divBdr>
        <w:top w:val="none" w:sz="0" w:space="0" w:color="auto"/>
        <w:left w:val="none" w:sz="0" w:space="0" w:color="auto"/>
        <w:bottom w:val="none" w:sz="0" w:space="0" w:color="auto"/>
        <w:right w:val="none" w:sz="0" w:space="0" w:color="auto"/>
      </w:divBdr>
    </w:div>
    <w:div w:id="594677072">
      <w:bodyDiv w:val="1"/>
      <w:marLeft w:val="0"/>
      <w:marRight w:val="0"/>
      <w:marTop w:val="0"/>
      <w:marBottom w:val="0"/>
      <w:divBdr>
        <w:top w:val="none" w:sz="0" w:space="0" w:color="auto"/>
        <w:left w:val="none" w:sz="0" w:space="0" w:color="auto"/>
        <w:bottom w:val="none" w:sz="0" w:space="0" w:color="auto"/>
        <w:right w:val="none" w:sz="0" w:space="0" w:color="auto"/>
      </w:divBdr>
      <w:divsChild>
        <w:div w:id="2090074253">
          <w:marLeft w:val="850"/>
          <w:marRight w:val="0"/>
          <w:marTop w:val="67"/>
          <w:marBottom w:val="0"/>
          <w:divBdr>
            <w:top w:val="none" w:sz="0" w:space="0" w:color="auto"/>
            <w:left w:val="none" w:sz="0" w:space="0" w:color="auto"/>
            <w:bottom w:val="none" w:sz="0" w:space="0" w:color="auto"/>
            <w:right w:val="none" w:sz="0" w:space="0" w:color="auto"/>
          </w:divBdr>
        </w:div>
      </w:divsChild>
    </w:div>
    <w:div w:id="624428452">
      <w:bodyDiv w:val="1"/>
      <w:marLeft w:val="0"/>
      <w:marRight w:val="0"/>
      <w:marTop w:val="0"/>
      <w:marBottom w:val="0"/>
      <w:divBdr>
        <w:top w:val="none" w:sz="0" w:space="0" w:color="auto"/>
        <w:left w:val="none" w:sz="0" w:space="0" w:color="auto"/>
        <w:bottom w:val="none" w:sz="0" w:space="0" w:color="auto"/>
        <w:right w:val="none" w:sz="0" w:space="0" w:color="auto"/>
      </w:divBdr>
    </w:div>
    <w:div w:id="676155435">
      <w:bodyDiv w:val="1"/>
      <w:marLeft w:val="0"/>
      <w:marRight w:val="0"/>
      <w:marTop w:val="0"/>
      <w:marBottom w:val="0"/>
      <w:divBdr>
        <w:top w:val="none" w:sz="0" w:space="0" w:color="auto"/>
        <w:left w:val="none" w:sz="0" w:space="0" w:color="auto"/>
        <w:bottom w:val="none" w:sz="0" w:space="0" w:color="auto"/>
        <w:right w:val="none" w:sz="0" w:space="0" w:color="auto"/>
      </w:divBdr>
    </w:div>
    <w:div w:id="699940111">
      <w:bodyDiv w:val="1"/>
      <w:marLeft w:val="0"/>
      <w:marRight w:val="0"/>
      <w:marTop w:val="0"/>
      <w:marBottom w:val="0"/>
      <w:divBdr>
        <w:top w:val="none" w:sz="0" w:space="0" w:color="auto"/>
        <w:left w:val="none" w:sz="0" w:space="0" w:color="auto"/>
        <w:bottom w:val="none" w:sz="0" w:space="0" w:color="auto"/>
        <w:right w:val="none" w:sz="0" w:space="0" w:color="auto"/>
      </w:divBdr>
    </w:div>
    <w:div w:id="727728330">
      <w:bodyDiv w:val="1"/>
      <w:marLeft w:val="0"/>
      <w:marRight w:val="0"/>
      <w:marTop w:val="0"/>
      <w:marBottom w:val="0"/>
      <w:divBdr>
        <w:top w:val="none" w:sz="0" w:space="0" w:color="auto"/>
        <w:left w:val="none" w:sz="0" w:space="0" w:color="auto"/>
        <w:bottom w:val="none" w:sz="0" w:space="0" w:color="auto"/>
        <w:right w:val="none" w:sz="0" w:space="0" w:color="auto"/>
      </w:divBdr>
    </w:div>
    <w:div w:id="742872865">
      <w:bodyDiv w:val="1"/>
      <w:marLeft w:val="0"/>
      <w:marRight w:val="0"/>
      <w:marTop w:val="0"/>
      <w:marBottom w:val="0"/>
      <w:divBdr>
        <w:top w:val="none" w:sz="0" w:space="0" w:color="auto"/>
        <w:left w:val="none" w:sz="0" w:space="0" w:color="auto"/>
        <w:bottom w:val="none" w:sz="0" w:space="0" w:color="auto"/>
        <w:right w:val="none" w:sz="0" w:space="0" w:color="auto"/>
      </w:divBdr>
    </w:div>
    <w:div w:id="756513798">
      <w:bodyDiv w:val="1"/>
      <w:marLeft w:val="0"/>
      <w:marRight w:val="0"/>
      <w:marTop w:val="0"/>
      <w:marBottom w:val="0"/>
      <w:divBdr>
        <w:top w:val="none" w:sz="0" w:space="0" w:color="auto"/>
        <w:left w:val="none" w:sz="0" w:space="0" w:color="auto"/>
        <w:bottom w:val="none" w:sz="0" w:space="0" w:color="auto"/>
        <w:right w:val="none" w:sz="0" w:space="0" w:color="auto"/>
      </w:divBdr>
    </w:div>
    <w:div w:id="758645715">
      <w:bodyDiv w:val="1"/>
      <w:marLeft w:val="0"/>
      <w:marRight w:val="0"/>
      <w:marTop w:val="0"/>
      <w:marBottom w:val="0"/>
      <w:divBdr>
        <w:top w:val="none" w:sz="0" w:space="0" w:color="auto"/>
        <w:left w:val="none" w:sz="0" w:space="0" w:color="auto"/>
        <w:bottom w:val="none" w:sz="0" w:space="0" w:color="auto"/>
        <w:right w:val="none" w:sz="0" w:space="0" w:color="auto"/>
      </w:divBdr>
    </w:div>
    <w:div w:id="760415427">
      <w:bodyDiv w:val="1"/>
      <w:marLeft w:val="0"/>
      <w:marRight w:val="0"/>
      <w:marTop w:val="0"/>
      <w:marBottom w:val="0"/>
      <w:divBdr>
        <w:top w:val="none" w:sz="0" w:space="0" w:color="auto"/>
        <w:left w:val="none" w:sz="0" w:space="0" w:color="auto"/>
        <w:bottom w:val="none" w:sz="0" w:space="0" w:color="auto"/>
        <w:right w:val="none" w:sz="0" w:space="0" w:color="auto"/>
      </w:divBdr>
    </w:div>
    <w:div w:id="769736342">
      <w:bodyDiv w:val="1"/>
      <w:marLeft w:val="0"/>
      <w:marRight w:val="0"/>
      <w:marTop w:val="0"/>
      <w:marBottom w:val="0"/>
      <w:divBdr>
        <w:top w:val="none" w:sz="0" w:space="0" w:color="auto"/>
        <w:left w:val="none" w:sz="0" w:space="0" w:color="auto"/>
        <w:bottom w:val="none" w:sz="0" w:space="0" w:color="auto"/>
        <w:right w:val="none" w:sz="0" w:space="0" w:color="auto"/>
      </w:divBdr>
    </w:div>
    <w:div w:id="770051061">
      <w:bodyDiv w:val="1"/>
      <w:marLeft w:val="0"/>
      <w:marRight w:val="0"/>
      <w:marTop w:val="0"/>
      <w:marBottom w:val="0"/>
      <w:divBdr>
        <w:top w:val="none" w:sz="0" w:space="0" w:color="auto"/>
        <w:left w:val="none" w:sz="0" w:space="0" w:color="auto"/>
        <w:bottom w:val="none" w:sz="0" w:space="0" w:color="auto"/>
        <w:right w:val="none" w:sz="0" w:space="0" w:color="auto"/>
      </w:divBdr>
    </w:div>
    <w:div w:id="783966069">
      <w:bodyDiv w:val="1"/>
      <w:marLeft w:val="0"/>
      <w:marRight w:val="0"/>
      <w:marTop w:val="0"/>
      <w:marBottom w:val="0"/>
      <w:divBdr>
        <w:top w:val="none" w:sz="0" w:space="0" w:color="auto"/>
        <w:left w:val="none" w:sz="0" w:space="0" w:color="auto"/>
        <w:bottom w:val="none" w:sz="0" w:space="0" w:color="auto"/>
        <w:right w:val="none" w:sz="0" w:space="0" w:color="auto"/>
      </w:divBdr>
    </w:div>
    <w:div w:id="835267103">
      <w:bodyDiv w:val="1"/>
      <w:marLeft w:val="0"/>
      <w:marRight w:val="0"/>
      <w:marTop w:val="0"/>
      <w:marBottom w:val="0"/>
      <w:divBdr>
        <w:top w:val="none" w:sz="0" w:space="0" w:color="auto"/>
        <w:left w:val="none" w:sz="0" w:space="0" w:color="auto"/>
        <w:bottom w:val="none" w:sz="0" w:space="0" w:color="auto"/>
        <w:right w:val="none" w:sz="0" w:space="0" w:color="auto"/>
      </w:divBdr>
    </w:div>
    <w:div w:id="842159129">
      <w:bodyDiv w:val="1"/>
      <w:marLeft w:val="0"/>
      <w:marRight w:val="0"/>
      <w:marTop w:val="0"/>
      <w:marBottom w:val="0"/>
      <w:divBdr>
        <w:top w:val="none" w:sz="0" w:space="0" w:color="auto"/>
        <w:left w:val="none" w:sz="0" w:space="0" w:color="auto"/>
        <w:bottom w:val="none" w:sz="0" w:space="0" w:color="auto"/>
        <w:right w:val="none" w:sz="0" w:space="0" w:color="auto"/>
      </w:divBdr>
    </w:div>
    <w:div w:id="866139736">
      <w:bodyDiv w:val="1"/>
      <w:marLeft w:val="0"/>
      <w:marRight w:val="0"/>
      <w:marTop w:val="0"/>
      <w:marBottom w:val="0"/>
      <w:divBdr>
        <w:top w:val="none" w:sz="0" w:space="0" w:color="auto"/>
        <w:left w:val="none" w:sz="0" w:space="0" w:color="auto"/>
        <w:bottom w:val="none" w:sz="0" w:space="0" w:color="auto"/>
        <w:right w:val="none" w:sz="0" w:space="0" w:color="auto"/>
      </w:divBdr>
    </w:div>
    <w:div w:id="870070122">
      <w:bodyDiv w:val="1"/>
      <w:marLeft w:val="0"/>
      <w:marRight w:val="0"/>
      <w:marTop w:val="0"/>
      <w:marBottom w:val="0"/>
      <w:divBdr>
        <w:top w:val="none" w:sz="0" w:space="0" w:color="auto"/>
        <w:left w:val="none" w:sz="0" w:space="0" w:color="auto"/>
        <w:bottom w:val="none" w:sz="0" w:space="0" w:color="auto"/>
        <w:right w:val="none" w:sz="0" w:space="0" w:color="auto"/>
      </w:divBdr>
    </w:div>
    <w:div w:id="897477207">
      <w:bodyDiv w:val="1"/>
      <w:marLeft w:val="0"/>
      <w:marRight w:val="0"/>
      <w:marTop w:val="0"/>
      <w:marBottom w:val="0"/>
      <w:divBdr>
        <w:top w:val="none" w:sz="0" w:space="0" w:color="auto"/>
        <w:left w:val="none" w:sz="0" w:space="0" w:color="auto"/>
        <w:bottom w:val="none" w:sz="0" w:space="0" w:color="auto"/>
        <w:right w:val="none" w:sz="0" w:space="0" w:color="auto"/>
      </w:divBdr>
    </w:div>
    <w:div w:id="897940774">
      <w:bodyDiv w:val="1"/>
      <w:marLeft w:val="0"/>
      <w:marRight w:val="0"/>
      <w:marTop w:val="0"/>
      <w:marBottom w:val="0"/>
      <w:divBdr>
        <w:top w:val="none" w:sz="0" w:space="0" w:color="auto"/>
        <w:left w:val="none" w:sz="0" w:space="0" w:color="auto"/>
        <w:bottom w:val="none" w:sz="0" w:space="0" w:color="auto"/>
        <w:right w:val="none" w:sz="0" w:space="0" w:color="auto"/>
      </w:divBdr>
    </w:div>
    <w:div w:id="909536651">
      <w:bodyDiv w:val="1"/>
      <w:marLeft w:val="0"/>
      <w:marRight w:val="0"/>
      <w:marTop w:val="0"/>
      <w:marBottom w:val="0"/>
      <w:divBdr>
        <w:top w:val="none" w:sz="0" w:space="0" w:color="auto"/>
        <w:left w:val="none" w:sz="0" w:space="0" w:color="auto"/>
        <w:bottom w:val="none" w:sz="0" w:space="0" w:color="auto"/>
        <w:right w:val="none" w:sz="0" w:space="0" w:color="auto"/>
      </w:divBdr>
    </w:div>
    <w:div w:id="912817360">
      <w:bodyDiv w:val="1"/>
      <w:marLeft w:val="0"/>
      <w:marRight w:val="0"/>
      <w:marTop w:val="0"/>
      <w:marBottom w:val="0"/>
      <w:divBdr>
        <w:top w:val="none" w:sz="0" w:space="0" w:color="auto"/>
        <w:left w:val="none" w:sz="0" w:space="0" w:color="auto"/>
        <w:bottom w:val="none" w:sz="0" w:space="0" w:color="auto"/>
        <w:right w:val="none" w:sz="0" w:space="0" w:color="auto"/>
      </w:divBdr>
    </w:div>
    <w:div w:id="918833949">
      <w:bodyDiv w:val="1"/>
      <w:marLeft w:val="0"/>
      <w:marRight w:val="0"/>
      <w:marTop w:val="0"/>
      <w:marBottom w:val="0"/>
      <w:divBdr>
        <w:top w:val="none" w:sz="0" w:space="0" w:color="auto"/>
        <w:left w:val="none" w:sz="0" w:space="0" w:color="auto"/>
        <w:bottom w:val="none" w:sz="0" w:space="0" w:color="auto"/>
        <w:right w:val="none" w:sz="0" w:space="0" w:color="auto"/>
      </w:divBdr>
    </w:div>
    <w:div w:id="928659862">
      <w:bodyDiv w:val="1"/>
      <w:marLeft w:val="0"/>
      <w:marRight w:val="0"/>
      <w:marTop w:val="0"/>
      <w:marBottom w:val="0"/>
      <w:divBdr>
        <w:top w:val="none" w:sz="0" w:space="0" w:color="auto"/>
        <w:left w:val="none" w:sz="0" w:space="0" w:color="auto"/>
        <w:bottom w:val="none" w:sz="0" w:space="0" w:color="auto"/>
        <w:right w:val="none" w:sz="0" w:space="0" w:color="auto"/>
      </w:divBdr>
    </w:div>
    <w:div w:id="979110804">
      <w:bodyDiv w:val="1"/>
      <w:marLeft w:val="0"/>
      <w:marRight w:val="0"/>
      <w:marTop w:val="0"/>
      <w:marBottom w:val="0"/>
      <w:divBdr>
        <w:top w:val="none" w:sz="0" w:space="0" w:color="auto"/>
        <w:left w:val="none" w:sz="0" w:space="0" w:color="auto"/>
        <w:bottom w:val="none" w:sz="0" w:space="0" w:color="auto"/>
        <w:right w:val="none" w:sz="0" w:space="0" w:color="auto"/>
      </w:divBdr>
    </w:div>
    <w:div w:id="981079761">
      <w:bodyDiv w:val="1"/>
      <w:marLeft w:val="0"/>
      <w:marRight w:val="0"/>
      <w:marTop w:val="0"/>
      <w:marBottom w:val="0"/>
      <w:divBdr>
        <w:top w:val="none" w:sz="0" w:space="0" w:color="auto"/>
        <w:left w:val="none" w:sz="0" w:space="0" w:color="auto"/>
        <w:bottom w:val="none" w:sz="0" w:space="0" w:color="auto"/>
        <w:right w:val="none" w:sz="0" w:space="0" w:color="auto"/>
      </w:divBdr>
      <w:divsChild>
        <w:div w:id="393243083">
          <w:marLeft w:val="0"/>
          <w:marRight w:val="0"/>
          <w:marTop w:val="0"/>
          <w:marBottom w:val="0"/>
          <w:divBdr>
            <w:top w:val="none" w:sz="0" w:space="0" w:color="auto"/>
            <w:left w:val="none" w:sz="0" w:space="0" w:color="auto"/>
            <w:bottom w:val="none" w:sz="0" w:space="0" w:color="auto"/>
            <w:right w:val="none" w:sz="0" w:space="0" w:color="auto"/>
          </w:divBdr>
          <w:divsChild>
            <w:div w:id="868221632">
              <w:marLeft w:val="0"/>
              <w:marRight w:val="0"/>
              <w:marTop w:val="0"/>
              <w:marBottom w:val="0"/>
              <w:divBdr>
                <w:top w:val="none" w:sz="0" w:space="0" w:color="auto"/>
                <w:left w:val="none" w:sz="0" w:space="0" w:color="auto"/>
                <w:bottom w:val="none" w:sz="0" w:space="0" w:color="auto"/>
                <w:right w:val="none" w:sz="0" w:space="0" w:color="auto"/>
              </w:divBdr>
              <w:divsChild>
                <w:div w:id="488712867">
                  <w:marLeft w:val="0"/>
                  <w:marRight w:val="0"/>
                  <w:marTop w:val="0"/>
                  <w:marBottom w:val="0"/>
                  <w:divBdr>
                    <w:top w:val="none" w:sz="0" w:space="0" w:color="auto"/>
                    <w:left w:val="none" w:sz="0" w:space="0" w:color="auto"/>
                    <w:bottom w:val="none" w:sz="0" w:space="0" w:color="auto"/>
                    <w:right w:val="none" w:sz="0" w:space="0" w:color="auto"/>
                  </w:divBdr>
                  <w:divsChild>
                    <w:div w:id="165729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984290">
      <w:bodyDiv w:val="1"/>
      <w:marLeft w:val="0"/>
      <w:marRight w:val="0"/>
      <w:marTop w:val="0"/>
      <w:marBottom w:val="0"/>
      <w:divBdr>
        <w:top w:val="none" w:sz="0" w:space="0" w:color="auto"/>
        <w:left w:val="none" w:sz="0" w:space="0" w:color="auto"/>
        <w:bottom w:val="none" w:sz="0" w:space="0" w:color="auto"/>
        <w:right w:val="none" w:sz="0" w:space="0" w:color="auto"/>
      </w:divBdr>
    </w:div>
    <w:div w:id="996425243">
      <w:bodyDiv w:val="1"/>
      <w:marLeft w:val="0"/>
      <w:marRight w:val="0"/>
      <w:marTop w:val="0"/>
      <w:marBottom w:val="0"/>
      <w:divBdr>
        <w:top w:val="none" w:sz="0" w:space="0" w:color="auto"/>
        <w:left w:val="none" w:sz="0" w:space="0" w:color="auto"/>
        <w:bottom w:val="none" w:sz="0" w:space="0" w:color="auto"/>
        <w:right w:val="none" w:sz="0" w:space="0" w:color="auto"/>
      </w:divBdr>
    </w:div>
    <w:div w:id="999430039">
      <w:bodyDiv w:val="1"/>
      <w:marLeft w:val="0"/>
      <w:marRight w:val="0"/>
      <w:marTop w:val="0"/>
      <w:marBottom w:val="0"/>
      <w:divBdr>
        <w:top w:val="none" w:sz="0" w:space="0" w:color="auto"/>
        <w:left w:val="none" w:sz="0" w:space="0" w:color="auto"/>
        <w:bottom w:val="none" w:sz="0" w:space="0" w:color="auto"/>
        <w:right w:val="none" w:sz="0" w:space="0" w:color="auto"/>
      </w:divBdr>
    </w:div>
    <w:div w:id="1002700867">
      <w:bodyDiv w:val="1"/>
      <w:marLeft w:val="0"/>
      <w:marRight w:val="0"/>
      <w:marTop w:val="0"/>
      <w:marBottom w:val="0"/>
      <w:divBdr>
        <w:top w:val="none" w:sz="0" w:space="0" w:color="auto"/>
        <w:left w:val="none" w:sz="0" w:space="0" w:color="auto"/>
        <w:bottom w:val="none" w:sz="0" w:space="0" w:color="auto"/>
        <w:right w:val="none" w:sz="0" w:space="0" w:color="auto"/>
      </w:divBdr>
      <w:divsChild>
        <w:div w:id="1006245157">
          <w:marLeft w:val="0"/>
          <w:marRight w:val="0"/>
          <w:marTop w:val="0"/>
          <w:marBottom w:val="0"/>
          <w:divBdr>
            <w:top w:val="none" w:sz="0" w:space="0" w:color="auto"/>
            <w:left w:val="none" w:sz="0" w:space="0" w:color="auto"/>
            <w:bottom w:val="none" w:sz="0" w:space="0" w:color="auto"/>
            <w:right w:val="none" w:sz="0" w:space="0" w:color="auto"/>
          </w:divBdr>
          <w:divsChild>
            <w:div w:id="1543787374">
              <w:marLeft w:val="0"/>
              <w:marRight w:val="0"/>
              <w:marTop w:val="0"/>
              <w:marBottom w:val="0"/>
              <w:divBdr>
                <w:top w:val="none" w:sz="0" w:space="0" w:color="auto"/>
                <w:left w:val="none" w:sz="0" w:space="0" w:color="auto"/>
                <w:bottom w:val="none" w:sz="0" w:space="0" w:color="auto"/>
                <w:right w:val="none" w:sz="0" w:space="0" w:color="auto"/>
              </w:divBdr>
              <w:divsChild>
                <w:div w:id="1922179280">
                  <w:marLeft w:val="0"/>
                  <w:marRight w:val="0"/>
                  <w:marTop w:val="0"/>
                  <w:marBottom w:val="0"/>
                  <w:divBdr>
                    <w:top w:val="none" w:sz="0" w:space="0" w:color="auto"/>
                    <w:left w:val="none" w:sz="0" w:space="0" w:color="auto"/>
                    <w:bottom w:val="none" w:sz="0" w:space="0" w:color="auto"/>
                    <w:right w:val="none" w:sz="0" w:space="0" w:color="auto"/>
                  </w:divBdr>
                  <w:divsChild>
                    <w:div w:id="1967004130">
                      <w:marLeft w:val="0"/>
                      <w:marRight w:val="0"/>
                      <w:marTop w:val="0"/>
                      <w:marBottom w:val="0"/>
                      <w:divBdr>
                        <w:top w:val="none" w:sz="0" w:space="0" w:color="auto"/>
                        <w:left w:val="none" w:sz="0" w:space="0" w:color="auto"/>
                        <w:bottom w:val="none" w:sz="0" w:space="0" w:color="auto"/>
                        <w:right w:val="none" w:sz="0" w:space="0" w:color="auto"/>
                      </w:divBdr>
                      <w:divsChild>
                        <w:div w:id="121389614">
                          <w:marLeft w:val="0"/>
                          <w:marRight w:val="0"/>
                          <w:marTop w:val="0"/>
                          <w:marBottom w:val="0"/>
                          <w:divBdr>
                            <w:top w:val="none" w:sz="0" w:space="0" w:color="auto"/>
                            <w:left w:val="none" w:sz="0" w:space="0" w:color="auto"/>
                            <w:bottom w:val="none" w:sz="0" w:space="0" w:color="auto"/>
                            <w:right w:val="none" w:sz="0" w:space="0" w:color="auto"/>
                          </w:divBdr>
                          <w:divsChild>
                            <w:div w:id="1534535272">
                              <w:marLeft w:val="0"/>
                              <w:marRight w:val="0"/>
                              <w:marTop w:val="0"/>
                              <w:marBottom w:val="0"/>
                              <w:divBdr>
                                <w:top w:val="none" w:sz="0" w:space="0" w:color="auto"/>
                                <w:left w:val="none" w:sz="0" w:space="0" w:color="auto"/>
                                <w:bottom w:val="none" w:sz="0" w:space="0" w:color="auto"/>
                                <w:right w:val="none" w:sz="0" w:space="0" w:color="auto"/>
                              </w:divBdr>
                              <w:divsChild>
                                <w:div w:id="1267545811">
                                  <w:marLeft w:val="0"/>
                                  <w:marRight w:val="0"/>
                                  <w:marTop w:val="0"/>
                                  <w:marBottom w:val="0"/>
                                  <w:divBdr>
                                    <w:top w:val="none" w:sz="0" w:space="0" w:color="auto"/>
                                    <w:left w:val="none" w:sz="0" w:space="0" w:color="auto"/>
                                    <w:bottom w:val="none" w:sz="0" w:space="0" w:color="auto"/>
                                    <w:right w:val="none" w:sz="0" w:space="0" w:color="auto"/>
                                  </w:divBdr>
                                  <w:divsChild>
                                    <w:div w:id="919218101">
                                      <w:marLeft w:val="0"/>
                                      <w:marRight w:val="0"/>
                                      <w:marTop w:val="0"/>
                                      <w:marBottom w:val="0"/>
                                      <w:divBdr>
                                        <w:top w:val="none" w:sz="0" w:space="0" w:color="auto"/>
                                        <w:left w:val="none" w:sz="0" w:space="0" w:color="auto"/>
                                        <w:bottom w:val="none" w:sz="0" w:space="0" w:color="auto"/>
                                        <w:right w:val="none" w:sz="0" w:space="0" w:color="auto"/>
                                      </w:divBdr>
                                      <w:divsChild>
                                        <w:div w:id="1756317038">
                                          <w:marLeft w:val="0"/>
                                          <w:marRight w:val="0"/>
                                          <w:marTop w:val="0"/>
                                          <w:marBottom w:val="0"/>
                                          <w:divBdr>
                                            <w:top w:val="none" w:sz="0" w:space="0" w:color="auto"/>
                                            <w:left w:val="none" w:sz="0" w:space="0" w:color="auto"/>
                                            <w:bottom w:val="none" w:sz="0" w:space="0" w:color="auto"/>
                                            <w:right w:val="none" w:sz="0" w:space="0" w:color="auto"/>
                                          </w:divBdr>
                                          <w:divsChild>
                                            <w:div w:id="709764398">
                                              <w:marLeft w:val="0"/>
                                              <w:marRight w:val="0"/>
                                              <w:marTop w:val="0"/>
                                              <w:marBottom w:val="0"/>
                                              <w:divBdr>
                                                <w:top w:val="none" w:sz="0" w:space="0" w:color="auto"/>
                                                <w:left w:val="none" w:sz="0" w:space="0" w:color="auto"/>
                                                <w:bottom w:val="none" w:sz="0" w:space="0" w:color="auto"/>
                                                <w:right w:val="none" w:sz="0" w:space="0" w:color="auto"/>
                                              </w:divBdr>
                                              <w:divsChild>
                                                <w:div w:id="1812938831">
                                                  <w:marLeft w:val="0"/>
                                                  <w:marRight w:val="0"/>
                                                  <w:marTop w:val="0"/>
                                                  <w:marBottom w:val="0"/>
                                                  <w:divBdr>
                                                    <w:top w:val="none" w:sz="0" w:space="0" w:color="auto"/>
                                                    <w:left w:val="none" w:sz="0" w:space="0" w:color="auto"/>
                                                    <w:bottom w:val="none" w:sz="0" w:space="0" w:color="auto"/>
                                                    <w:right w:val="none" w:sz="0" w:space="0" w:color="auto"/>
                                                  </w:divBdr>
                                                  <w:divsChild>
                                                    <w:div w:id="1023701163">
                                                      <w:marLeft w:val="0"/>
                                                      <w:marRight w:val="0"/>
                                                      <w:marTop w:val="0"/>
                                                      <w:marBottom w:val="0"/>
                                                      <w:divBdr>
                                                        <w:top w:val="single" w:sz="12" w:space="0" w:color="ABABAB"/>
                                                        <w:left w:val="single" w:sz="6" w:space="0" w:color="ABABAB"/>
                                                        <w:bottom w:val="none" w:sz="0" w:space="0" w:color="auto"/>
                                                        <w:right w:val="single" w:sz="6" w:space="0" w:color="ABABAB"/>
                                                      </w:divBdr>
                                                      <w:divsChild>
                                                        <w:div w:id="285047488">
                                                          <w:marLeft w:val="0"/>
                                                          <w:marRight w:val="0"/>
                                                          <w:marTop w:val="0"/>
                                                          <w:marBottom w:val="0"/>
                                                          <w:divBdr>
                                                            <w:top w:val="none" w:sz="0" w:space="0" w:color="auto"/>
                                                            <w:left w:val="none" w:sz="0" w:space="0" w:color="auto"/>
                                                            <w:bottom w:val="none" w:sz="0" w:space="0" w:color="auto"/>
                                                            <w:right w:val="none" w:sz="0" w:space="0" w:color="auto"/>
                                                          </w:divBdr>
                                                          <w:divsChild>
                                                            <w:div w:id="1146436049">
                                                              <w:marLeft w:val="0"/>
                                                              <w:marRight w:val="0"/>
                                                              <w:marTop w:val="0"/>
                                                              <w:marBottom w:val="0"/>
                                                              <w:divBdr>
                                                                <w:top w:val="none" w:sz="0" w:space="0" w:color="auto"/>
                                                                <w:left w:val="none" w:sz="0" w:space="0" w:color="auto"/>
                                                                <w:bottom w:val="none" w:sz="0" w:space="0" w:color="auto"/>
                                                                <w:right w:val="none" w:sz="0" w:space="0" w:color="auto"/>
                                                              </w:divBdr>
                                                              <w:divsChild>
                                                                <w:div w:id="1900096767">
                                                                  <w:marLeft w:val="0"/>
                                                                  <w:marRight w:val="0"/>
                                                                  <w:marTop w:val="0"/>
                                                                  <w:marBottom w:val="0"/>
                                                                  <w:divBdr>
                                                                    <w:top w:val="none" w:sz="0" w:space="0" w:color="auto"/>
                                                                    <w:left w:val="none" w:sz="0" w:space="0" w:color="auto"/>
                                                                    <w:bottom w:val="none" w:sz="0" w:space="0" w:color="auto"/>
                                                                    <w:right w:val="none" w:sz="0" w:space="0" w:color="auto"/>
                                                                  </w:divBdr>
                                                                  <w:divsChild>
                                                                    <w:div w:id="866257073">
                                                                      <w:marLeft w:val="0"/>
                                                                      <w:marRight w:val="0"/>
                                                                      <w:marTop w:val="0"/>
                                                                      <w:marBottom w:val="0"/>
                                                                      <w:divBdr>
                                                                        <w:top w:val="none" w:sz="0" w:space="0" w:color="auto"/>
                                                                        <w:left w:val="none" w:sz="0" w:space="0" w:color="auto"/>
                                                                        <w:bottom w:val="none" w:sz="0" w:space="0" w:color="auto"/>
                                                                        <w:right w:val="none" w:sz="0" w:space="0" w:color="auto"/>
                                                                      </w:divBdr>
                                                                      <w:divsChild>
                                                                        <w:div w:id="600183000">
                                                                          <w:marLeft w:val="0"/>
                                                                          <w:marRight w:val="0"/>
                                                                          <w:marTop w:val="0"/>
                                                                          <w:marBottom w:val="0"/>
                                                                          <w:divBdr>
                                                                            <w:top w:val="none" w:sz="0" w:space="0" w:color="auto"/>
                                                                            <w:left w:val="none" w:sz="0" w:space="0" w:color="auto"/>
                                                                            <w:bottom w:val="none" w:sz="0" w:space="0" w:color="auto"/>
                                                                            <w:right w:val="none" w:sz="0" w:space="0" w:color="auto"/>
                                                                          </w:divBdr>
                                                                          <w:divsChild>
                                                                            <w:div w:id="24914264">
                                                                              <w:marLeft w:val="0"/>
                                                                              <w:marRight w:val="0"/>
                                                                              <w:marTop w:val="0"/>
                                                                              <w:marBottom w:val="0"/>
                                                                              <w:divBdr>
                                                                                <w:top w:val="none" w:sz="0" w:space="0" w:color="auto"/>
                                                                                <w:left w:val="none" w:sz="0" w:space="0" w:color="auto"/>
                                                                                <w:bottom w:val="none" w:sz="0" w:space="0" w:color="auto"/>
                                                                                <w:right w:val="none" w:sz="0" w:space="0" w:color="auto"/>
                                                                              </w:divBdr>
                                                                              <w:divsChild>
                                                                                <w:div w:id="187447063">
                                                                                  <w:marLeft w:val="0"/>
                                                                                  <w:marRight w:val="0"/>
                                                                                  <w:marTop w:val="0"/>
                                                                                  <w:marBottom w:val="0"/>
                                                                                  <w:divBdr>
                                                                                    <w:top w:val="none" w:sz="0" w:space="0" w:color="auto"/>
                                                                                    <w:left w:val="none" w:sz="0" w:space="0" w:color="auto"/>
                                                                                    <w:bottom w:val="none" w:sz="0" w:space="0" w:color="auto"/>
                                                                                    <w:right w:val="none" w:sz="0" w:space="0" w:color="auto"/>
                                                                                  </w:divBdr>
                                                                                </w:div>
                                                                                <w:div w:id="710694228">
                                                                                  <w:marLeft w:val="0"/>
                                                                                  <w:marRight w:val="0"/>
                                                                                  <w:marTop w:val="0"/>
                                                                                  <w:marBottom w:val="0"/>
                                                                                  <w:divBdr>
                                                                                    <w:top w:val="none" w:sz="0" w:space="0" w:color="auto"/>
                                                                                    <w:left w:val="none" w:sz="0" w:space="0" w:color="auto"/>
                                                                                    <w:bottom w:val="none" w:sz="0" w:space="0" w:color="auto"/>
                                                                                    <w:right w:val="none" w:sz="0" w:space="0" w:color="auto"/>
                                                                                  </w:divBdr>
                                                                                </w:div>
                                                                                <w:div w:id="913005426">
                                                                                  <w:marLeft w:val="0"/>
                                                                                  <w:marRight w:val="0"/>
                                                                                  <w:marTop w:val="0"/>
                                                                                  <w:marBottom w:val="0"/>
                                                                                  <w:divBdr>
                                                                                    <w:top w:val="none" w:sz="0" w:space="0" w:color="auto"/>
                                                                                    <w:left w:val="none" w:sz="0" w:space="0" w:color="auto"/>
                                                                                    <w:bottom w:val="none" w:sz="0" w:space="0" w:color="auto"/>
                                                                                    <w:right w:val="none" w:sz="0" w:space="0" w:color="auto"/>
                                                                                  </w:divBdr>
                                                                                </w:div>
                                                                                <w:div w:id="957638424">
                                                                                  <w:marLeft w:val="0"/>
                                                                                  <w:marRight w:val="0"/>
                                                                                  <w:marTop w:val="0"/>
                                                                                  <w:marBottom w:val="0"/>
                                                                                  <w:divBdr>
                                                                                    <w:top w:val="none" w:sz="0" w:space="0" w:color="auto"/>
                                                                                    <w:left w:val="none" w:sz="0" w:space="0" w:color="auto"/>
                                                                                    <w:bottom w:val="none" w:sz="0" w:space="0" w:color="auto"/>
                                                                                    <w:right w:val="none" w:sz="0" w:space="0" w:color="auto"/>
                                                                                  </w:divBdr>
                                                                                </w:div>
                                                                                <w:div w:id="1123890865">
                                                                                  <w:marLeft w:val="0"/>
                                                                                  <w:marRight w:val="0"/>
                                                                                  <w:marTop w:val="0"/>
                                                                                  <w:marBottom w:val="0"/>
                                                                                  <w:divBdr>
                                                                                    <w:top w:val="none" w:sz="0" w:space="0" w:color="auto"/>
                                                                                    <w:left w:val="none" w:sz="0" w:space="0" w:color="auto"/>
                                                                                    <w:bottom w:val="none" w:sz="0" w:space="0" w:color="auto"/>
                                                                                    <w:right w:val="none" w:sz="0" w:space="0" w:color="auto"/>
                                                                                  </w:divBdr>
                                                                                </w:div>
                                                                                <w:div w:id="117021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20157091">
      <w:bodyDiv w:val="1"/>
      <w:marLeft w:val="0"/>
      <w:marRight w:val="0"/>
      <w:marTop w:val="0"/>
      <w:marBottom w:val="0"/>
      <w:divBdr>
        <w:top w:val="none" w:sz="0" w:space="0" w:color="auto"/>
        <w:left w:val="none" w:sz="0" w:space="0" w:color="auto"/>
        <w:bottom w:val="none" w:sz="0" w:space="0" w:color="auto"/>
        <w:right w:val="none" w:sz="0" w:space="0" w:color="auto"/>
      </w:divBdr>
    </w:div>
    <w:div w:id="1031221051">
      <w:bodyDiv w:val="1"/>
      <w:marLeft w:val="0"/>
      <w:marRight w:val="0"/>
      <w:marTop w:val="0"/>
      <w:marBottom w:val="0"/>
      <w:divBdr>
        <w:top w:val="none" w:sz="0" w:space="0" w:color="auto"/>
        <w:left w:val="none" w:sz="0" w:space="0" w:color="auto"/>
        <w:bottom w:val="none" w:sz="0" w:space="0" w:color="auto"/>
        <w:right w:val="none" w:sz="0" w:space="0" w:color="auto"/>
      </w:divBdr>
      <w:divsChild>
        <w:div w:id="97337710">
          <w:marLeft w:val="0"/>
          <w:marRight w:val="0"/>
          <w:marTop w:val="0"/>
          <w:marBottom w:val="0"/>
          <w:divBdr>
            <w:top w:val="none" w:sz="0" w:space="0" w:color="auto"/>
            <w:left w:val="none" w:sz="0" w:space="0" w:color="auto"/>
            <w:bottom w:val="none" w:sz="0" w:space="0" w:color="auto"/>
            <w:right w:val="none" w:sz="0" w:space="0" w:color="auto"/>
          </w:divBdr>
        </w:div>
      </w:divsChild>
    </w:div>
    <w:div w:id="1035427166">
      <w:bodyDiv w:val="1"/>
      <w:marLeft w:val="0"/>
      <w:marRight w:val="0"/>
      <w:marTop w:val="0"/>
      <w:marBottom w:val="0"/>
      <w:divBdr>
        <w:top w:val="none" w:sz="0" w:space="0" w:color="auto"/>
        <w:left w:val="none" w:sz="0" w:space="0" w:color="auto"/>
        <w:bottom w:val="none" w:sz="0" w:space="0" w:color="auto"/>
        <w:right w:val="none" w:sz="0" w:space="0" w:color="auto"/>
      </w:divBdr>
    </w:div>
    <w:div w:id="1040395038">
      <w:bodyDiv w:val="1"/>
      <w:marLeft w:val="0"/>
      <w:marRight w:val="0"/>
      <w:marTop w:val="0"/>
      <w:marBottom w:val="0"/>
      <w:divBdr>
        <w:top w:val="none" w:sz="0" w:space="0" w:color="auto"/>
        <w:left w:val="none" w:sz="0" w:space="0" w:color="auto"/>
        <w:bottom w:val="none" w:sz="0" w:space="0" w:color="auto"/>
        <w:right w:val="none" w:sz="0" w:space="0" w:color="auto"/>
      </w:divBdr>
    </w:div>
    <w:div w:id="1071587667">
      <w:bodyDiv w:val="1"/>
      <w:marLeft w:val="0"/>
      <w:marRight w:val="0"/>
      <w:marTop w:val="0"/>
      <w:marBottom w:val="0"/>
      <w:divBdr>
        <w:top w:val="none" w:sz="0" w:space="0" w:color="auto"/>
        <w:left w:val="none" w:sz="0" w:space="0" w:color="auto"/>
        <w:bottom w:val="none" w:sz="0" w:space="0" w:color="auto"/>
        <w:right w:val="none" w:sz="0" w:space="0" w:color="auto"/>
      </w:divBdr>
      <w:divsChild>
        <w:div w:id="1560167564">
          <w:marLeft w:val="0"/>
          <w:marRight w:val="0"/>
          <w:marTop w:val="0"/>
          <w:marBottom w:val="0"/>
          <w:divBdr>
            <w:top w:val="none" w:sz="0" w:space="0" w:color="auto"/>
            <w:left w:val="none" w:sz="0" w:space="0" w:color="auto"/>
            <w:bottom w:val="none" w:sz="0" w:space="0" w:color="auto"/>
            <w:right w:val="none" w:sz="0" w:space="0" w:color="auto"/>
          </w:divBdr>
          <w:divsChild>
            <w:div w:id="907885201">
              <w:marLeft w:val="0"/>
              <w:marRight w:val="0"/>
              <w:marTop w:val="0"/>
              <w:marBottom w:val="0"/>
              <w:divBdr>
                <w:top w:val="none" w:sz="0" w:space="0" w:color="auto"/>
                <w:left w:val="none" w:sz="0" w:space="0" w:color="auto"/>
                <w:bottom w:val="none" w:sz="0" w:space="0" w:color="auto"/>
                <w:right w:val="none" w:sz="0" w:space="0" w:color="auto"/>
              </w:divBdr>
              <w:divsChild>
                <w:div w:id="209460991">
                  <w:marLeft w:val="0"/>
                  <w:marRight w:val="0"/>
                  <w:marTop w:val="0"/>
                  <w:marBottom w:val="0"/>
                  <w:divBdr>
                    <w:top w:val="none" w:sz="0" w:space="0" w:color="auto"/>
                    <w:left w:val="none" w:sz="0" w:space="0" w:color="auto"/>
                    <w:bottom w:val="none" w:sz="0" w:space="0" w:color="auto"/>
                    <w:right w:val="none" w:sz="0" w:space="0" w:color="auto"/>
                  </w:divBdr>
                  <w:divsChild>
                    <w:div w:id="947274960">
                      <w:marLeft w:val="2325"/>
                      <w:marRight w:val="0"/>
                      <w:marTop w:val="0"/>
                      <w:marBottom w:val="0"/>
                      <w:divBdr>
                        <w:top w:val="none" w:sz="0" w:space="0" w:color="auto"/>
                        <w:left w:val="none" w:sz="0" w:space="0" w:color="auto"/>
                        <w:bottom w:val="none" w:sz="0" w:space="0" w:color="auto"/>
                        <w:right w:val="none" w:sz="0" w:space="0" w:color="auto"/>
                      </w:divBdr>
                      <w:divsChild>
                        <w:div w:id="817458478">
                          <w:marLeft w:val="0"/>
                          <w:marRight w:val="0"/>
                          <w:marTop w:val="0"/>
                          <w:marBottom w:val="0"/>
                          <w:divBdr>
                            <w:top w:val="none" w:sz="0" w:space="0" w:color="auto"/>
                            <w:left w:val="none" w:sz="0" w:space="0" w:color="auto"/>
                            <w:bottom w:val="none" w:sz="0" w:space="0" w:color="auto"/>
                            <w:right w:val="none" w:sz="0" w:space="0" w:color="auto"/>
                          </w:divBdr>
                          <w:divsChild>
                            <w:div w:id="1681274665">
                              <w:marLeft w:val="0"/>
                              <w:marRight w:val="0"/>
                              <w:marTop w:val="0"/>
                              <w:marBottom w:val="0"/>
                              <w:divBdr>
                                <w:top w:val="none" w:sz="0" w:space="0" w:color="auto"/>
                                <w:left w:val="none" w:sz="0" w:space="0" w:color="auto"/>
                                <w:bottom w:val="none" w:sz="0" w:space="0" w:color="auto"/>
                                <w:right w:val="none" w:sz="0" w:space="0" w:color="auto"/>
                              </w:divBdr>
                              <w:divsChild>
                                <w:div w:id="1587571539">
                                  <w:marLeft w:val="0"/>
                                  <w:marRight w:val="0"/>
                                  <w:marTop w:val="0"/>
                                  <w:marBottom w:val="0"/>
                                  <w:divBdr>
                                    <w:top w:val="none" w:sz="0" w:space="0" w:color="auto"/>
                                    <w:left w:val="none" w:sz="0" w:space="0" w:color="auto"/>
                                    <w:bottom w:val="none" w:sz="0" w:space="0" w:color="auto"/>
                                    <w:right w:val="none" w:sz="0" w:space="0" w:color="auto"/>
                                  </w:divBdr>
                                  <w:divsChild>
                                    <w:div w:id="88964706">
                                      <w:marLeft w:val="0"/>
                                      <w:marRight w:val="0"/>
                                      <w:marTop w:val="0"/>
                                      <w:marBottom w:val="0"/>
                                      <w:divBdr>
                                        <w:top w:val="none" w:sz="0" w:space="0" w:color="auto"/>
                                        <w:left w:val="none" w:sz="0" w:space="0" w:color="auto"/>
                                        <w:bottom w:val="none" w:sz="0" w:space="0" w:color="auto"/>
                                        <w:right w:val="none" w:sz="0" w:space="0" w:color="auto"/>
                                      </w:divBdr>
                                      <w:divsChild>
                                        <w:div w:id="2071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5054307">
      <w:bodyDiv w:val="1"/>
      <w:marLeft w:val="0"/>
      <w:marRight w:val="0"/>
      <w:marTop w:val="0"/>
      <w:marBottom w:val="0"/>
      <w:divBdr>
        <w:top w:val="none" w:sz="0" w:space="0" w:color="auto"/>
        <w:left w:val="none" w:sz="0" w:space="0" w:color="auto"/>
        <w:bottom w:val="none" w:sz="0" w:space="0" w:color="auto"/>
        <w:right w:val="none" w:sz="0" w:space="0" w:color="auto"/>
      </w:divBdr>
    </w:div>
    <w:div w:id="1085111432">
      <w:bodyDiv w:val="1"/>
      <w:marLeft w:val="0"/>
      <w:marRight w:val="0"/>
      <w:marTop w:val="0"/>
      <w:marBottom w:val="0"/>
      <w:divBdr>
        <w:top w:val="none" w:sz="0" w:space="0" w:color="auto"/>
        <w:left w:val="none" w:sz="0" w:space="0" w:color="auto"/>
        <w:bottom w:val="none" w:sz="0" w:space="0" w:color="auto"/>
        <w:right w:val="none" w:sz="0" w:space="0" w:color="auto"/>
      </w:divBdr>
    </w:div>
    <w:div w:id="1109547158">
      <w:bodyDiv w:val="1"/>
      <w:marLeft w:val="0"/>
      <w:marRight w:val="0"/>
      <w:marTop w:val="0"/>
      <w:marBottom w:val="0"/>
      <w:divBdr>
        <w:top w:val="none" w:sz="0" w:space="0" w:color="auto"/>
        <w:left w:val="none" w:sz="0" w:space="0" w:color="auto"/>
        <w:bottom w:val="none" w:sz="0" w:space="0" w:color="auto"/>
        <w:right w:val="none" w:sz="0" w:space="0" w:color="auto"/>
      </w:divBdr>
    </w:div>
    <w:div w:id="1133062929">
      <w:bodyDiv w:val="1"/>
      <w:marLeft w:val="0"/>
      <w:marRight w:val="0"/>
      <w:marTop w:val="0"/>
      <w:marBottom w:val="0"/>
      <w:divBdr>
        <w:top w:val="none" w:sz="0" w:space="0" w:color="auto"/>
        <w:left w:val="none" w:sz="0" w:space="0" w:color="auto"/>
        <w:bottom w:val="none" w:sz="0" w:space="0" w:color="auto"/>
        <w:right w:val="none" w:sz="0" w:space="0" w:color="auto"/>
      </w:divBdr>
    </w:div>
    <w:div w:id="1160996736">
      <w:bodyDiv w:val="1"/>
      <w:marLeft w:val="0"/>
      <w:marRight w:val="0"/>
      <w:marTop w:val="0"/>
      <w:marBottom w:val="0"/>
      <w:divBdr>
        <w:top w:val="none" w:sz="0" w:space="0" w:color="auto"/>
        <w:left w:val="none" w:sz="0" w:space="0" w:color="auto"/>
        <w:bottom w:val="none" w:sz="0" w:space="0" w:color="auto"/>
        <w:right w:val="none" w:sz="0" w:space="0" w:color="auto"/>
      </w:divBdr>
      <w:divsChild>
        <w:div w:id="2102532046">
          <w:marLeft w:val="0"/>
          <w:marRight w:val="0"/>
          <w:marTop w:val="0"/>
          <w:marBottom w:val="0"/>
          <w:divBdr>
            <w:top w:val="none" w:sz="0" w:space="0" w:color="auto"/>
            <w:left w:val="none" w:sz="0" w:space="0" w:color="auto"/>
            <w:bottom w:val="none" w:sz="0" w:space="0" w:color="auto"/>
            <w:right w:val="none" w:sz="0" w:space="0" w:color="auto"/>
          </w:divBdr>
          <w:divsChild>
            <w:div w:id="310140644">
              <w:marLeft w:val="0"/>
              <w:marRight w:val="0"/>
              <w:marTop w:val="0"/>
              <w:marBottom w:val="0"/>
              <w:divBdr>
                <w:top w:val="none" w:sz="0" w:space="0" w:color="auto"/>
                <w:left w:val="none" w:sz="0" w:space="0" w:color="auto"/>
                <w:bottom w:val="none" w:sz="0" w:space="0" w:color="auto"/>
                <w:right w:val="none" w:sz="0" w:space="0" w:color="auto"/>
              </w:divBdr>
              <w:divsChild>
                <w:div w:id="1561480575">
                  <w:marLeft w:val="0"/>
                  <w:marRight w:val="0"/>
                  <w:marTop w:val="0"/>
                  <w:marBottom w:val="0"/>
                  <w:divBdr>
                    <w:top w:val="none" w:sz="0" w:space="0" w:color="auto"/>
                    <w:left w:val="none" w:sz="0" w:space="0" w:color="auto"/>
                    <w:bottom w:val="none" w:sz="0" w:space="0" w:color="auto"/>
                    <w:right w:val="none" w:sz="0" w:space="0" w:color="auto"/>
                  </w:divBdr>
                  <w:divsChild>
                    <w:div w:id="1231650340">
                      <w:marLeft w:val="0"/>
                      <w:marRight w:val="0"/>
                      <w:marTop w:val="0"/>
                      <w:marBottom w:val="0"/>
                      <w:divBdr>
                        <w:top w:val="none" w:sz="0" w:space="0" w:color="auto"/>
                        <w:left w:val="none" w:sz="0" w:space="0" w:color="auto"/>
                        <w:bottom w:val="none" w:sz="0" w:space="0" w:color="auto"/>
                        <w:right w:val="none" w:sz="0" w:space="0" w:color="auto"/>
                      </w:divBdr>
                      <w:divsChild>
                        <w:div w:id="741679462">
                          <w:marLeft w:val="0"/>
                          <w:marRight w:val="0"/>
                          <w:marTop w:val="0"/>
                          <w:marBottom w:val="0"/>
                          <w:divBdr>
                            <w:top w:val="none" w:sz="0" w:space="0" w:color="auto"/>
                            <w:left w:val="none" w:sz="0" w:space="0" w:color="auto"/>
                            <w:bottom w:val="none" w:sz="0" w:space="0" w:color="auto"/>
                            <w:right w:val="none" w:sz="0" w:space="0" w:color="auto"/>
                          </w:divBdr>
                          <w:divsChild>
                            <w:div w:id="688802158">
                              <w:marLeft w:val="0"/>
                              <w:marRight w:val="0"/>
                              <w:marTop w:val="0"/>
                              <w:marBottom w:val="0"/>
                              <w:divBdr>
                                <w:top w:val="none" w:sz="0" w:space="0" w:color="auto"/>
                                <w:left w:val="none" w:sz="0" w:space="0" w:color="auto"/>
                                <w:bottom w:val="none" w:sz="0" w:space="0" w:color="auto"/>
                                <w:right w:val="none" w:sz="0" w:space="0" w:color="auto"/>
                              </w:divBdr>
                              <w:divsChild>
                                <w:div w:id="198469767">
                                  <w:marLeft w:val="0"/>
                                  <w:marRight w:val="0"/>
                                  <w:marTop w:val="0"/>
                                  <w:marBottom w:val="0"/>
                                  <w:divBdr>
                                    <w:top w:val="none" w:sz="0" w:space="0" w:color="auto"/>
                                    <w:left w:val="none" w:sz="0" w:space="0" w:color="auto"/>
                                    <w:bottom w:val="none" w:sz="0" w:space="0" w:color="auto"/>
                                    <w:right w:val="none" w:sz="0" w:space="0" w:color="auto"/>
                                  </w:divBdr>
                                  <w:divsChild>
                                    <w:div w:id="1696924586">
                                      <w:marLeft w:val="0"/>
                                      <w:marRight w:val="0"/>
                                      <w:marTop w:val="0"/>
                                      <w:marBottom w:val="0"/>
                                      <w:divBdr>
                                        <w:top w:val="none" w:sz="0" w:space="0" w:color="auto"/>
                                        <w:left w:val="none" w:sz="0" w:space="0" w:color="auto"/>
                                        <w:bottom w:val="none" w:sz="0" w:space="0" w:color="auto"/>
                                        <w:right w:val="none" w:sz="0" w:space="0" w:color="auto"/>
                                      </w:divBdr>
                                      <w:divsChild>
                                        <w:div w:id="946237087">
                                          <w:marLeft w:val="0"/>
                                          <w:marRight w:val="0"/>
                                          <w:marTop w:val="0"/>
                                          <w:marBottom w:val="0"/>
                                          <w:divBdr>
                                            <w:top w:val="none" w:sz="0" w:space="0" w:color="auto"/>
                                            <w:left w:val="none" w:sz="0" w:space="0" w:color="auto"/>
                                            <w:bottom w:val="none" w:sz="0" w:space="0" w:color="auto"/>
                                            <w:right w:val="none" w:sz="0" w:space="0" w:color="auto"/>
                                          </w:divBdr>
                                          <w:divsChild>
                                            <w:div w:id="1945183583">
                                              <w:marLeft w:val="0"/>
                                              <w:marRight w:val="0"/>
                                              <w:marTop w:val="0"/>
                                              <w:marBottom w:val="0"/>
                                              <w:divBdr>
                                                <w:top w:val="none" w:sz="0" w:space="0" w:color="auto"/>
                                                <w:left w:val="none" w:sz="0" w:space="0" w:color="auto"/>
                                                <w:bottom w:val="none" w:sz="0" w:space="0" w:color="auto"/>
                                                <w:right w:val="none" w:sz="0" w:space="0" w:color="auto"/>
                                              </w:divBdr>
                                              <w:divsChild>
                                                <w:div w:id="889153980">
                                                  <w:marLeft w:val="0"/>
                                                  <w:marRight w:val="0"/>
                                                  <w:marTop w:val="0"/>
                                                  <w:marBottom w:val="0"/>
                                                  <w:divBdr>
                                                    <w:top w:val="none" w:sz="0" w:space="0" w:color="auto"/>
                                                    <w:left w:val="none" w:sz="0" w:space="0" w:color="auto"/>
                                                    <w:bottom w:val="none" w:sz="0" w:space="0" w:color="auto"/>
                                                    <w:right w:val="none" w:sz="0" w:space="0" w:color="auto"/>
                                                  </w:divBdr>
                                                  <w:divsChild>
                                                    <w:div w:id="1346590450">
                                                      <w:marLeft w:val="0"/>
                                                      <w:marRight w:val="0"/>
                                                      <w:marTop w:val="0"/>
                                                      <w:marBottom w:val="0"/>
                                                      <w:divBdr>
                                                        <w:top w:val="single" w:sz="12" w:space="0" w:color="ABABAB"/>
                                                        <w:left w:val="single" w:sz="6" w:space="0" w:color="ABABAB"/>
                                                        <w:bottom w:val="none" w:sz="0" w:space="0" w:color="auto"/>
                                                        <w:right w:val="single" w:sz="6" w:space="0" w:color="ABABAB"/>
                                                      </w:divBdr>
                                                      <w:divsChild>
                                                        <w:div w:id="2133211616">
                                                          <w:marLeft w:val="0"/>
                                                          <w:marRight w:val="0"/>
                                                          <w:marTop w:val="0"/>
                                                          <w:marBottom w:val="0"/>
                                                          <w:divBdr>
                                                            <w:top w:val="none" w:sz="0" w:space="0" w:color="auto"/>
                                                            <w:left w:val="none" w:sz="0" w:space="0" w:color="auto"/>
                                                            <w:bottom w:val="none" w:sz="0" w:space="0" w:color="auto"/>
                                                            <w:right w:val="none" w:sz="0" w:space="0" w:color="auto"/>
                                                          </w:divBdr>
                                                          <w:divsChild>
                                                            <w:div w:id="1300646083">
                                                              <w:marLeft w:val="0"/>
                                                              <w:marRight w:val="0"/>
                                                              <w:marTop w:val="0"/>
                                                              <w:marBottom w:val="0"/>
                                                              <w:divBdr>
                                                                <w:top w:val="none" w:sz="0" w:space="0" w:color="auto"/>
                                                                <w:left w:val="none" w:sz="0" w:space="0" w:color="auto"/>
                                                                <w:bottom w:val="none" w:sz="0" w:space="0" w:color="auto"/>
                                                                <w:right w:val="none" w:sz="0" w:space="0" w:color="auto"/>
                                                              </w:divBdr>
                                                              <w:divsChild>
                                                                <w:div w:id="797337656">
                                                                  <w:marLeft w:val="0"/>
                                                                  <w:marRight w:val="0"/>
                                                                  <w:marTop w:val="0"/>
                                                                  <w:marBottom w:val="0"/>
                                                                  <w:divBdr>
                                                                    <w:top w:val="none" w:sz="0" w:space="0" w:color="auto"/>
                                                                    <w:left w:val="none" w:sz="0" w:space="0" w:color="auto"/>
                                                                    <w:bottom w:val="none" w:sz="0" w:space="0" w:color="auto"/>
                                                                    <w:right w:val="none" w:sz="0" w:space="0" w:color="auto"/>
                                                                  </w:divBdr>
                                                                  <w:divsChild>
                                                                    <w:div w:id="1807427978">
                                                                      <w:marLeft w:val="0"/>
                                                                      <w:marRight w:val="0"/>
                                                                      <w:marTop w:val="0"/>
                                                                      <w:marBottom w:val="0"/>
                                                                      <w:divBdr>
                                                                        <w:top w:val="none" w:sz="0" w:space="0" w:color="auto"/>
                                                                        <w:left w:val="none" w:sz="0" w:space="0" w:color="auto"/>
                                                                        <w:bottom w:val="none" w:sz="0" w:space="0" w:color="auto"/>
                                                                        <w:right w:val="none" w:sz="0" w:space="0" w:color="auto"/>
                                                                      </w:divBdr>
                                                                      <w:divsChild>
                                                                        <w:div w:id="807476018">
                                                                          <w:marLeft w:val="0"/>
                                                                          <w:marRight w:val="0"/>
                                                                          <w:marTop w:val="0"/>
                                                                          <w:marBottom w:val="0"/>
                                                                          <w:divBdr>
                                                                            <w:top w:val="none" w:sz="0" w:space="0" w:color="auto"/>
                                                                            <w:left w:val="none" w:sz="0" w:space="0" w:color="auto"/>
                                                                            <w:bottom w:val="none" w:sz="0" w:space="0" w:color="auto"/>
                                                                            <w:right w:val="none" w:sz="0" w:space="0" w:color="auto"/>
                                                                          </w:divBdr>
                                                                          <w:divsChild>
                                                                            <w:div w:id="25833183">
                                                                              <w:marLeft w:val="0"/>
                                                                              <w:marRight w:val="0"/>
                                                                              <w:marTop w:val="0"/>
                                                                              <w:marBottom w:val="0"/>
                                                                              <w:divBdr>
                                                                                <w:top w:val="none" w:sz="0" w:space="0" w:color="auto"/>
                                                                                <w:left w:val="none" w:sz="0" w:space="0" w:color="auto"/>
                                                                                <w:bottom w:val="none" w:sz="0" w:space="0" w:color="auto"/>
                                                                                <w:right w:val="none" w:sz="0" w:space="0" w:color="auto"/>
                                                                              </w:divBdr>
                                                                              <w:divsChild>
                                                                                <w:div w:id="1212232293">
                                                                                  <w:marLeft w:val="0"/>
                                                                                  <w:marRight w:val="0"/>
                                                                                  <w:marTop w:val="0"/>
                                                                                  <w:marBottom w:val="0"/>
                                                                                  <w:divBdr>
                                                                                    <w:top w:val="none" w:sz="0" w:space="0" w:color="auto"/>
                                                                                    <w:left w:val="none" w:sz="0" w:space="0" w:color="auto"/>
                                                                                    <w:bottom w:val="none" w:sz="0" w:space="0" w:color="auto"/>
                                                                                    <w:right w:val="none" w:sz="0" w:space="0" w:color="auto"/>
                                                                                  </w:divBdr>
                                                                                </w:div>
                                                                                <w:div w:id="1221743145">
                                                                                  <w:marLeft w:val="0"/>
                                                                                  <w:marRight w:val="0"/>
                                                                                  <w:marTop w:val="0"/>
                                                                                  <w:marBottom w:val="0"/>
                                                                                  <w:divBdr>
                                                                                    <w:top w:val="none" w:sz="0" w:space="0" w:color="auto"/>
                                                                                    <w:left w:val="none" w:sz="0" w:space="0" w:color="auto"/>
                                                                                    <w:bottom w:val="none" w:sz="0" w:space="0" w:color="auto"/>
                                                                                    <w:right w:val="none" w:sz="0" w:space="0" w:color="auto"/>
                                                                                  </w:divBdr>
                                                                                </w:div>
                                                                                <w:div w:id="1228222699">
                                                                                  <w:marLeft w:val="0"/>
                                                                                  <w:marRight w:val="0"/>
                                                                                  <w:marTop w:val="0"/>
                                                                                  <w:marBottom w:val="0"/>
                                                                                  <w:divBdr>
                                                                                    <w:top w:val="none" w:sz="0" w:space="0" w:color="auto"/>
                                                                                    <w:left w:val="none" w:sz="0" w:space="0" w:color="auto"/>
                                                                                    <w:bottom w:val="none" w:sz="0" w:space="0" w:color="auto"/>
                                                                                    <w:right w:val="none" w:sz="0" w:space="0" w:color="auto"/>
                                                                                  </w:divBdr>
                                                                                </w:div>
                                                                                <w:div w:id="162978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72792048">
      <w:bodyDiv w:val="1"/>
      <w:marLeft w:val="0"/>
      <w:marRight w:val="0"/>
      <w:marTop w:val="0"/>
      <w:marBottom w:val="0"/>
      <w:divBdr>
        <w:top w:val="none" w:sz="0" w:space="0" w:color="auto"/>
        <w:left w:val="none" w:sz="0" w:space="0" w:color="auto"/>
        <w:bottom w:val="none" w:sz="0" w:space="0" w:color="auto"/>
        <w:right w:val="none" w:sz="0" w:space="0" w:color="auto"/>
      </w:divBdr>
    </w:div>
    <w:div w:id="1193030393">
      <w:bodyDiv w:val="1"/>
      <w:marLeft w:val="0"/>
      <w:marRight w:val="0"/>
      <w:marTop w:val="0"/>
      <w:marBottom w:val="0"/>
      <w:divBdr>
        <w:top w:val="none" w:sz="0" w:space="0" w:color="auto"/>
        <w:left w:val="none" w:sz="0" w:space="0" w:color="auto"/>
        <w:bottom w:val="none" w:sz="0" w:space="0" w:color="auto"/>
        <w:right w:val="none" w:sz="0" w:space="0" w:color="auto"/>
      </w:divBdr>
    </w:div>
    <w:div w:id="1195773699">
      <w:bodyDiv w:val="1"/>
      <w:marLeft w:val="0"/>
      <w:marRight w:val="0"/>
      <w:marTop w:val="0"/>
      <w:marBottom w:val="0"/>
      <w:divBdr>
        <w:top w:val="none" w:sz="0" w:space="0" w:color="auto"/>
        <w:left w:val="none" w:sz="0" w:space="0" w:color="auto"/>
        <w:bottom w:val="none" w:sz="0" w:space="0" w:color="auto"/>
        <w:right w:val="none" w:sz="0" w:space="0" w:color="auto"/>
      </w:divBdr>
    </w:div>
    <w:div w:id="1211309324">
      <w:bodyDiv w:val="1"/>
      <w:marLeft w:val="0"/>
      <w:marRight w:val="0"/>
      <w:marTop w:val="0"/>
      <w:marBottom w:val="0"/>
      <w:divBdr>
        <w:top w:val="none" w:sz="0" w:space="0" w:color="auto"/>
        <w:left w:val="none" w:sz="0" w:space="0" w:color="auto"/>
        <w:bottom w:val="none" w:sz="0" w:space="0" w:color="auto"/>
        <w:right w:val="none" w:sz="0" w:space="0" w:color="auto"/>
      </w:divBdr>
    </w:div>
    <w:div w:id="1269118810">
      <w:bodyDiv w:val="1"/>
      <w:marLeft w:val="0"/>
      <w:marRight w:val="0"/>
      <w:marTop w:val="0"/>
      <w:marBottom w:val="0"/>
      <w:divBdr>
        <w:top w:val="none" w:sz="0" w:space="0" w:color="auto"/>
        <w:left w:val="none" w:sz="0" w:space="0" w:color="auto"/>
        <w:bottom w:val="none" w:sz="0" w:space="0" w:color="auto"/>
        <w:right w:val="none" w:sz="0" w:space="0" w:color="auto"/>
      </w:divBdr>
      <w:divsChild>
        <w:div w:id="1742602969">
          <w:marLeft w:val="0"/>
          <w:marRight w:val="0"/>
          <w:marTop w:val="0"/>
          <w:marBottom w:val="0"/>
          <w:divBdr>
            <w:top w:val="none" w:sz="0" w:space="0" w:color="auto"/>
            <w:left w:val="none" w:sz="0" w:space="0" w:color="auto"/>
            <w:bottom w:val="none" w:sz="0" w:space="0" w:color="auto"/>
            <w:right w:val="none" w:sz="0" w:space="0" w:color="auto"/>
          </w:divBdr>
          <w:divsChild>
            <w:div w:id="1237012191">
              <w:marLeft w:val="0"/>
              <w:marRight w:val="0"/>
              <w:marTop w:val="0"/>
              <w:marBottom w:val="0"/>
              <w:divBdr>
                <w:top w:val="none" w:sz="0" w:space="0" w:color="auto"/>
                <w:left w:val="none" w:sz="0" w:space="0" w:color="auto"/>
                <w:bottom w:val="none" w:sz="0" w:space="0" w:color="auto"/>
                <w:right w:val="none" w:sz="0" w:space="0" w:color="auto"/>
              </w:divBdr>
              <w:divsChild>
                <w:div w:id="464348839">
                  <w:marLeft w:val="0"/>
                  <w:marRight w:val="0"/>
                  <w:marTop w:val="0"/>
                  <w:marBottom w:val="0"/>
                  <w:divBdr>
                    <w:top w:val="none" w:sz="0" w:space="0" w:color="auto"/>
                    <w:left w:val="none" w:sz="0" w:space="0" w:color="auto"/>
                    <w:bottom w:val="none" w:sz="0" w:space="0" w:color="auto"/>
                    <w:right w:val="none" w:sz="0" w:space="0" w:color="auto"/>
                  </w:divBdr>
                  <w:divsChild>
                    <w:div w:id="8526307">
                      <w:marLeft w:val="0"/>
                      <w:marRight w:val="0"/>
                      <w:marTop w:val="0"/>
                      <w:marBottom w:val="0"/>
                      <w:divBdr>
                        <w:top w:val="none" w:sz="0" w:space="0" w:color="auto"/>
                        <w:left w:val="none" w:sz="0" w:space="0" w:color="auto"/>
                        <w:bottom w:val="none" w:sz="0" w:space="0" w:color="auto"/>
                        <w:right w:val="none" w:sz="0" w:space="0" w:color="auto"/>
                      </w:divBdr>
                      <w:divsChild>
                        <w:div w:id="242839847">
                          <w:marLeft w:val="0"/>
                          <w:marRight w:val="0"/>
                          <w:marTop w:val="0"/>
                          <w:marBottom w:val="0"/>
                          <w:divBdr>
                            <w:top w:val="none" w:sz="0" w:space="0" w:color="auto"/>
                            <w:left w:val="none" w:sz="0" w:space="0" w:color="auto"/>
                            <w:bottom w:val="none" w:sz="0" w:space="0" w:color="auto"/>
                            <w:right w:val="none" w:sz="0" w:space="0" w:color="auto"/>
                          </w:divBdr>
                          <w:divsChild>
                            <w:div w:id="1520662703">
                              <w:marLeft w:val="0"/>
                              <w:marRight w:val="0"/>
                              <w:marTop w:val="0"/>
                              <w:marBottom w:val="0"/>
                              <w:divBdr>
                                <w:top w:val="none" w:sz="0" w:space="0" w:color="auto"/>
                                <w:left w:val="none" w:sz="0" w:space="0" w:color="auto"/>
                                <w:bottom w:val="none" w:sz="0" w:space="0" w:color="auto"/>
                                <w:right w:val="none" w:sz="0" w:space="0" w:color="auto"/>
                              </w:divBdr>
                              <w:divsChild>
                                <w:div w:id="647902621">
                                  <w:marLeft w:val="0"/>
                                  <w:marRight w:val="0"/>
                                  <w:marTop w:val="0"/>
                                  <w:marBottom w:val="0"/>
                                  <w:divBdr>
                                    <w:top w:val="none" w:sz="0" w:space="0" w:color="auto"/>
                                    <w:left w:val="none" w:sz="0" w:space="0" w:color="auto"/>
                                    <w:bottom w:val="none" w:sz="0" w:space="0" w:color="auto"/>
                                    <w:right w:val="none" w:sz="0" w:space="0" w:color="auto"/>
                                  </w:divBdr>
                                  <w:divsChild>
                                    <w:div w:id="1756240061">
                                      <w:marLeft w:val="0"/>
                                      <w:marRight w:val="0"/>
                                      <w:marTop w:val="0"/>
                                      <w:marBottom w:val="0"/>
                                      <w:divBdr>
                                        <w:top w:val="none" w:sz="0" w:space="0" w:color="auto"/>
                                        <w:left w:val="none" w:sz="0" w:space="0" w:color="auto"/>
                                        <w:bottom w:val="none" w:sz="0" w:space="0" w:color="auto"/>
                                        <w:right w:val="none" w:sz="0" w:space="0" w:color="auto"/>
                                      </w:divBdr>
                                      <w:divsChild>
                                        <w:div w:id="1882935541">
                                          <w:marLeft w:val="0"/>
                                          <w:marRight w:val="0"/>
                                          <w:marTop w:val="0"/>
                                          <w:marBottom w:val="0"/>
                                          <w:divBdr>
                                            <w:top w:val="none" w:sz="0" w:space="0" w:color="auto"/>
                                            <w:left w:val="none" w:sz="0" w:space="0" w:color="auto"/>
                                            <w:bottom w:val="none" w:sz="0" w:space="0" w:color="auto"/>
                                            <w:right w:val="none" w:sz="0" w:space="0" w:color="auto"/>
                                          </w:divBdr>
                                          <w:divsChild>
                                            <w:div w:id="926815290">
                                              <w:marLeft w:val="3444"/>
                                              <w:marRight w:val="0"/>
                                              <w:marTop w:val="0"/>
                                              <w:marBottom w:val="0"/>
                                              <w:divBdr>
                                                <w:top w:val="single" w:sz="4" w:space="0" w:color="D2D5D7"/>
                                                <w:left w:val="single" w:sz="4" w:space="0" w:color="D2D5D7"/>
                                                <w:bottom w:val="none" w:sz="0" w:space="0" w:color="auto"/>
                                                <w:right w:val="single" w:sz="4" w:space="0" w:color="D2D5D7"/>
                                              </w:divBdr>
                                              <w:divsChild>
                                                <w:div w:id="1970041645">
                                                  <w:marLeft w:val="0"/>
                                                  <w:marRight w:val="0"/>
                                                  <w:marTop w:val="0"/>
                                                  <w:marBottom w:val="0"/>
                                                  <w:divBdr>
                                                    <w:top w:val="none" w:sz="0" w:space="0" w:color="auto"/>
                                                    <w:left w:val="none" w:sz="0" w:space="0" w:color="auto"/>
                                                    <w:bottom w:val="none" w:sz="0" w:space="0" w:color="auto"/>
                                                    <w:right w:val="none" w:sz="0" w:space="0" w:color="auto"/>
                                                  </w:divBdr>
                                                  <w:divsChild>
                                                    <w:div w:id="1034814757">
                                                      <w:marLeft w:val="0"/>
                                                      <w:marRight w:val="0"/>
                                                      <w:marTop w:val="0"/>
                                                      <w:marBottom w:val="0"/>
                                                      <w:divBdr>
                                                        <w:top w:val="none" w:sz="0" w:space="0" w:color="auto"/>
                                                        <w:left w:val="none" w:sz="0" w:space="0" w:color="auto"/>
                                                        <w:bottom w:val="none" w:sz="0" w:space="0" w:color="auto"/>
                                                        <w:right w:val="none" w:sz="0" w:space="0" w:color="auto"/>
                                                      </w:divBdr>
                                                      <w:divsChild>
                                                        <w:div w:id="555243030">
                                                          <w:marLeft w:val="0"/>
                                                          <w:marRight w:val="0"/>
                                                          <w:marTop w:val="0"/>
                                                          <w:marBottom w:val="0"/>
                                                          <w:divBdr>
                                                            <w:top w:val="none" w:sz="0" w:space="0" w:color="auto"/>
                                                            <w:left w:val="none" w:sz="0" w:space="0" w:color="auto"/>
                                                            <w:bottom w:val="none" w:sz="0" w:space="0" w:color="auto"/>
                                                            <w:right w:val="none" w:sz="0" w:space="0" w:color="auto"/>
                                                          </w:divBdr>
                                                          <w:divsChild>
                                                            <w:div w:id="2017730383">
                                                              <w:marLeft w:val="0"/>
                                                              <w:marRight w:val="0"/>
                                                              <w:marTop w:val="0"/>
                                                              <w:marBottom w:val="0"/>
                                                              <w:divBdr>
                                                                <w:top w:val="none" w:sz="0" w:space="0" w:color="auto"/>
                                                                <w:left w:val="none" w:sz="0" w:space="0" w:color="auto"/>
                                                                <w:bottom w:val="none" w:sz="0" w:space="0" w:color="auto"/>
                                                                <w:right w:val="none" w:sz="0" w:space="0" w:color="auto"/>
                                                              </w:divBdr>
                                                              <w:divsChild>
                                                                <w:div w:id="706443923">
                                                                  <w:marLeft w:val="0"/>
                                                                  <w:marRight w:val="0"/>
                                                                  <w:marTop w:val="0"/>
                                                                  <w:marBottom w:val="0"/>
                                                                  <w:divBdr>
                                                                    <w:top w:val="none" w:sz="0" w:space="0" w:color="auto"/>
                                                                    <w:left w:val="none" w:sz="0" w:space="0" w:color="auto"/>
                                                                    <w:bottom w:val="none" w:sz="0" w:space="0" w:color="auto"/>
                                                                    <w:right w:val="none" w:sz="0" w:space="0" w:color="auto"/>
                                                                  </w:divBdr>
                                                                  <w:divsChild>
                                                                    <w:div w:id="634876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83227026">
      <w:bodyDiv w:val="1"/>
      <w:marLeft w:val="0"/>
      <w:marRight w:val="0"/>
      <w:marTop w:val="0"/>
      <w:marBottom w:val="0"/>
      <w:divBdr>
        <w:top w:val="none" w:sz="0" w:space="0" w:color="auto"/>
        <w:left w:val="none" w:sz="0" w:space="0" w:color="auto"/>
        <w:bottom w:val="none" w:sz="0" w:space="0" w:color="auto"/>
        <w:right w:val="none" w:sz="0" w:space="0" w:color="auto"/>
      </w:divBdr>
    </w:div>
    <w:div w:id="1290551962">
      <w:bodyDiv w:val="1"/>
      <w:marLeft w:val="0"/>
      <w:marRight w:val="0"/>
      <w:marTop w:val="0"/>
      <w:marBottom w:val="0"/>
      <w:divBdr>
        <w:top w:val="none" w:sz="0" w:space="0" w:color="auto"/>
        <w:left w:val="none" w:sz="0" w:space="0" w:color="auto"/>
        <w:bottom w:val="none" w:sz="0" w:space="0" w:color="auto"/>
        <w:right w:val="none" w:sz="0" w:space="0" w:color="auto"/>
      </w:divBdr>
      <w:divsChild>
        <w:div w:id="1474787772">
          <w:marLeft w:val="0"/>
          <w:marRight w:val="0"/>
          <w:marTop w:val="0"/>
          <w:marBottom w:val="0"/>
          <w:divBdr>
            <w:top w:val="none" w:sz="0" w:space="0" w:color="auto"/>
            <w:left w:val="none" w:sz="0" w:space="0" w:color="auto"/>
            <w:bottom w:val="none" w:sz="0" w:space="0" w:color="auto"/>
            <w:right w:val="none" w:sz="0" w:space="0" w:color="auto"/>
          </w:divBdr>
          <w:divsChild>
            <w:div w:id="1762557419">
              <w:marLeft w:val="0"/>
              <w:marRight w:val="0"/>
              <w:marTop w:val="0"/>
              <w:marBottom w:val="0"/>
              <w:divBdr>
                <w:top w:val="none" w:sz="0" w:space="0" w:color="auto"/>
                <w:left w:val="none" w:sz="0" w:space="0" w:color="auto"/>
                <w:bottom w:val="none" w:sz="0" w:space="0" w:color="auto"/>
                <w:right w:val="none" w:sz="0" w:space="0" w:color="auto"/>
              </w:divBdr>
              <w:divsChild>
                <w:div w:id="73091580">
                  <w:marLeft w:val="0"/>
                  <w:marRight w:val="0"/>
                  <w:marTop w:val="0"/>
                  <w:marBottom w:val="0"/>
                  <w:divBdr>
                    <w:top w:val="none" w:sz="0" w:space="0" w:color="auto"/>
                    <w:left w:val="none" w:sz="0" w:space="0" w:color="auto"/>
                    <w:bottom w:val="none" w:sz="0" w:space="0" w:color="auto"/>
                    <w:right w:val="none" w:sz="0" w:space="0" w:color="auto"/>
                  </w:divBdr>
                  <w:divsChild>
                    <w:div w:id="156899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0453855">
      <w:bodyDiv w:val="1"/>
      <w:marLeft w:val="0"/>
      <w:marRight w:val="0"/>
      <w:marTop w:val="0"/>
      <w:marBottom w:val="0"/>
      <w:divBdr>
        <w:top w:val="none" w:sz="0" w:space="0" w:color="auto"/>
        <w:left w:val="none" w:sz="0" w:space="0" w:color="auto"/>
        <w:bottom w:val="none" w:sz="0" w:space="0" w:color="auto"/>
        <w:right w:val="none" w:sz="0" w:space="0" w:color="auto"/>
      </w:divBdr>
      <w:divsChild>
        <w:div w:id="486440907">
          <w:marLeft w:val="0"/>
          <w:marRight w:val="0"/>
          <w:marTop w:val="0"/>
          <w:marBottom w:val="0"/>
          <w:divBdr>
            <w:top w:val="none" w:sz="0" w:space="0" w:color="auto"/>
            <w:left w:val="none" w:sz="0" w:space="0" w:color="auto"/>
            <w:bottom w:val="none" w:sz="0" w:space="0" w:color="auto"/>
            <w:right w:val="none" w:sz="0" w:space="0" w:color="auto"/>
          </w:divBdr>
          <w:divsChild>
            <w:div w:id="769473978">
              <w:marLeft w:val="0"/>
              <w:marRight w:val="0"/>
              <w:marTop w:val="0"/>
              <w:marBottom w:val="0"/>
              <w:divBdr>
                <w:top w:val="none" w:sz="0" w:space="0" w:color="auto"/>
                <w:left w:val="none" w:sz="0" w:space="0" w:color="auto"/>
                <w:bottom w:val="none" w:sz="0" w:space="0" w:color="auto"/>
                <w:right w:val="none" w:sz="0" w:space="0" w:color="auto"/>
              </w:divBdr>
              <w:divsChild>
                <w:div w:id="775369656">
                  <w:marLeft w:val="0"/>
                  <w:marRight w:val="0"/>
                  <w:marTop w:val="0"/>
                  <w:marBottom w:val="0"/>
                  <w:divBdr>
                    <w:top w:val="none" w:sz="0" w:space="0" w:color="auto"/>
                    <w:left w:val="none" w:sz="0" w:space="0" w:color="auto"/>
                    <w:bottom w:val="none" w:sz="0" w:space="0" w:color="auto"/>
                    <w:right w:val="none" w:sz="0" w:space="0" w:color="auto"/>
                  </w:divBdr>
                  <w:divsChild>
                    <w:div w:id="126761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894571">
      <w:bodyDiv w:val="1"/>
      <w:marLeft w:val="0"/>
      <w:marRight w:val="0"/>
      <w:marTop w:val="0"/>
      <w:marBottom w:val="0"/>
      <w:divBdr>
        <w:top w:val="none" w:sz="0" w:space="0" w:color="auto"/>
        <w:left w:val="none" w:sz="0" w:space="0" w:color="auto"/>
        <w:bottom w:val="none" w:sz="0" w:space="0" w:color="auto"/>
        <w:right w:val="none" w:sz="0" w:space="0" w:color="auto"/>
      </w:divBdr>
      <w:divsChild>
        <w:div w:id="1778328634">
          <w:marLeft w:val="0"/>
          <w:marRight w:val="0"/>
          <w:marTop w:val="0"/>
          <w:marBottom w:val="0"/>
          <w:divBdr>
            <w:top w:val="none" w:sz="0" w:space="0" w:color="auto"/>
            <w:left w:val="none" w:sz="0" w:space="0" w:color="auto"/>
            <w:bottom w:val="none" w:sz="0" w:space="0" w:color="auto"/>
            <w:right w:val="none" w:sz="0" w:space="0" w:color="auto"/>
          </w:divBdr>
          <w:divsChild>
            <w:div w:id="61487908">
              <w:marLeft w:val="0"/>
              <w:marRight w:val="0"/>
              <w:marTop w:val="0"/>
              <w:marBottom w:val="0"/>
              <w:divBdr>
                <w:top w:val="none" w:sz="0" w:space="0" w:color="auto"/>
                <w:left w:val="none" w:sz="0" w:space="0" w:color="auto"/>
                <w:bottom w:val="none" w:sz="0" w:space="0" w:color="auto"/>
                <w:right w:val="none" w:sz="0" w:space="0" w:color="auto"/>
              </w:divBdr>
              <w:divsChild>
                <w:div w:id="2146385584">
                  <w:marLeft w:val="0"/>
                  <w:marRight w:val="0"/>
                  <w:marTop w:val="0"/>
                  <w:marBottom w:val="0"/>
                  <w:divBdr>
                    <w:top w:val="none" w:sz="0" w:space="0" w:color="auto"/>
                    <w:left w:val="none" w:sz="0" w:space="0" w:color="auto"/>
                    <w:bottom w:val="none" w:sz="0" w:space="0" w:color="auto"/>
                    <w:right w:val="none" w:sz="0" w:space="0" w:color="auto"/>
                  </w:divBdr>
                  <w:divsChild>
                    <w:div w:id="116424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651447">
      <w:bodyDiv w:val="1"/>
      <w:marLeft w:val="0"/>
      <w:marRight w:val="0"/>
      <w:marTop w:val="0"/>
      <w:marBottom w:val="0"/>
      <w:divBdr>
        <w:top w:val="none" w:sz="0" w:space="0" w:color="auto"/>
        <w:left w:val="none" w:sz="0" w:space="0" w:color="auto"/>
        <w:bottom w:val="none" w:sz="0" w:space="0" w:color="auto"/>
        <w:right w:val="none" w:sz="0" w:space="0" w:color="auto"/>
      </w:divBdr>
    </w:div>
    <w:div w:id="1331252759">
      <w:bodyDiv w:val="1"/>
      <w:marLeft w:val="0"/>
      <w:marRight w:val="0"/>
      <w:marTop w:val="0"/>
      <w:marBottom w:val="0"/>
      <w:divBdr>
        <w:top w:val="none" w:sz="0" w:space="0" w:color="auto"/>
        <w:left w:val="none" w:sz="0" w:space="0" w:color="auto"/>
        <w:bottom w:val="none" w:sz="0" w:space="0" w:color="auto"/>
        <w:right w:val="none" w:sz="0" w:space="0" w:color="auto"/>
      </w:divBdr>
    </w:div>
    <w:div w:id="1338849430">
      <w:bodyDiv w:val="1"/>
      <w:marLeft w:val="0"/>
      <w:marRight w:val="0"/>
      <w:marTop w:val="0"/>
      <w:marBottom w:val="0"/>
      <w:divBdr>
        <w:top w:val="none" w:sz="0" w:space="0" w:color="auto"/>
        <w:left w:val="none" w:sz="0" w:space="0" w:color="auto"/>
        <w:bottom w:val="none" w:sz="0" w:space="0" w:color="auto"/>
        <w:right w:val="none" w:sz="0" w:space="0" w:color="auto"/>
      </w:divBdr>
    </w:div>
    <w:div w:id="1345207292">
      <w:bodyDiv w:val="1"/>
      <w:marLeft w:val="0"/>
      <w:marRight w:val="0"/>
      <w:marTop w:val="0"/>
      <w:marBottom w:val="0"/>
      <w:divBdr>
        <w:top w:val="none" w:sz="0" w:space="0" w:color="auto"/>
        <w:left w:val="none" w:sz="0" w:space="0" w:color="auto"/>
        <w:bottom w:val="none" w:sz="0" w:space="0" w:color="auto"/>
        <w:right w:val="none" w:sz="0" w:space="0" w:color="auto"/>
      </w:divBdr>
    </w:div>
    <w:div w:id="1368220651">
      <w:bodyDiv w:val="1"/>
      <w:marLeft w:val="0"/>
      <w:marRight w:val="0"/>
      <w:marTop w:val="0"/>
      <w:marBottom w:val="0"/>
      <w:divBdr>
        <w:top w:val="none" w:sz="0" w:space="0" w:color="auto"/>
        <w:left w:val="none" w:sz="0" w:space="0" w:color="auto"/>
        <w:bottom w:val="none" w:sz="0" w:space="0" w:color="auto"/>
        <w:right w:val="none" w:sz="0" w:space="0" w:color="auto"/>
      </w:divBdr>
    </w:div>
    <w:div w:id="1395665249">
      <w:bodyDiv w:val="1"/>
      <w:marLeft w:val="0"/>
      <w:marRight w:val="0"/>
      <w:marTop w:val="0"/>
      <w:marBottom w:val="0"/>
      <w:divBdr>
        <w:top w:val="none" w:sz="0" w:space="0" w:color="auto"/>
        <w:left w:val="none" w:sz="0" w:space="0" w:color="auto"/>
        <w:bottom w:val="none" w:sz="0" w:space="0" w:color="auto"/>
        <w:right w:val="none" w:sz="0" w:space="0" w:color="auto"/>
      </w:divBdr>
    </w:div>
    <w:div w:id="1412502090">
      <w:bodyDiv w:val="1"/>
      <w:marLeft w:val="0"/>
      <w:marRight w:val="0"/>
      <w:marTop w:val="0"/>
      <w:marBottom w:val="0"/>
      <w:divBdr>
        <w:top w:val="none" w:sz="0" w:space="0" w:color="auto"/>
        <w:left w:val="none" w:sz="0" w:space="0" w:color="auto"/>
        <w:bottom w:val="none" w:sz="0" w:space="0" w:color="auto"/>
        <w:right w:val="none" w:sz="0" w:space="0" w:color="auto"/>
      </w:divBdr>
      <w:divsChild>
        <w:div w:id="1252204205">
          <w:marLeft w:val="0"/>
          <w:marRight w:val="0"/>
          <w:marTop w:val="0"/>
          <w:marBottom w:val="0"/>
          <w:divBdr>
            <w:top w:val="none" w:sz="0" w:space="0" w:color="auto"/>
            <w:left w:val="none" w:sz="0" w:space="0" w:color="auto"/>
            <w:bottom w:val="none" w:sz="0" w:space="0" w:color="auto"/>
            <w:right w:val="none" w:sz="0" w:space="0" w:color="auto"/>
          </w:divBdr>
          <w:divsChild>
            <w:div w:id="1422533069">
              <w:marLeft w:val="0"/>
              <w:marRight w:val="0"/>
              <w:marTop w:val="0"/>
              <w:marBottom w:val="0"/>
              <w:divBdr>
                <w:top w:val="none" w:sz="0" w:space="0" w:color="auto"/>
                <w:left w:val="none" w:sz="0" w:space="0" w:color="auto"/>
                <w:bottom w:val="none" w:sz="0" w:space="0" w:color="auto"/>
                <w:right w:val="none" w:sz="0" w:space="0" w:color="auto"/>
              </w:divBdr>
              <w:divsChild>
                <w:div w:id="99503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106118">
      <w:bodyDiv w:val="1"/>
      <w:marLeft w:val="0"/>
      <w:marRight w:val="0"/>
      <w:marTop w:val="0"/>
      <w:marBottom w:val="0"/>
      <w:divBdr>
        <w:top w:val="none" w:sz="0" w:space="0" w:color="auto"/>
        <w:left w:val="none" w:sz="0" w:space="0" w:color="auto"/>
        <w:bottom w:val="none" w:sz="0" w:space="0" w:color="auto"/>
        <w:right w:val="none" w:sz="0" w:space="0" w:color="auto"/>
      </w:divBdr>
      <w:divsChild>
        <w:div w:id="1241062007">
          <w:marLeft w:val="0"/>
          <w:marRight w:val="0"/>
          <w:marTop w:val="0"/>
          <w:marBottom w:val="0"/>
          <w:divBdr>
            <w:top w:val="none" w:sz="0" w:space="0" w:color="auto"/>
            <w:left w:val="none" w:sz="0" w:space="0" w:color="auto"/>
            <w:bottom w:val="none" w:sz="0" w:space="0" w:color="auto"/>
            <w:right w:val="none" w:sz="0" w:space="0" w:color="auto"/>
          </w:divBdr>
        </w:div>
        <w:div w:id="1248079206">
          <w:marLeft w:val="0"/>
          <w:marRight w:val="0"/>
          <w:marTop w:val="0"/>
          <w:marBottom w:val="0"/>
          <w:divBdr>
            <w:top w:val="none" w:sz="0" w:space="0" w:color="auto"/>
            <w:left w:val="none" w:sz="0" w:space="0" w:color="auto"/>
            <w:bottom w:val="none" w:sz="0" w:space="0" w:color="auto"/>
            <w:right w:val="none" w:sz="0" w:space="0" w:color="auto"/>
          </w:divBdr>
        </w:div>
      </w:divsChild>
    </w:div>
    <w:div w:id="1435713363">
      <w:bodyDiv w:val="1"/>
      <w:marLeft w:val="0"/>
      <w:marRight w:val="0"/>
      <w:marTop w:val="0"/>
      <w:marBottom w:val="0"/>
      <w:divBdr>
        <w:top w:val="none" w:sz="0" w:space="0" w:color="auto"/>
        <w:left w:val="none" w:sz="0" w:space="0" w:color="auto"/>
        <w:bottom w:val="none" w:sz="0" w:space="0" w:color="auto"/>
        <w:right w:val="none" w:sz="0" w:space="0" w:color="auto"/>
      </w:divBdr>
    </w:div>
    <w:div w:id="1436442442">
      <w:bodyDiv w:val="1"/>
      <w:marLeft w:val="0"/>
      <w:marRight w:val="0"/>
      <w:marTop w:val="0"/>
      <w:marBottom w:val="0"/>
      <w:divBdr>
        <w:top w:val="none" w:sz="0" w:space="0" w:color="auto"/>
        <w:left w:val="none" w:sz="0" w:space="0" w:color="auto"/>
        <w:bottom w:val="none" w:sz="0" w:space="0" w:color="auto"/>
        <w:right w:val="none" w:sz="0" w:space="0" w:color="auto"/>
      </w:divBdr>
    </w:div>
    <w:div w:id="1471635208">
      <w:bodyDiv w:val="1"/>
      <w:marLeft w:val="0"/>
      <w:marRight w:val="0"/>
      <w:marTop w:val="0"/>
      <w:marBottom w:val="0"/>
      <w:divBdr>
        <w:top w:val="none" w:sz="0" w:space="0" w:color="auto"/>
        <w:left w:val="none" w:sz="0" w:space="0" w:color="auto"/>
        <w:bottom w:val="none" w:sz="0" w:space="0" w:color="auto"/>
        <w:right w:val="none" w:sz="0" w:space="0" w:color="auto"/>
      </w:divBdr>
    </w:div>
    <w:div w:id="1472095676">
      <w:bodyDiv w:val="1"/>
      <w:marLeft w:val="0"/>
      <w:marRight w:val="0"/>
      <w:marTop w:val="0"/>
      <w:marBottom w:val="0"/>
      <w:divBdr>
        <w:top w:val="none" w:sz="0" w:space="0" w:color="auto"/>
        <w:left w:val="none" w:sz="0" w:space="0" w:color="auto"/>
        <w:bottom w:val="none" w:sz="0" w:space="0" w:color="auto"/>
        <w:right w:val="none" w:sz="0" w:space="0" w:color="auto"/>
      </w:divBdr>
    </w:div>
    <w:div w:id="1473864238">
      <w:bodyDiv w:val="1"/>
      <w:marLeft w:val="0"/>
      <w:marRight w:val="0"/>
      <w:marTop w:val="0"/>
      <w:marBottom w:val="0"/>
      <w:divBdr>
        <w:top w:val="none" w:sz="0" w:space="0" w:color="auto"/>
        <w:left w:val="none" w:sz="0" w:space="0" w:color="auto"/>
        <w:bottom w:val="none" w:sz="0" w:space="0" w:color="auto"/>
        <w:right w:val="none" w:sz="0" w:space="0" w:color="auto"/>
      </w:divBdr>
    </w:div>
    <w:div w:id="1474446791">
      <w:bodyDiv w:val="1"/>
      <w:marLeft w:val="0"/>
      <w:marRight w:val="0"/>
      <w:marTop w:val="0"/>
      <w:marBottom w:val="0"/>
      <w:divBdr>
        <w:top w:val="none" w:sz="0" w:space="0" w:color="auto"/>
        <w:left w:val="none" w:sz="0" w:space="0" w:color="auto"/>
        <w:bottom w:val="none" w:sz="0" w:space="0" w:color="auto"/>
        <w:right w:val="none" w:sz="0" w:space="0" w:color="auto"/>
      </w:divBdr>
    </w:div>
    <w:div w:id="1479033083">
      <w:bodyDiv w:val="1"/>
      <w:marLeft w:val="0"/>
      <w:marRight w:val="0"/>
      <w:marTop w:val="0"/>
      <w:marBottom w:val="0"/>
      <w:divBdr>
        <w:top w:val="none" w:sz="0" w:space="0" w:color="auto"/>
        <w:left w:val="none" w:sz="0" w:space="0" w:color="auto"/>
        <w:bottom w:val="none" w:sz="0" w:space="0" w:color="auto"/>
        <w:right w:val="none" w:sz="0" w:space="0" w:color="auto"/>
      </w:divBdr>
    </w:div>
    <w:div w:id="1546142958">
      <w:bodyDiv w:val="1"/>
      <w:marLeft w:val="0"/>
      <w:marRight w:val="0"/>
      <w:marTop w:val="0"/>
      <w:marBottom w:val="0"/>
      <w:divBdr>
        <w:top w:val="none" w:sz="0" w:space="0" w:color="auto"/>
        <w:left w:val="none" w:sz="0" w:space="0" w:color="auto"/>
        <w:bottom w:val="none" w:sz="0" w:space="0" w:color="auto"/>
        <w:right w:val="none" w:sz="0" w:space="0" w:color="auto"/>
      </w:divBdr>
    </w:div>
    <w:div w:id="1546985380">
      <w:bodyDiv w:val="1"/>
      <w:marLeft w:val="0"/>
      <w:marRight w:val="0"/>
      <w:marTop w:val="0"/>
      <w:marBottom w:val="0"/>
      <w:divBdr>
        <w:top w:val="none" w:sz="0" w:space="0" w:color="auto"/>
        <w:left w:val="none" w:sz="0" w:space="0" w:color="auto"/>
        <w:bottom w:val="none" w:sz="0" w:space="0" w:color="auto"/>
        <w:right w:val="none" w:sz="0" w:space="0" w:color="auto"/>
      </w:divBdr>
      <w:divsChild>
        <w:div w:id="1593396645">
          <w:marLeft w:val="0"/>
          <w:marRight w:val="0"/>
          <w:marTop w:val="0"/>
          <w:marBottom w:val="0"/>
          <w:divBdr>
            <w:top w:val="none" w:sz="0" w:space="0" w:color="auto"/>
            <w:left w:val="none" w:sz="0" w:space="0" w:color="auto"/>
            <w:bottom w:val="none" w:sz="0" w:space="0" w:color="auto"/>
            <w:right w:val="none" w:sz="0" w:space="0" w:color="auto"/>
          </w:divBdr>
          <w:divsChild>
            <w:div w:id="379212842">
              <w:marLeft w:val="0"/>
              <w:marRight w:val="0"/>
              <w:marTop w:val="0"/>
              <w:marBottom w:val="0"/>
              <w:divBdr>
                <w:top w:val="none" w:sz="0" w:space="0" w:color="auto"/>
                <w:left w:val="none" w:sz="0" w:space="0" w:color="auto"/>
                <w:bottom w:val="none" w:sz="0" w:space="0" w:color="auto"/>
                <w:right w:val="none" w:sz="0" w:space="0" w:color="auto"/>
              </w:divBdr>
              <w:divsChild>
                <w:div w:id="111175327">
                  <w:marLeft w:val="0"/>
                  <w:marRight w:val="0"/>
                  <w:marTop w:val="0"/>
                  <w:marBottom w:val="0"/>
                  <w:divBdr>
                    <w:top w:val="none" w:sz="0" w:space="0" w:color="auto"/>
                    <w:left w:val="none" w:sz="0" w:space="0" w:color="auto"/>
                    <w:bottom w:val="none" w:sz="0" w:space="0" w:color="auto"/>
                    <w:right w:val="none" w:sz="0" w:space="0" w:color="auto"/>
                  </w:divBdr>
                  <w:divsChild>
                    <w:div w:id="661202883">
                      <w:marLeft w:val="0"/>
                      <w:marRight w:val="0"/>
                      <w:marTop w:val="0"/>
                      <w:marBottom w:val="0"/>
                      <w:divBdr>
                        <w:top w:val="none" w:sz="0" w:space="0" w:color="auto"/>
                        <w:left w:val="none" w:sz="0" w:space="0" w:color="auto"/>
                        <w:bottom w:val="none" w:sz="0" w:space="0" w:color="auto"/>
                        <w:right w:val="none" w:sz="0" w:space="0" w:color="auto"/>
                      </w:divBdr>
                      <w:divsChild>
                        <w:div w:id="455409722">
                          <w:marLeft w:val="0"/>
                          <w:marRight w:val="0"/>
                          <w:marTop w:val="0"/>
                          <w:marBottom w:val="0"/>
                          <w:divBdr>
                            <w:top w:val="none" w:sz="0" w:space="0" w:color="auto"/>
                            <w:left w:val="none" w:sz="0" w:space="0" w:color="auto"/>
                            <w:bottom w:val="none" w:sz="0" w:space="0" w:color="auto"/>
                            <w:right w:val="none" w:sz="0" w:space="0" w:color="auto"/>
                          </w:divBdr>
                          <w:divsChild>
                            <w:div w:id="460466757">
                              <w:marLeft w:val="0"/>
                              <w:marRight w:val="0"/>
                              <w:marTop w:val="0"/>
                              <w:marBottom w:val="0"/>
                              <w:divBdr>
                                <w:top w:val="none" w:sz="0" w:space="0" w:color="auto"/>
                                <w:left w:val="none" w:sz="0" w:space="0" w:color="auto"/>
                                <w:bottom w:val="none" w:sz="0" w:space="0" w:color="auto"/>
                                <w:right w:val="none" w:sz="0" w:space="0" w:color="auto"/>
                              </w:divBdr>
                              <w:divsChild>
                                <w:div w:id="981420555">
                                  <w:marLeft w:val="0"/>
                                  <w:marRight w:val="0"/>
                                  <w:marTop w:val="0"/>
                                  <w:marBottom w:val="0"/>
                                  <w:divBdr>
                                    <w:top w:val="none" w:sz="0" w:space="0" w:color="auto"/>
                                    <w:left w:val="none" w:sz="0" w:space="0" w:color="auto"/>
                                    <w:bottom w:val="none" w:sz="0" w:space="0" w:color="auto"/>
                                    <w:right w:val="none" w:sz="0" w:space="0" w:color="auto"/>
                                  </w:divBdr>
                                  <w:divsChild>
                                    <w:div w:id="988439490">
                                      <w:marLeft w:val="0"/>
                                      <w:marRight w:val="0"/>
                                      <w:marTop w:val="0"/>
                                      <w:marBottom w:val="0"/>
                                      <w:divBdr>
                                        <w:top w:val="none" w:sz="0" w:space="0" w:color="auto"/>
                                        <w:left w:val="none" w:sz="0" w:space="0" w:color="auto"/>
                                        <w:bottom w:val="none" w:sz="0" w:space="0" w:color="auto"/>
                                        <w:right w:val="none" w:sz="0" w:space="0" w:color="auto"/>
                                      </w:divBdr>
                                      <w:divsChild>
                                        <w:div w:id="1639995103">
                                          <w:marLeft w:val="0"/>
                                          <w:marRight w:val="0"/>
                                          <w:marTop w:val="0"/>
                                          <w:marBottom w:val="0"/>
                                          <w:divBdr>
                                            <w:top w:val="none" w:sz="0" w:space="0" w:color="auto"/>
                                            <w:left w:val="none" w:sz="0" w:space="0" w:color="auto"/>
                                            <w:bottom w:val="none" w:sz="0" w:space="0" w:color="auto"/>
                                            <w:right w:val="none" w:sz="0" w:space="0" w:color="auto"/>
                                          </w:divBdr>
                                          <w:divsChild>
                                            <w:div w:id="209196686">
                                              <w:marLeft w:val="3444"/>
                                              <w:marRight w:val="0"/>
                                              <w:marTop w:val="0"/>
                                              <w:marBottom w:val="0"/>
                                              <w:divBdr>
                                                <w:top w:val="single" w:sz="4" w:space="0" w:color="D2D5D7"/>
                                                <w:left w:val="single" w:sz="4" w:space="0" w:color="D2D5D7"/>
                                                <w:bottom w:val="none" w:sz="0" w:space="0" w:color="auto"/>
                                                <w:right w:val="single" w:sz="4" w:space="0" w:color="D2D5D7"/>
                                              </w:divBdr>
                                              <w:divsChild>
                                                <w:div w:id="526454729">
                                                  <w:marLeft w:val="0"/>
                                                  <w:marRight w:val="0"/>
                                                  <w:marTop w:val="0"/>
                                                  <w:marBottom w:val="0"/>
                                                  <w:divBdr>
                                                    <w:top w:val="none" w:sz="0" w:space="0" w:color="auto"/>
                                                    <w:left w:val="none" w:sz="0" w:space="0" w:color="auto"/>
                                                    <w:bottom w:val="none" w:sz="0" w:space="0" w:color="auto"/>
                                                    <w:right w:val="none" w:sz="0" w:space="0" w:color="auto"/>
                                                  </w:divBdr>
                                                  <w:divsChild>
                                                    <w:div w:id="1763598063">
                                                      <w:marLeft w:val="0"/>
                                                      <w:marRight w:val="0"/>
                                                      <w:marTop w:val="0"/>
                                                      <w:marBottom w:val="0"/>
                                                      <w:divBdr>
                                                        <w:top w:val="none" w:sz="0" w:space="0" w:color="auto"/>
                                                        <w:left w:val="none" w:sz="0" w:space="0" w:color="auto"/>
                                                        <w:bottom w:val="none" w:sz="0" w:space="0" w:color="auto"/>
                                                        <w:right w:val="none" w:sz="0" w:space="0" w:color="auto"/>
                                                      </w:divBdr>
                                                      <w:divsChild>
                                                        <w:div w:id="480998861">
                                                          <w:marLeft w:val="0"/>
                                                          <w:marRight w:val="0"/>
                                                          <w:marTop w:val="0"/>
                                                          <w:marBottom w:val="0"/>
                                                          <w:divBdr>
                                                            <w:top w:val="none" w:sz="0" w:space="0" w:color="auto"/>
                                                            <w:left w:val="none" w:sz="0" w:space="0" w:color="auto"/>
                                                            <w:bottom w:val="none" w:sz="0" w:space="0" w:color="auto"/>
                                                            <w:right w:val="none" w:sz="0" w:space="0" w:color="auto"/>
                                                          </w:divBdr>
                                                          <w:divsChild>
                                                            <w:div w:id="670792850">
                                                              <w:marLeft w:val="0"/>
                                                              <w:marRight w:val="0"/>
                                                              <w:marTop w:val="0"/>
                                                              <w:marBottom w:val="0"/>
                                                              <w:divBdr>
                                                                <w:top w:val="none" w:sz="0" w:space="0" w:color="auto"/>
                                                                <w:left w:val="none" w:sz="0" w:space="0" w:color="auto"/>
                                                                <w:bottom w:val="none" w:sz="0" w:space="0" w:color="auto"/>
                                                                <w:right w:val="none" w:sz="0" w:space="0" w:color="auto"/>
                                                              </w:divBdr>
                                                              <w:divsChild>
                                                                <w:div w:id="377050729">
                                                                  <w:marLeft w:val="0"/>
                                                                  <w:marRight w:val="0"/>
                                                                  <w:marTop w:val="0"/>
                                                                  <w:marBottom w:val="0"/>
                                                                  <w:divBdr>
                                                                    <w:top w:val="none" w:sz="0" w:space="0" w:color="auto"/>
                                                                    <w:left w:val="none" w:sz="0" w:space="0" w:color="auto"/>
                                                                    <w:bottom w:val="none" w:sz="0" w:space="0" w:color="auto"/>
                                                                    <w:right w:val="none" w:sz="0" w:space="0" w:color="auto"/>
                                                                  </w:divBdr>
                                                                  <w:divsChild>
                                                                    <w:div w:id="859466680">
                                                                      <w:marLeft w:val="0"/>
                                                                      <w:marRight w:val="0"/>
                                                                      <w:marTop w:val="0"/>
                                                                      <w:marBottom w:val="0"/>
                                                                      <w:divBdr>
                                                                        <w:top w:val="none" w:sz="0" w:space="0" w:color="auto"/>
                                                                        <w:left w:val="none" w:sz="0" w:space="0" w:color="auto"/>
                                                                        <w:bottom w:val="none" w:sz="0" w:space="0" w:color="auto"/>
                                                                        <w:right w:val="none" w:sz="0" w:space="0" w:color="auto"/>
                                                                      </w:divBdr>
                                                                      <w:divsChild>
                                                                        <w:div w:id="377171604">
                                                                          <w:marLeft w:val="0"/>
                                                                          <w:marRight w:val="0"/>
                                                                          <w:marTop w:val="0"/>
                                                                          <w:marBottom w:val="0"/>
                                                                          <w:divBdr>
                                                                            <w:top w:val="none" w:sz="0" w:space="0" w:color="auto"/>
                                                                            <w:left w:val="none" w:sz="0" w:space="0" w:color="auto"/>
                                                                            <w:bottom w:val="none" w:sz="0" w:space="0" w:color="auto"/>
                                                                            <w:right w:val="none" w:sz="0" w:space="0" w:color="auto"/>
                                                                          </w:divBdr>
                                                                        </w:div>
                                                                        <w:div w:id="434906519">
                                                                          <w:marLeft w:val="0"/>
                                                                          <w:marRight w:val="0"/>
                                                                          <w:marTop w:val="0"/>
                                                                          <w:marBottom w:val="0"/>
                                                                          <w:divBdr>
                                                                            <w:top w:val="none" w:sz="0" w:space="0" w:color="auto"/>
                                                                            <w:left w:val="none" w:sz="0" w:space="0" w:color="auto"/>
                                                                            <w:bottom w:val="none" w:sz="0" w:space="0" w:color="auto"/>
                                                                            <w:right w:val="none" w:sz="0" w:space="0" w:color="auto"/>
                                                                          </w:divBdr>
                                                                        </w:div>
                                                                        <w:div w:id="465203978">
                                                                          <w:marLeft w:val="0"/>
                                                                          <w:marRight w:val="0"/>
                                                                          <w:marTop w:val="0"/>
                                                                          <w:marBottom w:val="0"/>
                                                                          <w:divBdr>
                                                                            <w:top w:val="none" w:sz="0" w:space="0" w:color="auto"/>
                                                                            <w:left w:val="none" w:sz="0" w:space="0" w:color="auto"/>
                                                                            <w:bottom w:val="none" w:sz="0" w:space="0" w:color="auto"/>
                                                                            <w:right w:val="none" w:sz="0" w:space="0" w:color="auto"/>
                                                                          </w:divBdr>
                                                                          <w:divsChild>
                                                                            <w:div w:id="124665785">
                                                                              <w:marLeft w:val="0"/>
                                                                              <w:marRight w:val="0"/>
                                                                              <w:marTop w:val="0"/>
                                                                              <w:marBottom w:val="0"/>
                                                                              <w:divBdr>
                                                                                <w:top w:val="none" w:sz="0" w:space="0" w:color="auto"/>
                                                                                <w:left w:val="none" w:sz="0" w:space="0" w:color="auto"/>
                                                                                <w:bottom w:val="none" w:sz="0" w:space="0" w:color="auto"/>
                                                                                <w:right w:val="none" w:sz="0" w:space="0" w:color="auto"/>
                                                                              </w:divBdr>
                                                                            </w:div>
                                                                            <w:div w:id="173539839">
                                                                              <w:marLeft w:val="0"/>
                                                                              <w:marRight w:val="0"/>
                                                                              <w:marTop w:val="0"/>
                                                                              <w:marBottom w:val="0"/>
                                                                              <w:divBdr>
                                                                                <w:top w:val="none" w:sz="0" w:space="0" w:color="auto"/>
                                                                                <w:left w:val="none" w:sz="0" w:space="0" w:color="auto"/>
                                                                                <w:bottom w:val="none" w:sz="0" w:space="0" w:color="auto"/>
                                                                                <w:right w:val="none" w:sz="0" w:space="0" w:color="auto"/>
                                                                              </w:divBdr>
                                                                            </w:div>
                                                                            <w:div w:id="546382327">
                                                                              <w:marLeft w:val="0"/>
                                                                              <w:marRight w:val="0"/>
                                                                              <w:marTop w:val="0"/>
                                                                              <w:marBottom w:val="0"/>
                                                                              <w:divBdr>
                                                                                <w:top w:val="none" w:sz="0" w:space="0" w:color="auto"/>
                                                                                <w:left w:val="none" w:sz="0" w:space="0" w:color="auto"/>
                                                                                <w:bottom w:val="none" w:sz="0" w:space="0" w:color="auto"/>
                                                                                <w:right w:val="none" w:sz="0" w:space="0" w:color="auto"/>
                                                                              </w:divBdr>
                                                                            </w:div>
                                                                            <w:div w:id="608047993">
                                                                              <w:marLeft w:val="0"/>
                                                                              <w:marRight w:val="0"/>
                                                                              <w:marTop w:val="0"/>
                                                                              <w:marBottom w:val="0"/>
                                                                              <w:divBdr>
                                                                                <w:top w:val="none" w:sz="0" w:space="0" w:color="auto"/>
                                                                                <w:left w:val="none" w:sz="0" w:space="0" w:color="auto"/>
                                                                                <w:bottom w:val="none" w:sz="0" w:space="0" w:color="auto"/>
                                                                                <w:right w:val="none" w:sz="0" w:space="0" w:color="auto"/>
                                                                              </w:divBdr>
                                                                            </w:div>
                                                                            <w:div w:id="787092767">
                                                                              <w:marLeft w:val="0"/>
                                                                              <w:marRight w:val="0"/>
                                                                              <w:marTop w:val="0"/>
                                                                              <w:marBottom w:val="0"/>
                                                                              <w:divBdr>
                                                                                <w:top w:val="none" w:sz="0" w:space="0" w:color="auto"/>
                                                                                <w:left w:val="none" w:sz="0" w:space="0" w:color="auto"/>
                                                                                <w:bottom w:val="none" w:sz="0" w:space="0" w:color="auto"/>
                                                                                <w:right w:val="none" w:sz="0" w:space="0" w:color="auto"/>
                                                                              </w:divBdr>
                                                                            </w:div>
                                                                            <w:div w:id="1196692319">
                                                                              <w:marLeft w:val="0"/>
                                                                              <w:marRight w:val="0"/>
                                                                              <w:marTop w:val="0"/>
                                                                              <w:marBottom w:val="0"/>
                                                                              <w:divBdr>
                                                                                <w:top w:val="none" w:sz="0" w:space="0" w:color="auto"/>
                                                                                <w:left w:val="none" w:sz="0" w:space="0" w:color="auto"/>
                                                                                <w:bottom w:val="none" w:sz="0" w:space="0" w:color="auto"/>
                                                                                <w:right w:val="none" w:sz="0" w:space="0" w:color="auto"/>
                                                                              </w:divBdr>
                                                                            </w:div>
                                                                            <w:div w:id="1307203658">
                                                                              <w:marLeft w:val="0"/>
                                                                              <w:marRight w:val="0"/>
                                                                              <w:marTop w:val="0"/>
                                                                              <w:marBottom w:val="0"/>
                                                                              <w:divBdr>
                                                                                <w:top w:val="none" w:sz="0" w:space="0" w:color="auto"/>
                                                                                <w:left w:val="none" w:sz="0" w:space="0" w:color="auto"/>
                                                                                <w:bottom w:val="none" w:sz="0" w:space="0" w:color="auto"/>
                                                                                <w:right w:val="none" w:sz="0" w:space="0" w:color="auto"/>
                                                                              </w:divBdr>
                                                                            </w:div>
                                                                            <w:div w:id="1318726222">
                                                                              <w:marLeft w:val="0"/>
                                                                              <w:marRight w:val="0"/>
                                                                              <w:marTop w:val="0"/>
                                                                              <w:marBottom w:val="0"/>
                                                                              <w:divBdr>
                                                                                <w:top w:val="none" w:sz="0" w:space="0" w:color="auto"/>
                                                                                <w:left w:val="none" w:sz="0" w:space="0" w:color="auto"/>
                                                                                <w:bottom w:val="none" w:sz="0" w:space="0" w:color="auto"/>
                                                                                <w:right w:val="none" w:sz="0" w:space="0" w:color="auto"/>
                                                                              </w:divBdr>
                                                                            </w:div>
                                                                            <w:div w:id="1570967475">
                                                                              <w:marLeft w:val="0"/>
                                                                              <w:marRight w:val="0"/>
                                                                              <w:marTop w:val="0"/>
                                                                              <w:marBottom w:val="0"/>
                                                                              <w:divBdr>
                                                                                <w:top w:val="none" w:sz="0" w:space="0" w:color="auto"/>
                                                                                <w:left w:val="none" w:sz="0" w:space="0" w:color="auto"/>
                                                                                <w:bottom w:val="none" w:sz="0" w:space="0" w:color="auto"/>
                                                                                <w:right w:val="none" w:sz="0" w:space="0" w:color="auto"/>
                                                                              </w:divBdr>
                                                                            </w:div>
                                                                            <w:div w:id="1718779431">
                                                                              <w:marLeft w:val="0"/>
                                                                              <w:marRight w:val="0"/>
                                                                              <w:marTop w:val="0"/>
                                                                              <w:marBottom w:val="0"/>
                                                                              <w:divBdr>
                                                                                <w:top w:val="none" w:sz="0" w:space="0" w:color="auto"/>
                                                                                <w:left w:val="none" w:sz="0" w:space="0" w:color="auto"/>
                                                                                <w:bottom w:val="none" w:sz="0" w:space="0" w:color="auto"/>
                                                                                <w:right w:val="none" w:sz="0" w:space="0" w:color="auto"/>
                                                                              </w:divBdr>
                                                                            </w:div>
                                                                          </w:divsChild>
                                                                        </w:div>
                                                                        <w:div w:id="496843513">
                                                                          <w:marLeft w:val="0"/>
                                                                          <w:marRight w:val="0"/>
                                                                          <w:marTop w:val="0"/>
                                                                          <w:marBottom w:val="0"/>
                                                                          <w:divBdr>
                                                                            <w:top w:val="none" w:sz="0" w:space="0" w:color="auto"/>
                                                                            <w:left w:val="none" w:sz="0" w:space="0" w:color="auto"/>
                                                                            <w:bottom w:val="none" w:sz="0" w:space="0" w:color="auto"/>
                                                                            <w:right w:val="none" w:sz="0" w:space="0" w:color="auto"/>
                                                                          </w:divBdr>
                                                                          <w:divsChild>
                                                                            <w:div w:id="525675040">
                                                                              <w:marLeft w:val="0"/>
                                                                              <w:marRight w:val="0"/>
                                                                              <w:marTop w:val="0"/>
                                                                              <w:marBottom w:val="0"/>
                                                                              <w:divBdr>
                                                                                <w:top w:val="none" w:sz="0" w:space="0" w:color="auto"/>
                                                                                <w:left w:val="none" w:sz="0" w:space="0" w:color="auto"/>
                                                                                <w:bottom w:val="none" w:sz="0" w:space="0" w:color="auto"/>
                                                                                <w:right w:val="none" w:sz="0" w:space="0" w:color="auto"/>
                                                                              </w:divBdr>
                                                                            </w:div>
                                                                            <w:div w:id="615411299">
                                                                              <w:marLeft w:val="0"/>
                                                                              <w:marRight w:val="0"/>
                                                                              <w:marTop w:val="0"/>
                                                                              <w:marBottom w:val="0"/>
                                                                              <w:divBdr>
                                                                                <w:top w:val="none" w:sz="0" w:space="0" w:color="auto"/>
                                                                                <w:left w:val="none" w:sz="0" w:space="0" w:color="auto"/>
                                                                                <w:bottom w:val="none" w:sz="0" w:space="0" w:color="auto"/>
                                                                                <w:right w:val="none" w:sz="0" w:space="0" w:color="auto"/>
                                                                              </w:divBdr>
                                                                            </w:div>
                                                                            <w:div w:id="693462070">
                                                                              <w:marLeft w:val="0"/>
                                                                              <w:marRight w:val="0"/>
                                                                              <w:marTop w:val="0"/>
                                                                              <w:marBottom w:val="0"/>
                                                                              <w:divBdr>
                                                                                <w:top w:val="none" w:sz="0" w:space="0" w:color="auto"/>
                                                                                <w:left w:val="none" w:sz="0" w:space="0" w:color="auto"/>
                                                                                <w:bottom w:val="none" w:sz="0" w:space="0" w:color="auto"/>
                                                                                <w:right w:val="none" w:sz="0" w:space="0" w:color="auto"/>
                                                                              </w:divBdr>
                                                                            </w:div>
                                                                            <w:div w:id="861937180">
                                                                              <w:marLeft w:val="0"/>
                                                                              <w:marRight w:val="0"/>
                                                                              <w:marTop w:val="0"/>
                                                                              <w:marBottom w:val="0"/>
                                                                              <w:divBdr>
                                                                                <w:top w:val="none" w:sz="0" w:space="0" w:color="auto"/>
                                                                                <w:left w:val="none" w:sz="0" w:space="0" w:color="auto"/>
                                                                                <w:bottom w:val="none" w:sz="0" w:space="0" w:color="auto"/>
                                                                                <w:right w:val="none" w:sz="0" w:space="0" w:color="auto"/>
                                                                              </w:divBdr>
                                                                            </w:div>
                                                                            <w:div w:id="1142039399">
                                                                              <w:marLeft w:val="0"/>
                                                                              <w:marRight w:val="0"/>
                                                                              <w:marTop w:val="0"/>
                                                                              <w:marBottom w:val="0"/>
                                                                              <w:divBdr>
                                                                                <w:top w:val="none" w:sz="0" w:space="0" w:color="auto"/>
                                                                                <w:left w:val="none" w:sz="0" w:space="0" w:color="auto"/>
                                                                                <w:bottom w:val="none" w:sz="0" w:space="0" w:color="auto"/>
                                                                                <w:right w:val="none" w:sz="0" w:space="0" w:color="auto"/>
                                                                              </w:divBdr>
                                                                            </w:div>
                                                                            <w:div w:id="1369645363">
                                                                              <w:marLeft w:val="0"/>
                                                                              <w:marRight w:val="0"/>
                                                                              <w:marTop w:val="0"/>
                                                                              <w:marBottom w:val="0"/>
                                                                              <w:divBdr>
                                                                                <w:top w:val="none" w:sz="0" w:space="0" w:color="auto"/>
                                                                                <w:left w:val="none" w:sz="0" w:space="0" w:color="auto"/>
                                                                                <w:bottom w:val="none" w:sz="0" w:space="0" w:color="auto"/>
                                                                                <w:right w:val="none" w:sz="0" w:space="0" w:color="auto"/>
                                                                              </w:divBdr>
                                                                            </w:div>
                                                                            <w:div w:id="1971207419">
                                                                              <w:marLeft w:val="0"/>
                                                                              <w:marRight w:val="0"/>
                                                                              <w:marTop w:val="0"/>
                                                                              <w:marBottom w:val="0"/>
                                                                              <w:divBdr>
                                                                                <w:top w:val="none" w:sz="0" w:space="0" w:color="auto"/>
                                                                                <w:left w:val="none" w:sz="0" w:space="0" w:color="auto"/>
                                                                                <w:bottom w:val="none" w:sz="0" w:space="0" w:color="auto"/>
                                                                                <w:right w:val="none" w:sz="0" w:space="0" w:color="auto"/>
                                                                              </w:divBdr>
                                                                            </w:div>
                                                                            <w:div w:id="2082092849">
                                                                              <w:marLeft w:val="0"/>
                                                                              <w:marRight w:val="0"/>
                                                                              <w:marTop w:val="0"/>
                                                                              <w:marBottom w:val="0"/>
                                                                              <w:divBdr>
                                                                                <w:top w:val="none" w:sz="0" w:space="0" w:color="auto"/>
                                                                                <w:left w:val="none" w:sz="0" w:space="0" w:color="auto"/>
                                                                                <w:bottom w:val="none" w:sz="0" w:space="0" w:color="auto"/>
                                                                                <w:right w:val="none" w:sz="0" w:space="0" w:color="auto"/>
                                                                              </w:divBdr>
                                                                            </w:div>
                                                                          </w:divsChild>
                                                                        </w:div>
                                                                        <w:div w:id="649020978">
                                                                          <w:marLeft w:val="0"/>
                                                                          <w:marRight w:val="0"/>
                                                                          <w:marTop w:val="0"/>
                                                                          <w:marBottom w:val="0"/>
                                                                          <w:divBdr>
                                                                            <w:top w:val="none" w:sz="0" w:space="0" w:color="auto"/>
                                                                            <w:left w:val="none" w:sz="0" w:space="0" w:color="auto"/>
                                                                            <w:bottom w:val="none" w:sz="0" w:space="0" w:color="auto"/>
                                                                            <w:right w:val="none" w:sz="0" w:space="0" w:color="auto"/>
                                                                          </w:divBdr>
                                                                        </w:div>
                                                                        <w:div w:id="1571964000">
                                                                          <w:marLeft w:val="0"/>
                                                                          <w:marRight w:val="0"/>
                                                                          <w:marTop w:val="0"/>
                                                                          <w:marBottom w:val="0"/>
                                                                          <w:divBdr>
                                                                            <w:top w:val="none" w:sz="0" w:space="0" w:color="auto"/>
                                                                            <w:left w:val="none" w:sz="0" w:space="0" w:color="auto"/>
                                                                            <w:bottom w:val="none" w:sz="0" w:space="0" w:color="auto"/>
                                                                            <w:right w:val="none" w:sz="0" w:space="0" w:color="auto"/>
                                                                          </w:divBdr>
                                                                          <w:divsChild>
                                                                            <w:div w:id="128983582">
                                                                              <w:marLeft w:val="0"/>
                                                                              <w:marRight w:val="0"/>
                                                                              <w:marTop w:val="0"/>
                                                                              <w:marBottom w:val="0"/>
                                                                              <w:divBdr>
                                                                                <w:top w:val="none" w:sz="0" w:space="0" w:color="auto"/>
                                                                                <w:left w:val="none" w:sz="0" w:space="0" w:color="auto"/>
                                                                                <w:bottom w:val="none" w:sz="0" w:space="0" w:color="auto"/>
                                                                                <w:right w:val="none" w:sz="0" w:space="0" w:color="auto"/>
                                                                              </w:divBdr>
                                                                            </w:div>
                                                                            <w:div w:id="605890910">
                                                                              <w:marLeft w:val="0"/>
                                                                              <w:marRight w:val="0"/>
                                                                              <w:marTop w:val="0"/>
                                                                              <w:marBottom w:val="0"/>
                                                                              <w:divBdr>
                                                                                <w:top w:val="none" w:sz="0" w:space="0" w:color="auto"/>
                                                                                <w:left w:val="none" w:sz="0" w:space="0" w:color="auto"/>
                                                                                <w:bottom w:val="none" w:sz="0" w:space="0" w:color="auto"/>
                                                                                <w:right w:val="none" w:sz="0" w:space="0" w:color="auto"/>
                                                                              </w:divBdr>
                                                                            </w:div>
                                                                            <w:div w:id="1464076449">
                                                                              <w:marLeft w:val="0"/>
                                                                              <w:marRight w:val="0"/>
                                                                              <w:marTop w:val="0"/>
                                                                              <w:marBottom w:val="0"/>
                                                                              <w:divBdr>
                                                                                <w:top w:val="none" w:sz="0" w:space="0" w:color="auto"/>
                                                                                <w:left w:val="none" w:sz="0" w:space="0" w:color="auto"/>
                                                                                <w:bottom w:val="none" w:sz="0" w:space="0" w:color="auto"/>
                                                                                <w:right w:val="none" w:sz="0" w:space="0" w:color="auto"/>
                                                                              </w:divBdr>
                                                                            </w:div>
                                                                            <w:div w:id="2134980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7252371">
      <w:bodyDiv w:val="1"/>
      <w:marLeft w:val="0"/>
      <w:marRight w:val="0"/>
      <w:marTop w:val="0"/>
      <w:marBottom w:val="0"/>
      <w:divBdr>
        <w:top w:val="none" w:sz="0" w:space="0" w:color="auto"/>
        <w:left w:val="none" w:sz="0" w:space="0" w:color="auto"/>
        <w:bottom w:val="none" w:sz="0" w:space="0" w:color="auto"/>
        <w:right w:val="none" w:sz="0" w:space="0" w:color="auto"/>
      </w:divBdr>
    </w:div>
    <w:div w:id="1568177776">
      <w:bodyDiv w:val="1"/>
      <w:marLeft w:val="0"/>
      <w:marRight w:val="0"/>
      <w:marTop w:val="0"/>
      <w:marBottom w:val="0"/>
      <w:divBdr>
        <w:top w:val="none" w:sz="0" w:space="0" w:color="auto"/>
        <w:left w:val="none" w:sz="0" w:space="0" w:color="auto"/>
        <w:bottom w:val="none" w:sz="0" w:space="0" w:color="auto"/>
        <w:right w:val="none" w:sz="0" w:space="0" w:color="auto"/>
      </w:divBdr>
    </w:div>
    <w:div w:id="1576814896">
      <w:bodyDiv w:val="1"/>
      <w:marLeft w:val="0"/>
      <w:marRight w:val="0"/>
      <w:marTop w:val="0"/>
      <w:marBottom w:val="0"/>
      <w:divBdr>
        <w:top w:val="none" w:sz="0" w:space="0" w:color="auto"/>
        <w:left w:val="none" w:sz="0" w:space="0" w:color="auto"/>
        <w:bottom w:val="none" w:sz="0" w:space="0" w:color="auto"/>
        <w:right w:val="none" w:sz="0" w:space="0" w:color="auto"/>
      </w:divBdr>
    </w:div>
    <w:div w:id="1577595697">
      <w:bodyDiv w:val="1"/>
      <w:marLeft w:val="0"/>
      <w:marRight w:val="0"/>
      <w:marTop w:val="0"/>
      <w:marBottom w:val="0"/>
      <w:divBdr>
        <w:top w:val="none" w:sz="0" w:space="0" w:color="auto"/>
        <w:left w:val="none" w:sz="0" w:space="0" w:color="auto"/>
        <w:bottom w:val="none" w:sz="0" w:space="0" w:color="auto"/>
        <w:right w:val="none" w:sz="0" w:space="0" w:color="auto"/>
      </w:divBdr>
    </w:div>
    <w:div w:id="1622568909">
      <w:bodyDiv w:val="1"/>
      <w:marLeft w:val="0"/>
      <w:marRight w:val="0"/>
      <w:marTop w:val="0"/>
      <w:marBottom w:val="0"/>
      <w:divBdr>
        <w:top w:val="none" w:sz="0" w:space="0" w:color="auto"/>
        <w:left w:val="none" w:sz="0" w:space="0" w:color="auto"/>
        <w:bottom w:val="none" w:sz="0" w:space="0" w:color="auto"/>
        <w:right w:val="none" w:sz="0" w:space="0" w:color="auto"/>
      </w:divBdr>
    </w:div>
    <w:div w:id="1661612841">
      <w:bodyDiv w:val="1"/>
      <w:marLeft w:val="0"/>
      <w:marRight w:val="0"/>
      <w:marTop w:val="0"/>
      <w:marBottom w:val="0"/>
      <w:divBdr>
        <w:top w:val="none" w:sz="0" w:space="0" w:color="auto"/>
        <w:left w:val="none" w:sz="0" w:space="0" w:color="auto"/>
        <w:bottom w:val="none" w:sz="0" w:space="0" w:color="auto"/>
        <w:right w:val="none" w:sz="0" w:space="0" w:color="auto"/>
      </w:divBdr>
      <w:divsChild>
        <w:div w:id="24986541">
          <w:marLeft w:val="0"/>
          <w:marRight w:val="0"/>
          <w:marTop w:val="0"/>
          <w:marBottom w:val="0"/>
          <w:divBdr>
            <w:top w:val="none" w:sz="0" w:space="0" w:color="auto"/>
            <w:left w:val="none" w:sz="0" w:space="0" w:color="auto"/>
            <w:bottom w:val="none" w:sz="0" w:space="0" w:color="auto"/>
            <w:right w:val="none" w:sz="0" w:space="0" w:color="auto"/>
          </w:divBdr>
        </w:div>
        <w:div w:id="488256921">
          <w:marLeft w:val="0"/>
          <w:marRight w:val="0"/>
          <w:marTop w:val="0"/>
          <w:marBottom w:val="0"/>
          <w:divBdr>
            <w:top w:val="none" w:sz="0" w:space="0" w:color="auto"/>
            <w:left w:val="none" w:sz="0" w:space="0" w:color="auto"/>
            <w:bottom w:val="none" w:sz="0" w:space="0" w:color="auto"/>
            <w:right w:val="none" w:sz="0" w:space="0" w:color="auto"/>
          </w:divBdr>
          <w:divsChild>
            <w:div w:id="2146192637">
              <w:marLeft w:val="0"/>
              <w:marRight w:val="0"/>
              <w:marTop w:val="30"/>
              <w:marBottom w:val="30"/>
              <w:divBdr>
                <w:top w:val="none" w:sz="0" w:space="0" w:color="auto"/>
                <w:left w:val="none" w:sz="0" w:space="0" w:color="auto"/>
                <w:bottom w:val="none" w:sz="0" w:space="0" w:color="auto"/>
                <w:right w:val="none" w:sz="0" w:space="0" w:color="auto"/>
              </w:divBdr>
              <w:divsChild>
                <w:div w:id="205259350">
                  <w:marLeft w:val="0"/>
                  <w:marRight w:val="0"/>
                  <w:marTop w:val="0"/>
                  <w:marBottom w:val="0"/>
                  <w:divBdr>
                    <w:top w:val="none" w:sz="0" w:space="0" w:color="auto"/>
                    <w:left w:val="none" w:sz="0" w:space="0" w:color="auto"/>
                    <w:bottom w:val="none" w:sz="0" w:space="0" w:color="auto"/>
                    <w:right w:val="none" w:sz="0" w:space="0" w:color="auto"/>
                  </w:divBdr>
                  <w:divsChild>
                    <w:div w:id="1288317972">
                      <w:marLeft w:val="0"/>
                      <w:marRight w:val="0"/>
                      <w:marTop w:val="0"/>
                      <w:marBottom w:val="0"/>
                      <w:divBdr>
                        <w:top w:val="none" w:sz="0" w:space="0" w:color="auto"/>
                        <w:left w:val="none" w:sz="0" w:space="0" w:color="auto"/>
                        <w:bottom w:val="none" w:sz="0" w:space="0" w:color="auto"/>
                        <w:right w:val="none" w:sz="0" w:space="0" w:color="auto"/>
                      </w:divBdr>
                    </w:div>
                  </w:divsChild>
                </w:div>
                <w:div w:id="947349939">
                  <w:marLeft w:val="0"/>
                  <w:marRight w:val="0"/>
                  <w:marTop w:val="0"/>
                  <w:marBottom w:val="0"/>
                  <w:divBdr>
                    <w:top w:val="none" w:sz="0" w:space="0" w:color="auto"/>
                    <w:left w:val="none" w:sz="0" w:space="0" w:color="auto"/>
                    <w:bottom w:val="none" w:sz="0" w:space="0" w:color="auto"/>
                    <w:right w:val="none" w:sz="0" w:space="0" w:color="auto"/>
                  </w:divBdr>
                  <w:divsChild>
                    <w:div w:id="735208620">
                      <w:marLeft w:val="0"/>
                      <w:marRight w:val="0"/>
                      <w:marTop w:val="0"/>
                      <w:marBottom w:val="0"/>
                      <w:divBdr>
                        <w:top w:val="none" w:sz="0" w:space="0" w:color="auto"/>
                        <w:left w:val="none" w:sz="0" w:space="0" w:color="auto"/>
                        <w:bottom w:val="none" w:sz="0" w:space="0" w:color="auto"/>
                        <w:right w:val="none" w:sz="0" w:space="0" w:color="auto"/>
                      </w:divBdr>
                    </w:div>
                  </w:divsChild>
                </w:div>
                <w:div w:id="1097755873">
                  <w:marLeft w:val="0"/>
                  <w:marRight w:val="0"/>
                  <w:marTop w:val="0"/>
                  <w:marBottom w:val="0"/>
                  <w:divBdr>
                    <w:top w:val="none" w:sz="0" w:space="0" w:color="auto"/>
                    <w:left w:val="none" w:sz="0" w:space="0" w:color="auto"/>
                    <w:bottom w:val="none" w:sz="0" w:space="0" w:color="auto"/>
                    <w:right w:val="none" w:sz="0" w:space="0" w:color="auto"/>
                  </w:divBdr>
                  <w:divsChild>
                    <w:div w:id="714433198">
                      <w:marLeft w:val="0"/>
                      <w:marRight w:val="0"/>
                      <w:marTop w:val="0"/>
                      <w:marBottom w:val="0"/>
                      <w:divBdr>
                        <w:top w:val="none" w:sz="0" w:space="0" w:color="auto"/>
                        <w:left w:val="none" w:sz="0" w:space="0" w:color="auto"/>
                        <w:bottom w:val="none" w:sz="0" w:space="0" w:color="auto"/>
                        <w:right w:val="none" w:sz="0" w:space="0" w:color="auto"/>
                      </w:divBdr>
                    </w:div>
                  </w:divsChild>
                </w:div>
                <w:div w:id="1738549616">
                  <w:marLeft w:val="0"/>
                  <w:marRight w:val="0"/>
                  <w:marTop w:val="0"/>
                  <w:marBottom w:val="0"/>
                  <w:divBdr>
                    <w:top w:val="none" w:sz="0" w:space="0" w:color="auto"/>
                    <w:left w:val="none" w:sz="0" w:space="0" w:color="auto"/>
                    <w:bottom w:val="none" w:sz="0" w:space="0" w:color="auto"/>
                    <w:right w:val="none" w:sz="0" w:space="0" w:color="auto"/>
                  </w:divBdr>
                  <w:divsChild>
                    <w:div w:id="170151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480977">
          <w:marLeft w:val="0"/>
          <w:marRight w:val="0"/>
          <w:marTop w:val="0"/>
          <w:marBottom w:val="0"/>
          <w:divBdr>
            <w:top w:val="none" w:sz="0" w:space="0" w:color="auto"/>
            <w:left w:val="none" w:sz="0" w:space="0" w:color="auto"/>
            <w:bottom w:val="none" w:sz="0" w:space="0" w:color="auto"/>
            <w:right w:val="none" w:sz="0" w:space="0" w:color="auto"/>
          </w:divBdr>
        </w:div>
        <w:div w:id="836960985">
          <w:marLeft w:val="0"/>
          <w:marRight w:val="0"/>
          <w:marTop w:val="0"/>
          <w:marBottom w:val="0"/>
          <w:divBdr>
            <w:top w:val="none" w:sz="0" w:space="0" w:color="auto"/>
            <w:left w:val="none" w:sz="0" w:space="0" w:color="auto"/>
            <w:bottom w:val="none" w:sz="0" w:space="0" w:color="auto"/>
            <w:right w:val="none" w:sz="0" w:space="0" w:color="auto"/>
          </w:divBdr>
          <w:divsChild>
            <w:div w:id="397093118">
              <w:marLeft w:val="0"/>
              <w:marRight w:val="0"/>
              <w:marTop w:val="30"/>
              <w:marBottom w:val="30"/>
              <w:divBdr>
                <w:top w:val="none" w:sz="0" w:space="0" w:color="auto"/>
                <w:left w:val="none" w:sz="0" w:space="0" w:color="auto"/>
                <w:bottom w:val="none" w:sz="0" w:space="0" w:color="auto"/>
                <w:right w:val="none" w:sz="0" w:space="0" w:color="auto"/>
              </w:divBdr>
              <w:divsChild>
                <w:div w:id="365831626">
                  <w:marLeft w:val="0"/>
                  <w:marRight w:val="0"/>
                  <w:marTop w:val="0"/>
                  <w:marBottom w:val="0"/>
                  <w:divBdr>
                    <w:top w:val="none" w:sz="0" w:space="0" w:color="auto"/>
                    <w:left w:val="none" w:sz="0" w:space="0" w:color="auto"/>
                    <w:bottom w:val="none" w:sz="0" w:space="0" w:color="auto"/>
                    <w:right w:val="none" w:sz="0" w:space="0" w:color="auto"/>
                  </w:divBdr>
                  <w:divsChild>
                    <w:div w:id="1470778817">
                      <w:marLeft w:val="0"/>
                      <w:marRight w:val="0"/>
                      <w:marTop w:val="0"/>
                      <w:marBottom w:val="0"/>
                      <w:divBdr>
                        <w:top w:val="none" w:sz="0" w:space="0" w:color="auto"/>
                        <w:left w:val="none" w:sz="0" w:space="0" w:color="auto"/>
                        <w:bottom w:val="none" w:sz="0" w:space="0" w:color="auto"/>
                        <w:right w:val="none" w:sz="0" w:space="0" w:color="auto"/>
                      </w:divBdr>
                    </w:div>
                  </w:divsChild>
                </w:div>
                <w:div w:id="1009059613">
                  <w:marLeft w:val="0"/>
                  <w:marRight w:val="0"/>
                  <w:marTop w:val="0"/>
                  <w:marBottom w:val="0"/>
                  <w:divBdr>
                    <w:top w:val="none" w:sz="0" w:space="0" w:color="auto"/>
                    <w:left w:val="none" w:sz="0" w:space="0" w:color="auto"/>
                    <w:bottom w:val="none" w:sz="0" w:space="0" w:color="auto"/>
                    <w:right w:val="none" w:sz="0" w:space="0" w:color="auto"/>
                  </w:divBdr>
                  <w:divsChild>
                    <w:div w:id="168718829">
                      <w:marLeft w:val="0"/>
                      <w:marRight w:val="0"/>
                      <w:marTop w:val="0"/>
                      <w:marBottom w:val="0"/>
                      <w:divBdr>
                        <w:top w:val="none" w:sz="0" w:space="0" w:color="auto"/>
                        <w:left w:val="none" w:sz="0" w:space="0" w:color="auto"/>
                        <w:bottom w:val="none" w:sz="0" w:space="0" w:color="auto"/>
                        <w:right w:val="none" w:sz="0" w:space="0" w:color="auto"/>
                      </w:divBdr>
                    </w:div>
                  </w:divsChild>
                </w:div>
                <w:div w:id="1067343125">
                  <w:marLeft w:val="0"/>
                  <w:marRight w:val="0"/>
                  <w:marTop w:val="0"/>
                  <w:marBottom w:val="0"/>
                  <w:divBdr>
                    <w:top w:val="none" w:sz="0" w:space="0" w:color="auto"/>
                    <w:left w:val="none" w:sz="0" w:space="0" w:color="auto"/>
                    <w:bottom w:val="none" w:sz="0" w:space="0" w:color="auto"/>
                    <w:right w:val="none" w:sz="0" w:space="0" w:color="auto"/>
                  </w:divBdr>
                  <w:divsChild>
                    <w:div w:id="1961566962">
                      <w:marLeft w:val="0"/>
                      <w:marRight w:val="0"/>
                      <w:marTop w:val="0"/>
                      <w:marBottom w:val="0"/>
                      <w:divBdr>
                        <w:top w:val="none" w:sz="0" w:space="0" w:color="auto"/>
                        <w:left w:val="none" w:sz="0" w:space="0" w:color="auto"/>
                        <w:bottom w:val="none" w:sz="0" w:space="0" w:color="auto"/>
                        <w:right w:val="none" w:sz="0" w:space="0" w:color="auto"/>
                      </w:divBdr>
                    </w:div>
                  </w:divsChild>
                </w:div>
                <w:div w:id="1116294563">
                  <w:marLeft w:val="0"/>
                  <w:marRight w:val="0"/>
                  <w:marTop w:val="0"/>
                  <w:marBottom w:val="0"/>
                  <w:divBdr>
                    <w:top w:val="none" w:sz="0" w:space="0" w:color="auto"/>
                    <w:left w:val="none" w:sz="0" w:space="0" w:color="auto"/>
                    <w:bottom w:val="none" w:sz="0" w:space="0" w:color="auto"/>
                    <w:right w:val="none" w:sz="0" w:space="0" w:color="auto"/>
                  </w:divBdr>
                  <w:divsChild>
                    <w:div w:id="953251960">
                      <w:marLeft w:val="0"/>
                      <w:marRight w:val="0"/>
                      <w:marTop w:val="0"/>
                      <w:marBottom w:val="0"/>
                      <w:divBdr>
                        <w:top w:val="none" w:sz="0" w:space="0" w:color="auto"/>
                        <w:left w:val="none" w:sz="0" w:space="0" w:color="auto"/>
                        <w:bottom w:val="none" w:sz="0" w:space="0" w:color="auto"/>
                        <w:right w:val="none" w:sz="0" w:space="0" w:color="auto"/>
                      </w:divBdr>
                    </w:div>
                  </w:divsChild>
                </w:div>
                <w:div w:id="1155730717">
                  <w:marLeft w:val="0"/>
                  <w:marRight w:val="0"/>
                  <w:marTop w:val="0"/>
                  <w:marBottom w:val="0"/>
                  <w:divBdr>
                    <w:top w:val="none" w:sz="0" w:space="0" w:color="auto"/>
                    <w:left w:val="none" w:sz="0" w:space="0" w:color="auto"/>
                    <w:bottom w:val="none" w:sz="0" w:space="0" w:color="auto"/>
                    <w:right w:val="none" w:sz="0" w:space="0" w:color="auto"/>
                  </w:divBdr>
                  <w:divsChild>
                    <w:div w:id="1631131811">
                      <w:marLeft w:val="0"/>
                      <w:marRight w:val="0"/>
                      <w:marTop w:val="0"/>
                      <w:marBottom w:val="0"/>
                      <w:divBdr>
                        <w:top w:val="none" w:sz="0" w:space="0" w:color="auto"/>
                        <w:left w:val="none" w:sz="0" w:space="0" w:color="auto"/>
                        <w:bottom w:val="none" w:sz="0" w:space="0" w:color="auto"/>
                        <w:right w:val="none" w:sz="0" w:space="0" w:color="auto"/>
                      </w:divBdr>
                    </w:div>
                  </w:divsChild>
                </w:div>
                <w:div w:id="1220752201">
                  <w:marLeft w:val="0"/>
                  <w:marRight w:val="0"/>
                  <w:marTop w:val="0"/>
                  <w:marBottom w:val="0"/>
                  <w:divBdr>
                    <w:top w:val="none" w:sz="0" w:space="0" w:color="auto"/>
                    <w:left w:val="none" w:sz="0" w:space="0" w:color="auto"/>
                    <w:bottom w:val="none" w:sz="0" w:space="0" w:color="auto"/>
                    <w:right w:val="none" w:sz="0" w:space="0" w:color="auto"/>
                  </w:divBdr>
                  <w:divsChild>
                    <w:div w:id="277833927">
                      <w:marLeft w:val="0"/>
                      <w:marRight w:val="0"/>
                      <w:marTop w:val="0"/>
                      <w:marBottom w:val="0"/>
                      <w:divBdr>
                        <w:top w:val="none" w:sz="0" w:space="0" w:color="auto"/>
                        <w:left w:val="none" w:sz="0" w:space="0" w:color="auto"/>
                        <w:bottom w:val="none" w:sz="0" w:space="0" w:color="auto"/>
                        <w:right w:val="none" w:sz="0" w:space="0" w:color="auto"/>
                      </w:divBdr>
                    </w:div>
                  </w:divsChild>
                </w:div>
                <w:div w:id="1223637649">
                  <w:marLeft w:val="0"/>
                  <w:marRight w:val="0"/>
                  <w:marTop w:val="0"/>
                  <w:marBottom w:val="0"/>
                  <w:divBdr>
                    <w:top w:val="none" w:sz="0" w:space="0" w:color="auto"/>
                    <w:left w:val="none" w:sz="0" w:space="0" w:color="auto"/>
                    <w:bottom w:val="none" w:sz="0" w:space="0" w:color="auto"/>
                    <w:right w:val="none" w:sz="0" w:space="0" w:color="auto"/>
                  </w:divBdr>
                  <w:divsChild>
                    <w:div w:id="1912693825">
                      <w:marLeft w:val="0"/>
                      <w:marRight w:val="0"/>
                      <w:marTop w:val="0"/>
                      <w:marBottom w:val="0"/>
                      <w:divBdr>
                        <w:top w:val="none" w:sz="0" w:space="0" w:color="auto"/>
                        <w:left w:val="none" w:sz="0" w:space="0" w:color="auto"/>
                        <w:bottom w:val="none" w:sz="0" w:space="0" w:color="auto"/>
                        <w:right w:val="none" w:sz="0" w:space="0" w:color="auto"/>
                      </w:divBdr>
                    </w:div>
                  </w:divsChild>
                </w:div>
                <w:div w:id="1861770756">
                  <w:marLeft w:val="0"/>
                  <w:marRight w:val="0"/>
                  <w:marTop w:val="0"/>
                  <w:marBottom w:val="0"/>
                  <w:divBdr>
                    <w:top w:val="none" w:sz="0" w:space="0" w:color="auto"/>
                    <w:left w:val="none" w:sz="0" w:space="0" w:color="auto"/>
                    <w:bottom w:val="none" w:sz="0" w:space="0" w:color="auto"/>
                    <w:right w:val="none" w:sz="0" w:space="0" w:color="auto"/>
                  </w:divBdr>
                  <w:divsChild>
                    <w:div w:id="454569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575114">
          <w:marLeft w:val="0"/>
          <w:marRight w:val="0"/>
          <w:marTop w:val="0"/>
          <w:marBottom w:val="0"/>
          <w:divBdr>
            <w:top w:val="none" w:sz="0" w:space="0" w:color="auto"/>
            <w:left w:val="none" w:sz="0" w:space="0" w:color="auto"/>
            <w:bottom w:val="none" w:sz="0" w:space="0" w:color="auto"/>
            <w:right w:val="none" w:sz="0" w:space="0" w:color="auto"/>
          </w:divBdr>
        </w:div>
        <w:div w:id="1117026134">
          <w:marLeft w:val="0"/>
          <w:marRight w:val="0"/>
          <w:marTop w:val="0"/>
          <w:marBottom w:val="0"/>
          <w:divBdr>
            <w:top w:val="none" w:sz="0" w:space="0" w:color="auto"/>
            <w:left w:val="none" w:sz="0" w:space="0" w:color="auto"/>
            <w:bottom w:val="none" w:sz="0" w:space="0" w:color="auto"/>
            <w:right w:val="none" w:sz="0" w:space="0" w:color="auto"/>
          </w:divBdr>
        </w:div>
        <w:div w:id="1164665559">
          <w:marLeft w:val="0"/>
          <w:marRight w:val="0"/>
          <w:marTop w:val="0"/>
          <w:marBottom w:val="0"/>
          <w:divBdr>
            <w:top w:val="none" w:sz="0" w:space="0" w:color="auto"/>
            <w:left w:val="none" w:sz="0" w:space="0" w:color="auto"/>
            <w:bottom w:val="none" w:sz="0" w:space="0" w:color="auto"/>
            <w:right w:val="none" w:sz="0" w:space="0" w:color="auto"/>
          </w:divBdr>
          <w:divsChild>
            <w:div w:id="101538354">
              <w:marLeft w:val="0"/>
              <w:marRight w:val="0"/>
              <w:marTop w:val="30"/>
              <w:marBottom w:val="30"/>
              <w:divBdr>
                <w:top w:val="none" w:sz="0" w:space="0" w:color="auto"/>
                <w:left w:val="none" w:sz="0" w:space="0" w:color="auto"/>
                <w:bottom w:val="none" w:sz="0" w:space="0" w:color="auto"/>
                <w:right w:val="none" w:sz="0" w:space="0" w:color="auto"/>
              </w:divBdr>
              <w:divsChild>
                <w:div w:id="1514539694">
                  <w:marLeft w:val="0"/>
                  <w:marRight w:val="0"/>
                  <w:marTop w:val="0"/>
                  <w:marBottom w:val="0"/>
                  <w:divBdr>
                    <w:top w:val="none" w:sz="0" w:space="0" w:color="auto"/>
                    <w:left w:val="none" w:sz="0" w:space="0" w:color="auto"/>
                    <w:bottom w:val="none" w:sz="0" w:space="0" w:color="auto"/>
                    <w:right w:val="none" w:sz="0" w:space="0" w:color="auto"/>
                  </w:divBdr>
                  <w:divsChild>
                    <w:div w:id="904755578">
                      <w:marLeft w:val="0"/>
                      <w:marRight w:val="0"/>
                      <w:marTop w:val="0"/>
                      <w:marBottom w:val="0"/>
                      <w:divBdr>
                        <w:top w:val="none" w:sz="0" w:space="0" w:color="auto"/>
                        <w:left w:val="none" w:sz="0" w:space="0" w:color="auto"/>
                        <w:bottom w:val="none" w:sz="0" w:space="0" w:color="auto"/>
                        <w:right w:val="none" w:sz="0" w:space="0" w:color="auto"/>
                      </w:divBdr>
                    </w:div>
                  </w:divsChild>
                </w:div>
                <w:div w:id="2134668781">
                  <w:marLeft w:val="0"/>
                  <w:marRight w:val="0"/>
                  <w:marTop w:val="0"/>
                  <w:marBottom w:val="0"/>
                  <w:divBdr>
                    <w:top w:val="none" w:sz="0" w:space="0" w:color="auto"/>
                    <w:left w:val="none" w:sz="0" w:space="0" w:color="auto"/>
                    <w:bottom w:val="none" w:sz="0" w:space="0" w:color="auto"/>
                    <w:right w:val="none" w:sz="0" w:space="0" w:color="auto"/>
                  </w:divBdr>
                  <w:divsChild>
                    <w:div w:id="1903100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6678320">
          <w:marLeft w:val="0"/>
          <w:marRight w:val="0"/>
          <w:marTop w:val="0"/>
          <w:marBottom w:val="0"/>
          <w:divBdr>
            <w:top w:val="none" w:sz="0" w:space="0" w:color="auto"/>
            <w:left w:val="none" w:sz="0" w:space="0" w:color="auto"/>
            <w:bottom w:val="none" w:sz="0" w:space="0" w:color="auto"/>
            <w:right w:val="none" w:sz="0" w:space="0" w:color="auto"/>
          </w:divBdr>
        </w:div>
        <w:div w:id="1470830217">
          <w:marLeft w:val="0"/>
          <w:marRight w:val="0"/>
          <w:marTop w:val="0"/>
          <w:marBottom w:val="0"/>
          <w:divBdr>
            <w:top w:val="none" w:sz="0" w:space="0" w:color="auto"/>
            <w:left w:val="none" w:sz="0" w:space="0" w:color="auto"/>
            <w:bottom w:val="none" w:sz="0" w:space="0" w:color="auto"/>
            <w:right w:val="none" w:sz="0" w:space="0" w:color="auto"/>
          </w:divBdr>
        </w:div>
        <w:div w:id="1490252075">
          <w:marLeft w:val="0"/>
          <w:marRight w:val="0"/>
          <w:marTop w:val="0"/>
          <w:marBottom w:val="0"/>
          <w:divBdr>
            <w:top w:val="none" w:sz="0" w:space="0" w:color="auto"/>
            <w:left w:val="none" w:sz="0" w:space="0" w:color="auto"/>
            <w:bottom w:val="none" w:sz="0" w:space="0" w:color="auto"/>
            <w:right w:val="none" w:sz="0" w:space="0" w:color="auto"/>
          </w:divBdr>
        </w:div>
        <w:div w:id="1500466544">
          <w:marLeft w:val="0"/>
          <w:marRight w:val="0"/>
          <w:marTop w:val="0"/>
          <w:marBottom w:val="0"/>
          <w:divBdr>
            <w:top w:val="none" w:sz="0" w:space="0" w:color="auto"/>
            <w:left w:val="none" w:sz="0" w:space="0" w:color="auto"/>
            <w:bottom w:val="none" w:sz="0" w:space="0" w:color="auto"/>
            <w:right w:val="none" w:sz="0" w:space="0" w:color="auto"/>
          </w:divBdr>
        </w:div>
        <w:div w:id="1549999201">
          <w:marLeft w:val="0"/>
          <w:marRight w:val="0"/>
          <w:marTop w:val="0"/>
          <w:marBottom w:val="0"/>
          <w:divBdr>
            <w:top w:val="none" w:sz="0" w:space="0" w:color="auto"/>
            <w:left w:val="none" w:sz="0" w:space="0" w:color="auto"/>
            <w:bottom w:val="none" w:sz="0" w:space="0" w:color="auto"/>
            <w:right w:val="none" w:sz="0" w:space="0" w:color="auto"/>
          </w:divBdr>
        </w:div>
        <w:div w:id="1819758287">
          <w:marLeft w:val="0"/>
          <w:marRight w:val="0"/>
          <w:marTop w:val="0"/>
          <w:marBottom w:val="0"/>
          <w:divBdr>
            <w:top w:val="none" w:sz="0" w:space="0" w:color="auto"/>
            <w:left w:val="none" w:sz="0" w:space="0" w:color="auto"/>
            <w:bottom w:val="none" w:sz="0" w:space="0" w:color="auto"/>
            <w:right w:val="none" w:sz="0" w:space="0" w:color="auto"/>
          </w:divBdr>
        </w:div>
        <w:div w:id="1971469565">
          <w:marLeft w:val="0"/>
          <w:marRight w:val="0"/>
          <w:marTop w:val="0"/>
          <w:marBottom w:val="0"/>
          <w:divBdr>
            <w:top w:val="none" w:sz="0" w:space="0" w:color="auto"/>
            <w:left w:val="none" w:sz="0" w:space="0" w:color="auto"/>
            <w:bottom w:val="none" w:sz="0" w:space="0" w:color="auto"/>
            <w:right w:val="none" w:sz="0" w:space="0" w:color="auto"/>
          </w:divBdr>
        </w:div>
        <w:div w:id="1992713209">
          <w:marLeft w:val="0"/>
          <w:marRight w:val="0"/>
          <w:marTop w:val="0"/>
          <w:marBottom w:val="0"/>
          <w:divBdr>
            <w:top w:val="none" w:sz="0" w:space="0" w:color="auto"/>
            <w:left w:val="none" w:sz="0" w:space="0" w:color="auto"/>
            <w:bottom w:val="none" w:sz="0" w:space="0" w:color="auto"/>
            <w:right w:val="none" w:sz="0" w:space="0" w:color="auto"/>
          </w:divBdr>
        </w:div>
        <w:div w:id="2104111269">
          <w:marLeft w:val="0"/>
          <w:marRight w:val="0"/>
          <w:marTop w:val="0"/>
          <w:marBottom w:val="0"/>
          <w:divBdr>
            <w:top w:val="none" w:sz="0" w:space="0" w:color="auto"/>
            <w:left w:val="none" w:sz="0" w:space="0" w:color="auto"/>
            <w:bottom w:val="none" w:sz="0" w:space="0" w:color="auto"/>
            <w:right w:val="none" w:sz="0" w:space="0" w:color="auto"/>
          </w:divBdr>
        </w:div>
      </w:divsChild>
    </w:div>
    <w:div w:id="1662928586">
      <w:bodyDiv w:val="1"/>
      <w:marLeft w:val="0"/>
      <w:marRight w:val="0"/>
      <w:marTop w:val="0"/>
      <w:marBottom w:val="0"/>
      <w:divBdr>
        <w:top w:val="none" w:sz="0" w:space="0" w:color="auto"/>
        <w:left w:val="none" w:sz="0" w:space="0" w:color="auto"/>
        <w:bottom w:val="none" w:sz="0" w:space="0" w:color="auto"/>
        <w:right w:val="none" w:sz="0" w:space="0" w:color="auto"/>
      </w:divBdr>
    </w:div>
    <w:div w:id="1687438568">
      <w:bodyDiv w:val="1"/>
      <w:marLeft w:val="0"/>
      <w:marRight w:val="0"/>
      <w:marTop w:val="0"/>
      <w:marBottom w:val="0"/>
      <w:divBdr>
        <w:top w:val="none" w:sz="0" w:space="0" w:color="auto"/>
        <w:left w:val="none" w:sz="0" w:space="0" w:color="auto"/>
        <w:bottom w:val="none" w:sz="0" w:space="0" w:color="auto"/>
        <w:right w:val="none" w:sz="0" w:space="0" w:color="auto"/>
      </w:divBdr>
    </w:div>
    <w:div w:id="1695305078">
      <w:bodyDiv w:val="1"/>
      <w:marLeft w:val="0"/>
      <w:marRight w:val="0"/>
      <w:marTop w:val="0"/>
      <w:marBottom w:val="0"/>
      <w:divBdr>
        <w:top w:val="none" w:sz="0" w:space="0" w:color="auto"/>
        <w:left w:val="none" w:sz="0" w:space="0" w:color="auto"/>
        <w:bottom w:val="none" w:sz="0" w:space="0" w:color="auto"/>
        <w:right w:val="none" w:sz="0" w:space="0" w:color="auto"/>
      </w:divBdr>
    </w:div>
    <w:div w:id="1702053215">
      <w:bodyDiv w:val="1"/>
      <w:marLeft w:val="0"/>
      <w:marRight w:val="0"/>
      <w:marTop w:val="0"/>
      <w:marBottom w:val="0"/>
      <w:divBdr>
        <w:top w:val="none" w:sz="0" w:space="0" w:color="auto"/>
        <w:left w:val="none" w:sz="0" w:space="0" w:color="auto"/>
        <w:bottom w:val="none" w:sz="0" w:space="0" w:color="auto"/>
        <w:right w:val="none" w:sz="0" w:space="0" w:color="auto"/>
      </w:divBdr>
    </w:div>
    <w:div w:id="1705213348">
      <w:bodyDiv w:val="1"/>
      <w:marLeft w:val="0"/>
      <w:marRight w:val="0"/>
      <w:marTop w:val="0"/>
      <w:marBottom w:val="0"/>
      <w:divBdr>
        <w:top w:val="none" w:sz="0" w:space="0" w:color="auto"/>
        <w:left w:val="none" w:sz="0" w:space="0" w:color="auto"/>
        <w:bottom w:val="none" w:sz="0" w:space="0" w:color="auto"/>
        <w:right w:val="none" w:sz="0" w:space="0" w:color="auto"/>
      </w:divBdr>
    </w:div>
    <w:div w:id="1784691003">
      <w:bodyDiv w:val="1"/>
      <w:marLeft w:val="0"/>
      <w:marRight w:val="0"/>
      <w:marTop w:val="0"/>
      <w:marBottom w:val="0"/>
      <w:divBdr>
        <w:top w:val="none" w:sz="0" w:space="0" w:color="auto"/>
        <w:left w:val="none" w:sz="0" w:space="0" w:color="auto"/>
        <w:bottom w:val="none" w:sz="0" w:space="0" w:color="auto"/>
        <w:right w:val="none" w:sz="0" w:space="0" w:color="auto"/>
      </w:divBdr>
    </w:div>
    <w:div w:id="1786532623">
      <w:bodyDiv w:val="1"/>
      <w:marLeft w:val="0"/>
      <w:marRight w:val="0"/>
      <w:marTop w:val="0"/>
      <w:marBottom w:val="0"/>
      <w:divBdr>
        <w:top w:val="none" w:sz="0" w:space="0" w:color="auto"/>
        <w:left w:val="none" w:sz="0" w:space="0" w:color="auto"/>
        <w:bottom w:val="none" w:sz="0" w:space="0" w:color="auto"/>
        <w:right w:val="none" w:sz="0" w:space="0" w:color="auto"/>
      </w:divBdr>
    </w:div>
    <w:div w:id="1810902423">
      <w:bodyDiv w:val="1"/>
      <w:marLeft w:val="0"/>
      <w:marRight w:val="0"/>
      <w:marTop w:val="0"/>
      <w:marBottom w:val="0"/>
      <w:divBdr>
        <w:top w:val="none" w:sz="0" w:space="0" w:color="auto"/>
        <w:left w:val="none" w:sz="0" w:space="0" w:color="auto"/>
        <w:bottom w:val="none" w:sz="0" w:space="0" w:color="auto"/>
        <w:right w:val="none" w:sz="0" w:space="0" w:color="auto"/>
      </w:divBdr>
    </w:div>
    <w:div w:id="1812674503">
      <w:bodyDiv w:val="1"/>
      <w:marLeft w:val="0"/>
      <w:marRight w:val="0"/>
      <w:marTop w:val="0"/>
      <w:marBottom w:val="0"/>
      <w:divBdr>
        <w:top w:val="none" w:sz="0" w:space="0" w:color="auto"/>
        <w:left w:val="none" w:sz="0" w:space="0" w:color="auto"/>
        <w:bottom w:val="none" w:sz="0" w:space="0" w:color="auto"/>
        <w:right w:val="none" w:sz="0" w:space="0" w:color="auto"/>
      </w:divBdr>
    </w:div>
    <w:div w:id="1819111075">
      <w:bodyDiv w:val="1"/>
      <w:marLeft w:val="0"/>
      <w:marRight w:val="0"/>
      <w:marTop w:val="0"/>
      <w:marBottom w:val="0"/>
      <w:divBdr>
        <w:top w:val="none" w:sz="0" w:space="0" w:color="auto"/>
        <w:left w:val="none" w:sz="0" w:space="0" w:color="auto"/>
        <w:bottom w:val="none" w:sz="0" w:space="0" w:color="auto"/>
        <w:right w:val="none" w:sz="0" w:space="0" w:color="auto"/>
      </w:divBdr>
    </w:div>
    <w:div w:id="1841122311">
      <w:bodyDiv w:val="1"/>
      <w:marLeft w:val="0"/>
      <w:marRight w:val="0"/>
      <w:marTop w:val="0"/>
      <w:marBottom w:val="0"/>
      <w:divBdr>
        <w:top w:val="none" w:sz="0" w:space="0" w:color="auto"/>
        <w:left w:val="none" w:sz="0" w:space="0" w:color="auto"/>
        <w:bottom w:val="none" w:sz="0" w:space="0" w:color="auto"/>
        <w:right w:val="none" w:sz="0" w:space="0" w:color="auto"/>
      </w:divBdr>
      <w:divsChild>
        <w:div w:id="167182995">
          <w:marLeft w:val="0"/>
          <w:marRight w:val="0"/>
          <w:marTop w:val="0"/>
          <w:marBottom w:val="0"/>
          <w:divBdr>
            <w:top w:val="none" w:sz="0" w:space="0" w:color="auto"/>
            <w:left w:val="none" w:sz="0" w:space="0" w:color="auto"/>
            <w:bottom w:val="none" w:sz="0" w:space="0" w:color="auto"/>
            <w:right w:val="none" w:sz="0" w:space="0" w:color="auto"/>
          </w:divBdr>
          <w:divsChild>
            <w:div w:id="1278027122">
              <w:marLeft w:val="0"/>
              <w:marRight w:val="0"/>
              <w:marTop w:val="0"/>
              <w:marBottom w:val="0"/>
              <w:divBdr>
                <w:top w:val="none" w:sz="0" w:space="0" w:color="auto"/>
                <w:left w:val="none" w:sz="0" w:space="0" w:color="auto"/>
                <w:bottom w:val="none" w:sz="0" w:space="0" w:color="auto"/>
                <w:right w:val="none" w:sz="0" w:space="0" w:color="auto"/>
              </w:divBdr>
            </w:div>
          </w:divsChild>
        </w:div>
        <w:div w:id="1208681984">
          <w:marLeft w:val="0"/>
          <w:marRight w:val="0"/>
          <w:marTop w:val="0"/>
          <w:marBottom w:val="0"/>
          <w:divBdr>
            <w:top w:val="none" w:sz="0" w:space="0" w:color="auto"/>
            <w:left w:val="none" w:sz="0" w:space="0" w:color="auto"/>
            <w:bottom w:val="none" w:sz="0" w:space="0" w:color="auto"/>
            <w:right w:val="none" w:sz="0" w:space="0" w:color="auto"/>
          </w:divBdr>
          <w:divsChild>
            <w:div w:id="620499791">
              <w:marLeft w:val="0"/>
              <w:marRight w:val="0"/>
              <w:marTop w:val="0"/>
              <w:marBottom w:val="0"/>
              <w:divBdr>
                <w:top w:val="none" w:sz="0" w:space="0" w:color="auto"/>
                <w:left w:val="none" w:sz="0" w:space="0" w:color="auto"/>
                <w:bottom w:val="none" w:sz="0" w:space="0" w:color="auto"/>
                <w:right w:val="none" w:sz="0" w:space="0" w:color="auto"/>
              </w:divBdr>
            </w:div>
            <w:div w:id="798449780">
              <w:marLeft w:val="0"/>
              <w:marRight w:val="0"/>
              <w:marTop w:val="0"/>
              <w:marBottom w:val="0"/>
              <w:divBdr>
                <w:top w:val="none" w:sz="0" w:space="0" w:color="auto"/>
                <w:left w:val="none" w:sz="0" w:space="0" w:color="auto"/>
                <w:bottom w:val="none" w:sz="0" w:space="0" w:color="auto"/>
                <w:right w:val="none" w:sz="0" w:space="0" w:color="auto"/>
              </w:divBdr>
            </w:div>
            <w:div w:id="1365902681">
              <w:marLeft w:val="0"/>
              <w:marRight w:val="0"/>
              <w:marTop w:val="0"/>
              <w:marBottom w:val="0"/>
              <w:divBdr>
                <w:top w:val="none" w:sz="0" w:space="0" w:color="auto"/>
                <w:left w:val="none" w:sz="0" w:space="0" w:color="auto"/>
                <w:bottom w:val="none" w:sz="0" w:space="0" w:color="auto"/>
                <w:right w:val="none" w:sz="0" w:space="0" w:color="auto"/>
              </w:divBdr>
            </w:div>
          </w:divsChild>
        </w:div>
        <w:div w:id="2034763983">
          <w:marLeft w:val="0"/>
          <w:marRight w:val="0"/>
          <w:marTop w:val="0"/>
          <w:marBottom w:val="0"/>
          <w:divBdr>
            <w:top w:val="none" w:sz="0" w:space="0" w:color="auto"/>
            <w:left w:val="none" w:sz="0" w:space="0" w:color="auto"/>
            <w:bottom w:val="none" w:sz="0" w:space="0" w:color="auto"/>
            <w:right w:val="none" w:sz="0" w:space="0" w:color="auto"/>
          </w:divBdr>
          <w:divsChild>
            <w:div w:id="100578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23257">
      <w:bodyDiv w:val="1"/>
      <w:marLeft w:val="0"/>
      <w:marRight w:val="0"/>
      <w:marTop w:val="0"/>
      <w:marBottom w:val="0"/>
      <w:divBdr>
        <w:top w:val="none" w:sz="0" w:space="0" w:color="auto"/>
        <w:left w:val="none" w:sz="0" w:space="0" w:color="auto"/>
        <w:bottom w:val="none" w:sz="0" w:space="0" w:color="auto"/>
        <w:right w:val="none" w:sz="0" w:space="0" w:color="auto"/>
      </w:divBdr>
    </w:div>
    <w:div w:id="1864515005">
      <w:bodyDiv w:val="1"/>
      <w:marLeft w:val="0"/>
      <w:marRight w:val="0"/>
      <w:marTop w:val="0"/>
      <w:marBottom w:val="0"/>
      <w:divBdr>
        <w:top w:val="none" w:sz="0" w:space="0" w:color="auto"/>
        <w:left w:val="none" w:sz="0" w:space="0" w:color="auto"/>
        <w:bottom w:val="none" w:sz="0" w:space="0" w:color="auto"/>
        <w:right w:val="none" w:sz="0" w:space="0" w:color="auto"/>
      </w:divBdr>
    </w:div>
    <w:div w:id="1877082414">
      <w:bodyDiv w:val="1"/>
      <w:marLeft w:val="0"/>
      <w:marRight w:val="0"/>
      <w:marTop w:val="0"/>
      <w:marBottom w:val="0"/>
      <w:divBdr>
        <w:top w:val="none" w:sz="0" w:space="0" w:color="auto"/>
        <w:left w:val="none" w:sz="0" w:space="0" w:color="auto"/>
        <w:bottom w:val="none" w:sz="0" w:space="0" w:color="auto"/>
        <w:right w:val="none" w:sz="0" w:space="0" w:color="auto"/>
      </w:divBdr>
    </w:div>
    <w:div w:id="1916085533">
      <w:bodyDiv w:val="1"/>
      <w:marLeft w:val="0"/>
      <w:marRight w:val="0"/>
      <w:marTop w:val="0"/>
      <w:marBottom w:val="0"/>
      <w:divBdr>
        <w:top w:val="none" w:sz="0" w:space="0" w:color="auto"/>
        <w:left w:val="none" w:sz="0" w:space="0" w:color="auto"/>
        <w:bottom w:val="none" w:sz="0" w:space="0" w:color="auto"/>
        <w:right w:val="none" w:sz="0" w:space="0" w:color="auto"/>
      </w:divBdr>
    </w:div>
    <w:div w:id="1921256742">
      <w:bodyDiv w:val="1"/>
      <w:marLeft w:val="0"/>
      <w:marRight w:val="0"/>
      <w:marTop w:val="0"/>
      <w:marBottom w:val="0"/>
      <w:divBdr>
        <w:top w:val="none" w:sz="0" w:space="0" w:color="auto"/>
        <w:left w:val="none" w:sz="0" w:space="0" w:color="auto"/>
        <w:bottom w:val="none" w:sz="0" w:space="0" w:color="auto"/>
        <w:right w:val="none" w:sz="0" w:space="0" w:color="auto"/>
      </w:divBdr>
    </w:div>
    <w:div w:id="1946376000">
      <w:bodyDiv w:val="1"/>
      <w:marLeft w:val="0"/>
      <w:marRight w:val="0"/>
      <w:marTop w:val="0"/>
      <w:marBottom w:val="0"/>
      <w:divBdr>
        <w:top w:val="none" w:sz="0" w:space="0" w:color="auto"/>
        <w:left w:val="none" w:sz="0" w:space="0" w:color="auto"/>
        <w:bottom w:val="none" w:sz="0" w:space="0" w:color="auto"/>
        <w:right w:val="none" w:sz="0" w:space="0" w:color="auto"/>
      </w:divBdr>
    </w:div>
    <w:div w:id="1974283759">
      <w:bodyDiv w:val="1"/>
      <w:marLeft w:val="0"/>
      <w:marRight w:val="0"/>
      <w:marTop w:val="0"/>
      <w:marBottom w:val="0"/>
      <w:divBdr>
        <w:top w:val="none" w:sz="0" w:space="0" w:color="auto"/>
        <w:left w:val="none" w:sz="0" w:space="0" w:color="auto"/>
        <w:bottom w:val="none" w:sz="0" w:space="0" w:color="auto"/>
        <w:right w:val="none" w:sz="0" w:space="0" w:color="auto"/>
      </w:divBdr>
    </w:div>
    <w:div w:id="1976832882">
      <w:bodyDiv w:val="1"/>
      <w:marLeft w:val="0"/>
      <w:marRight w:val="0"/>
      <w:marTop w:val="0"/>
      <w:marBottom w:val="0"/>
      <w:divBdr>
        <w:top w:val="none" w:sz="0" w:space="0" w:color="auto"/>
        <w:left w:val="none" w:sz="0" w:space="0" w:color="auto"/>
        <w:bottom w:val="none" w:sz="0" w:space="0" w:color="auto"/>
        <w:right w:val="none" w:sz="0" w:space="0" w:color="auto"/>
      </w:divBdr>
    </w:div>
    <w:div w:id="1977448881">
      <w:bodyDiv w:val="1"/>
      <w:marLeft w:val="0"/>
      <w:marRight w:val="0"/>
      <w:marTop w:val="0"/>
      <w:marBottom w:val="0"/>
      <w:divBdr>
        <w:top w:val="none" w:sz="0" w:space="0" w:color="auto"/>
        <w:left w:val="none" w:sz="0" w:space="0" w:color="auto"/>
        <w:bottom w:val="none" w:sz="0" w:space="0" w:color="auto"/>
        <w:right w:val="none" w:sz="0" w:space="0" w:color="auto"/>
      </w:divBdr>
    </w:div>
    <w:div w:id="1979794675">
      <w:bodyDiv w:val="1"/>
      <w:marLeft w:val="0"/>
      <w:marRight w:val="0"/>
      <w:marTop w:val="0"/>
      <w:marBottom w:val="0"/>
      <w:divBdr>
        <w:top w:val="none" w:sz="0" w:space="0" w:color="auto"/>
        <w:left w:val="none" w:sz="0" w:space="0" w:color="auto"/>
        <w:bottom w:val="none" w:sz="0" w:space="0" w:color="auto"/>
        <w:right w:val="none" w:sz="0" w:space="0" w:color="auto"/>
      </w:divBdr>
      <w:divsChild>
        <w:div w:id="506602685">
          <w:marLeft w:val="0"/>
          <w:marRight w:val="0"/>
          <w:marTop w:val="0"/>
          <w:marBottom w:val="0"/>
          <w:divBdr>
            <w:top w:val="none" w:sz="0" w:space="0" w:color="auto"/>
            <w:left w:val="none" w:sz="0" w:space="0" w:color="auto"/>
            <w:bottom w:val="none" w:sz="0" w:space="0" w:color="auto"/>
            <w:right w:val="none" w:sz="0" w:space="0" w:color="auto"/>
          </w:divBdr>
          <w:divsChild>
            <w:div w:id="191918465">
              <w:marLeft w:val="0"/>
              <w:marRight w:val="0"/>
              <w:marTop w:val="0"/>
              <w:marBottom w:val="0"/>
              <w:divBdr>
                <w:top w:val="none" w:sz="0" w:space="0" w:color="auto"/>
                <w:left w:val="none" w:sz="0" w:space="0" w:color="auto"/>
                <w:bottom w:val="none" w:sz="0" w:space="0" w:color="auto"/>
                <w:right w:val="none" w:sz="0" w:space="0" w:color="auto"/>
              </w:divBdr>
              <w:divsChild>
                <w:div w:id="1436748758">
                  <w:marLeft w:val="0"/>
                  <w:marRight w:val="0"/>
                  <w:marTop w:val="0"/>
                  <w:marBottom w:val="0"/>
                  <w:divBdr>
                    <w:top w:val="none" w:sz="0" w:space="0" w:color="auto"/>
                    <w:left w:val="none" w:sz="0" w:space="0" w:color="auto"/>
                    <w:bottom w:val="none" w:sz="0" w:space="0" w:color="auto"/>
                    <w:right w:val="none" w:sz="0" w:space="0" w:color="auto"/>
                  </w:divBdr>
                  <w:divsChild>
                    <w:div w:id="206925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0188972">
      <w:bodyDiv w:val="1"/>
      <w:marLeft w:val="0"/>
      <w:marRight w:val="0"/>
      <w:marTop w:val="0"/>
      <w:marBottom w:val="0"/>
      <w:divBdr>
        <w:top w:val="none" w:sz="0" w:space="0" w:color="auto"/>
        <w:left w:val="none" w:sz="0" w:space="0" w:color="auto"/>
        <w:bottom w:val="none" w:sz="0" w:space="0" w:color="auto"/>
        <w:right w:val="none" w:sz="0" w:space="0" w:color="auto"/>
      </w:divBdr>
    </w:div>
    <w:div w:id="1988627881">
      <w:bodyDiv w:val="1"/>
      <w:marLeft w:val="0"/>
      <w:marRight w:val="0"/>
      <w:marTop w:val="0"/>
      <w:marBottom w:val="0"/>
      <w:divBdr>
        <w:top w:val="none" w:sz="0" w:space="0" w:color="auto"/>
        <w:left w:val="none" w:sz="0" w:space="0" w:color="auto"/>
        <w:bottom w:val="none" w:sz="0" w:space="0" w:color="auto"/>
        <w:right w:val="none" w:sz="0" w:space="0" w:color="auto"/>
      </w:divBdr>
      <w:divsChild>
        <w:div w:id="599945150">
          <w:marLeft w:val="0"/>
          <w:marRight w:val="0"/>
          <w:marTop w:val="0"/>
          <w:marBottom w:val="0"/>
          <w:divBdr>
            <w:top w:val="none" w:sz="0" w:space="0" w:color="auto"/>
            <w:left w:val="none" w:sz="0" w:space="0" w:color="auto"/>
            <w:bottom w:val="none" w:sz="0" w:space="0" w:color="auto"/>
            <w:right w:val="none" w:sz="0" w:space="0" w:color="auto"/>
          </w:divBdr>
          <w:divsChild>
            <w:div w:id="384959496">
              <w:marLeft w:val="0"/>
              <w:marRight w:val="0"/>
              <w:marTop w:val="0"/>
              <w:marBottom w:val="0"/>
              <w:divBdr>
                <w:top w:val="none" w:sz="0" w:space="0" w:color="auto"/>
                <w:left w:val="none" w:sz="0" w:space="0" w:color="auto"/>
                <w:bottom w:val="none" w:sz="0" w:space="0" w:color="auto"/>
                <w:right w:val="none" w:sz="0" w:space="0" w:color="auto"/>
              </w:divBdr>
              <w:divsChild>
                <w:div w:id="1378358791">
                  <w:marLeft w:val="0"/>
                  <w:marRight w:val="0"/>
                  <w:marTop w:val="0"/>
                  <w:marBottom w:val="0"/>
                  <w:divBdr>
                    <w:top w:val="none" w:sz="0" w:space="0" w:color="auto"/>
                    <w:left w:val="none" w:sz="0" w:space="0" w:color="auto"/>
                    <w:bottom w:val="none" w:sz="0" w:space="0" w:color="auto"/>
                    <w:right w:val="none" w:sz="0" w:space="0" w:color="auto"/>
                  </w:divBdr>
                  <w:divsChild>
                    <w:div w:id="473987526">
                      <w:marLeft w:val="2325"/>
                      <w:marRight w:val="0"/>
                      <w:marTop w:val="0"/>
                      <w:marBottom w:val="0"/>
                      <w:divBdr>
                        <w:top w:val="none" w:sz="0" w:space="0" w:color="auto"/>
                        <w:left w:val="none" w:sz="0" w:space="0" w:color="auto"/>
                        <w:bottom w:val="none" w:sz="0" w:space="0" w:color="auto"/>
                        <w:right w:val="none" w:sz="0" w:space="0" w:color="auto"/>
                      </w:divBdr>
                      <w:divsChild>
                        <w:div w:id="867060058">
                          <w:marLeft w:val="0"/>
                          <w:marRight w:val="0"/>
                          <w:marTop w:val="0"/>
                          <w:marBottom w:val="0"/>
                          <w:divBdr>
                            <w:top w:val="none" w:sz="0" w:space="0" w:color="auto"/>
                            <w:left w:val="none" w:sz="0" w:space="0" w:color="auto"/>
                            <w:bottom w:val="none" w:sz="0" w:space="0" w:color="auto"/>
                            <w:right w:val="none" w:sz="0" w:space="0" w:color="auto"/>
                          </w:divBdr>
                          <w:divsChild>
                            <w:div w:id="1460605514">
                              <w:marLeft w:val="0"/>
                              <w:marRight w:val="0"/>
                              <w:marTop w:val="0"/>
                              <w:marBottom w:val="0"/>
                              <w:divBdr>
                                <w:top w:val="none" w:sz="0" w:space="0" w:color="auto"/>
                                <w:left w:val="none" w:sz="0" w:space="0" w:color="auto"/>
                                <w:bottom w:val="none" w:sz="0" w:space="0" w:color="auto"/>
                                <w:right w:val="none" w:sz="0" w:space="0" w:color="auto"/>
                              </w:divBdr>
                              <w:divsChild>
                                <w:div w:id="1554122841">
                                  <w:marLeft w:val="0"/>
                                  <w:marRight w:val="0"/>
                                  <w:marTop w:val="0"/>
                                  <w:marBottom w:val="0"/>
                                  <w:divBdr>
                                    <w:top w:val="none" w:sz="0" w:space="0" w:color="auto"/>
                                    <w:left w:val="none" w:sz="0" w:space="0" w:color="auto"/>
                                    <w:bottom w:val="none" w:sz="0" w:space="0" w:color="auto"/>
                                    <w:right w:val="none" w:sz="0" w:space="0" w:color="auto"/>
                                  </w:divBdr>
                                  <w:divsChild>
                                    <w:div w:id="1797017494">
                                      <w:marLeft w:val="0"/>
                                      <w:marRight w:val="0"/>
                                      <w:marTop w:val="0"/>
                                      <w:marBottom w:val="0"/>
                                      <w:divBdr>
                                        <w:top w:val="none" w:sz="0" w:space="0" w:color="auto"/>
                                        <w:left w:val="none" w:sz="0" w:space="0" w:color="auto"/>
                                        <w:bottom w:val="none" w:sz="0" w:space="0" w:color="auto"/>
                                        <w:right w:val="none" w:sz="0" w:space="0" w:color="auto"/>
                                      </w:divBdr>
                                      <w:divsChild>
                                        <w:div w:id="1963611782">
                                          <w:marLeft w:val="0"/>
                                          <w:marRight w:val="0"/>
                                          <w:marTop w:val="0"/>
                                          <w:marBottom w:val="0"/>
                                          <w:divBdr>
                                            <w:top w:val="none" w:sz="0" w:space="0" w:color="auto"/>
                                            <w:left w:val="none" w:sz="0" w:space="0" w:color="auto"/>
                                            <w:bottom w:val="none" w:sz="0" w:space="0" w:color="auto"/>
                                            <w:right w:val="none" w:sz="0" w:space="0" w:color="auto"/>
                                          </w:divBdr>
                                          <w:divsChild>
                                            <w:div w:id="1892569953">
                                              <w:marLeft w:val="0"/>
                                              <w:marRight w:val="0"/>
                                              <w:marTop w:val="0"/>
                                              <w:marBottom w:val="0"/>
                                              <w:divBdr>
                                                <w:top w:val="none" w:sz="0" w:space="0" w:color="auto"/>
                                                <w:left w:val="none" w:sz="0" w:space="0" w:color="auto"/>
                                                <w:bottom w:val="none" w:sz="0" w:space="0" w:color="auto"/>
                                                <w:right w:val="none" w:sz="0" w:space="0" w:color="auto"/>
                                              </w:divBdr>
                                              <w:divsChild>
                                                <w:div w:id="374621735">
                                                  <w:marLeft w:val="0"/>
                                                  <w:marRight w:val="0"/>
                                                  <w:marTop w:val="0"/>
                                                  <w:marBottom w:val="0"/>
                                                  <w:divBdr>
                                                    <w:top w:val="none" w:sz="0" w:space="0" w:color="auto"/>
                                                    <w:left w:val="none" w:sz="0" w:space="0" w:color="auto"/>
                                                    <w:bottom w:val="none" w:sz="0" w:space="0" w:color="auto"/>
                                                    <w:right w:val="none" w:sz="0" w:space="0" w:color="auto"/>
                                                  </w:divBdr>
                                                  <w:divsChild>
                                                    <w:div w:id="110321658">
                                                      <w:marLeft w:val="0"/>
                                                      <w:marRight w:val="0"/>
                                                      <w:marTop w:val="0"/>
                                                      <w:marBottom w:val="0"/>
                                                      <w:divBdr>
                                                        <w:top w:val="none" w:sz="0" w:space="0" w:color="auto"/>
                                                        <w:left w:val="none" w:sz="0" w:space="0" w:color="auto"/>
                                                        <w:bottom w:val="none" w:sz="0" w:space="0" w:color="auto"/>
                                                        <w:right w:val="none" w:sz="0" w:space="0" w:color="auto"/>
                                                      </w:divBdr>
                                                    </w:div>
                                                    <w:div w:id="342172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452257">
      <w:bodyDiv w:val="1"/>
      <w:marLeft w:val="0"/>
      <w:marRight w:val="0"/>
      <w:marTop w:val="0"/>
      <w:marBottom w:val="0"/>
      <w:divBdr>
        <w:top w:val="none" w:sz="0" w:space="0" w:color="auto"/>
        <w:left w:val="none" w:sz="0" w:space="0" w:color="auto"/>
        <w:bottom w:val="none" w:sz="0" w:space="0" w:color="auto"/>
        <w:right w:val="none" w:sz="0" w:space="0" w:color="auto"/>
      </w:divBdr>
      <w:divsChild>
        <w:div w:id="988292438">
          <w:marLeft w:val="0"/>
          <w:marRight w:val="0"/>
          <w:marTop w:val="0"/>
          <w:marBottom w:val="0"/>
          <w:divBdr>
            <w:top w:val="none" w:sz="0" w:space="0" w:color="auto"/>
            <w:left w:val="none" w:sz="0" w:space="0" w:color="auto"/>
            <w:bottom w:val="none" w:sz="0" w:space="0" w:color="auto"/>
            <w:right w:val="none" w:sz="0" w:space="0" w:color="auto"/>
          </w:divBdr>
        </w:div>
        <w:div w:id="2001929705">
          <w:marLeft w:val="0"/>
          <w:marRight w:val="0"/>
          <w:marTop w:val="0"/>
          <w:marBottom w:val="0"/>
          <w:divBdr>
            <w:top w:val="none" w:sz="0" w:space="0" w:color="auto"/>
            <w:left w:val="none" w:sz="0" w:space="0" w:color="auto"/>
            <w:bottom w:val="none" w:sz="0" w:space="0" w:color="auto"/>
            <w:right w:val="none" w:sz="0" w:space="0" w:color="auto"/>
          </w:divBdr>
        </w:div>
      </w:divsChild>
    </w:div>
    <w:div w:id="2050835023">
      <w:bodyDiv w:val="1"/>
      <w:marLeft w:val="0"/>
      <w:marRight w:val="0"/>
      <w:marTop w:val="0"/>
      <w:marBottom w:val="0"/>
      <w:divBdr>
        <w:top w:val="none" w:sz="0" w:space="0" w:color="auto"/>
        <w:left w:val="none" w:sz="0" w:space="0" w:color="auto"/>
        <w:bottom w:val="none" w:sz="0" w:space="0" w:color="auto"/>
        <w:right w:val="none" w:sz="0" w:space="0" w:color="auto"/>
      </w:divBdr>
    </w:div>
    <w:div w:id="2057311510">
      <w:bodyDiv w:val="1"/>
      <w:marLeft w:val="0"/>
      <w:marRight w:val="0"/>
      <w:marTop w:val="0"/>
      <w:marBottom w:val="0"/>
      <w:divBdr>
        <w:top w:val="none" w:sz="0" w:space="0" w:color="auto"/>
        <w:left w:val="none" w:sz="0" w:space="0" w:color="auto"/>
        <w:bottom w:val="none" w:sz="0" w:space="0" w:color="auto"/>
        <w:right w:val="none" w:sz="0" w:space="0" w:color="auto"/>
      </w:divBdr>
    </w:div>
    <w:div w:id="2073116353">
      <w:bodyDiv w:val="1"/>
      <w:marLeft w:val="0"/>
      <w:marRight w:val="0"/>
      <w:marTop w:val="0"/>
      <w:marBottom w:val="0"/>
      <w:divBdr>
        <w:top w:val="none" w:sz="0" w:space="0" w:color="auto"/>
        <w:left w:val="none" w:sz="0" w:space="0" w:color="auto"/>
        <w:bottom w:val="none" w:sz="0" w:space="0" w:color="auto"/>
        <w:right w:val="none" w:sz="0" w:space="0" w:color="auto"/>
      </w:divBdr>
      <w:divsChild>
        <w:div w:id="1752196106">
          <w:marLeft w:val="0"/>
          <w:marRight w:val="0"/>
          <w:marTop w:val="0"/>
          <w:marBottom w:val="0"/>
          <w:divBdr>
            <w:top w:val="none" w:sz="0" w:space="0" w:color="auto"/>
            <w:left w:val="none" w:sz="0" w:space="0" w:color="auto"/>
            <w:bottom w:val="none" w:sz="0" w:space="0" w:color="auto"/>
            <w:right w:val="none" w:sz="0" w:space="0" w:color="auto"/>
          </w:divBdr>
          <w:divsChild>
            <w:div w:id="587228063">
              <w:marLeft w:val="0"/>
              <w:marRight w:val="0"/>
              <w:marTop w:val="0"/>
              <w:marBottom w:val="0"/>
              <w:divBdr>
                <w:top w:val="none" w:sz="0" w:space="0" w:color="auto"/>
                <w:left w:val="none" w:sz="0" w:space="0" w:color="auto"/>
                <w:bottom w:val="none" w:sz="0" w:space="0" w:color="auto"/>
                <w:right w:val="none" w:sz="0" w:space="0" w:color="auto"/>
              </w:divBdr>
              <w:divsChild>
                <w:div w:id="1150054125">
                  <w:marLeft w:val="0"/>
                  <w:marRight w:val="0"/>
                  <w:marTop w:val="0"/>
                  <w:marBottom w:val="0"/>
                  <w:divBdr>
                    <w:top w:val="none" w:sz="0" w:space="0" w:color="auto"/>
                    <w:left w:val="none" w:sz="0" w:space="0" w:color="auto"/>
                    <w:bottom w:val="none" w:sz="0" w:space="0" w:color="auto"/>
                    <w:right w:val="none" w:sz="0" w:space="0" w:color="auto"/>
                  </w:divBdr>
                  <w:divsChild>
                    <w:div w:id="198138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7260149">
      <w:bodyDiv w:val="1"/>
      <w:marLeft w:val="0"/>
      <w:marRight w:val="0"/>
      <w:marTop w:val="0"/>
      <w:marBottom w:val="0"/>
      <w:divBdr>
        <w:top w:val="none" w:sz="0" w:space="0" w:color="auto"/>
        <w:left w:val="none" w:sz="0" w:space="0" w:color="auto"/>
        <w:bottom w:val="none" w:sz="0" w:space="0" w:color="auto"/>
        <w:right w:val="none" w:sz="0" w:space="0" w:color="auto"/>
      </w:divBdr>
    </w:div>
    <w:div w:id="2087652788">
      <w:bodyDiv w:val="1"/>
      <w:marLeft w:val="0"/>
      <w:marRight w:val="0"/>
      <w:marTop w:val="0"/>
      <w:marBottom w:val="0"/>
      <w:divBdr>
        <w:top w:val="none" w:sz="0" w:space="0" w:color="auto"/>
        <w:left w:val="none" w:sz="0" w:space="0" w:color="auto"/>
        <w:bottom w:val="none" w:sz="0" w:space="0" w:color="auto"/>
        <w:right w:val="none" w:sz="0" w:space="0" w:color="auto"/>
      </w:divBdr>
    </w:div>
    <w:div w:id="2094357373">
      <w:bodyDiv w:val="1"/>
      <w:marLeft w:val="0"/>
      <w:marRight w:val="0"/>
      <w:marTop w:val="0"/>
      <w:marBottom w:val="0"/>
      <w:divBdr>
        <w:top w:val="none" w:sz="0" w:space="0" w:color="auto"/>
        <w:left w:val="none" w:sz="0" w:space="0" w:color="auto"/>
        <w:bottom w:val="none" w:sz="0" w:space="0" w:color="auto"/>
        <w:right w:val="none" w:sz="0" w:space="0" w:color="auto"/>
      </w:divBdr>
    </w:div>
    <w:div w:id="2095007865">
      <w:bodyDiv w:val="1"/>
      <w:marLeft w:val="0"/>
      <w:marRight w:val="0"/>
      <w:marTop w:val="0"/>
      <w:marBottom w:val="0"/>
      <w:divBdr>
        <w:top w:val="none" w:sz="0" w:space="0" w:color="auto"/>
        <w:left w:val="none" w:sz="0" w:space="0" w:color="auto"/>
        <w:bottom w:val="none" w:sz="0" w:space="0" w:color="auto"/>
        <w:right w:val="none" w:sz="0" w:space="0" w:color="auto"/>
      </w:divBdr>
    </w:div>
    <w:div w:id="2107075370">
      <w:bodyDiv w:val="1"/>
      <w:marLeft w:val="0"/>
      <w:marRight w:val="0"/>
      <w:marTop w:val="0"/>
      <w:marBottom w:val="0"/>
      <w:divBdr>
        <w:top w:val="none" w:sz="0" w:space="0" w:color="auto"/>
        <w:left w:val="none" w:sz="0" w:space="0" w:color="auto"/>
        <w:bottom w:val="none" w:sz="0" w:space="0" w:color="auto"/>
        <w:right w:val="none" w:sz="0" w:space="0" w:color="auto"/>
      </w:divBdr>
    </w:div>
    <w:div w:id="2110660990">
      <w:bodyDiv w:val="1"/>
      <w:marLeft w:val="0"/>
      <w:marRight w:val="0"/>
      <w:marTop w:val="0"/>
      <w:marBottom w:val="0"/>
      <w:divBdr>
        <w:top w:val="none" w:sz="0" w:space="0" w:color="auto"/>
        <w:left w:val="none" w:sz="0" w:space="0" w:color="auto"/>
        <w:bottom w:val="none" w:sz="0" w:space="0" w:color="auto"/>
        <w:right w:val="none" w:sz="0" w:space="0" w:color="auto"/>
      </w:divBdr>
    </w:div>
    <w:div w:id="2115442491">
      <w:bodyDiv w:val="1"/>
      <w:marLeft w:val="0"/>
      <w:marRight w:val="0"/>
      <w:marTop w:val="0"/>
      <w:marBottom w:val="0"/>
      <w:divBdr>
        <w:top w:val="none" w:sz="0" w:space="0" w:color="auto"/>
        <w:left w:val="none" w:sz="0" w:space="0" w:color="auto"/>
        <w:bottom w:val="none" w:sz="0" w:space="0" w:color="auto"/>
        <w:right w:val="none" w:sz="0" w:space="0" w:color="auto"/>
      </w:divBdr>
    </w:div>
    <w:div w:id="2118019280">
      <w:bodyDiv w:val="1"/>
      <w:marLeft w:val="0"/>
      <w:marRight w:val="0"/>
      <w:marTop w:val="0"/>
      <w:marBottom w:val="0"/>
      <w:divBdr>
        <w:top w:val="none" w:sz="0" w:space="0" w:color="auto"/>
        <w:left w:val="none" w:sz="0" w:space="0" w:color="auto"/>
        <w:bottom w:val="none" w:sz="0" w:space="0" w:color="auto"/>
        <w:right w:val="none" w:sz="0" w:space="0" w:color="auto"/>
      </w:divBdr>
    </w:div>
    <w:div w:id="2118090268">
      <w:bodyDiv w:val="1"/>
      <w:marLeft w:val="0"/>
      <w:marRight w:val="0"/>
      <w:marTop w:val="0"/>
      <w:marBottom w:val="0"/>
      <w:divBdr>
        <w:top w:val="none" w:sz="0" w:space="0" w:color="auto"/>
        <w:left w:val="none" w:sz="0" w:space="0" w:color="auto"/>
        <w:bottom w:val="none" w:sz="0" w:space="0" w:color="auto"/>
        <w:right w:val="none" w:sz="0" w:space="0" w:color="auto"/>
      </w:divBdr>
    </w:div>
    <w:div w:id="2128036438">
      <w:bodyDiv w:val="1"/>
      <w:marLeft w:val="0"/>
      <w:marRight w:val="0"/>
      <w:marTop w:val="0"/>
      <w:marBottom w:val="0"/>
      <w:divBdr>
        <w:top w:val="none" w:sz="0" w:space="0" w:color="auto"/>
        <w:left w:val="none" w:sz="0" w:space="0" w:color="auto"/>
        <w:bottom w:val="none" w:sz="0" w:space="0" w:color="auto"/>
        <w:right w:val="none" w:sz="0" w:space="0" w:color="auto"/>
      </w:divBdr>
    </w:div>
    <w:div w:id="2142922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DA9A00880299F4AAD2D5B0B53B2C1F6" ma:contentTypeVersion="7" ma:contentTypeDescription="Create a new document." ma:contentTypeScope="" ma:versionID="b0d8333c506e4549e2670211e8eab097">
  <xsd:schema xmlns:xsd="http://www.w3.org/2001/XMLSchema" xmlns:xs="http://www.w3.org/2001/XMLSchema" xmlns:p="http://schemas.microsoft.com/office/2006/metadata/properties" xmlns:ns2="819ef9f1-218f-4834-b5d0-cb788d88d536" targetNamespace="http://schemas.microsoft.com/office/2006/metadata/properties" ma:root="true" ma:fieldsID="d88bd22a48b6d5b3da71bebc44a029d0" ns2:_="">
    <xsd:import namespace="819ef9f1-218f-4834-b5d0-cb788d88d53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9ef9f1-218f-4834-b5d0-cb788d88d5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85BDF27-0710-4EFD-B217-CE755F2FE8C0}">
  <ds:schemaRefs>
    <ds:schemaRef ds:uri="http://schemas.microsoft.com/sharepoint/v3/contenttype/forms"/>
  </ds:schemaRefs>
</ds:datastoreItem>
</file>

<file path=customXml/itemProps2.xml><?xml version="1.0" encoding="utf-8"?>
<ds:datastoreItem xmlns:ds="http://schemas.openxmlformats.org/officeDocument/2006/customXml" ds:itemID="{24CBB317-46B1-41E0-929E-54F849844382}">
  <ds:schemaRefs>
    <ds:schemaRef ds:uri="http://schemas.openxmlformats.org/officeDocument/2006/bibliography"/>
  </ds:schemaRefs>
</ds:datastoreItem>
</file>

<file path=customXml/itemProps3.xml><?xml version="1.0" encoding="utf-8"?>
<ds:datastoreItem xmlns:ds="http://schemas.openxmlformats.org/officeDocument/2006/customXml" ds:itemID="{F4516BE5-6776-44A5-B874-37594D50DB74}">
  <ds:schemaRefs>
    <ds:schemaRef ds:uri="http://schemas.openxmlformats.org/package/2006/metadata/core-properties"/>
    <ds:schemaRef ds:uri="http://purl.org/dc/elements/1.1/"/>
    <ds:schemaRef ds:uri="http://schemas.microsoft.com/office/infopath/2007/PartnerControls"/>
    <ds:schemaRef ds:uri="http://purl.org/dc/terms/"/>
    <ds:schemaRef ds:uri="http://schemas.microsoft.com/office/2006/metadata/properties"/>
    <ds:schemaRef ds:uri="51a7804a-06c9-4374-91f9-33da0c14cb29"/>
    <ds:schemaRef ds:uri="http://schemas.microsoft.com/office/2006/documentManagement/types"/>
    <ds:schemaRef ds:uri="8fce7146-a526-43c2-8236-28cf76b21ea5"/>
    <ds:schemaRef ds:uri="http://www.w3.org/XML/1998/namespace"/>
    <ds:schemaRef ds:uri="http://purl.org/dc/dcmitype/"/>
  </ds:schemaRefs>
</ds:datastoreItem>
</file>

<file path=customXml/itemProps4.xml><?xml version="1.0" encoding="utf-8"?>
<ds:datastoreItem xmlns:ds="http://schemas.openxmlformats.org/officeDocument/2006/customXml" ds:itemID="{8E6D9CD9-9A8B-4497-BA96-206748BB6A39}"/>
</file>

<file path=docProps/app.xml><?xml version="1.0" encoding="utf-8"?>
<Properties xmlns="http://schemas.openxmlformats.org/officeDocument/2006/extended-properties" xmlns:vt="http://schemas.openxmlformats.org/officeDocument/2006/docPropsVTypes">
  <Template>Normal.dotm</Template>
  <TotalTime>7</TotalTime>
  <Pages>39</Pages>
  <Words>11823</Words>
  <Characters>67396</Characters>
  <Application>Microsoft Office Word</Application>
  <DocSecurity>0</DocSecurity>
  <Lines>561</Lines>
  <Paragraphs>158</Paragraphs>
  <ScaleCrop>false</ScaleCrop>
  <Company/>
  <LinksUpToDate>false</LinksUpToDate>
  <CharactersWithSpaces>79061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Evans, Dan</dc:creator>
  <cp:keywords/>
  <cp:lastModifiedBy>Kaminski, Anne [RNDBE NON-J&amp;J]</cp:lastModifiedBy>
  <cp:revision>46</cp:revision>
  <dcterms:created xsi:type="dcterms:W3CDTF">2023-02-24T04:30:00Z</dcterms:created>
  <dcterms:modified xsi:type="dcterms:W3CDTF">2023-05-04T12:59:00Z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 Type">
    <vt:lpwstr>SAP</vt:lpwstr>
  </property>
  <property fmtid="{D5CDD505-2E9C-101B-9397-08002B2CF9AE}" pid="3" name="Template Version">
    <vt:lpwstr>3.0</vt:lpwstr>
  </property>
  <property fmtid="{D5CDD505-2E9C-101B-9397-08002B2CF9AE}" pid="4" name="ContentTypeId">
    <vt:lpwstr>0x0101007DA9A00880299F4AAD2D5B0B53B2C1F6</vt:lpwstr>
  </property>
  <property fmtid="{D5CDD505-2E9C-101B-9397-08002B2CF9AE}" pid="5" name="_dlc_DocIdItemGuid">
    <vt:lpwstr>0c52b590-f7db-4401-93f5-eda02fc6a347</vt:lpwstr>
  </property>
  <property fmtid="{D5CDD505-2E9C-101B-9397-08002B2CF9AE}" pid="6" name="Order">
    <vt:r8>956600</vt:r8>
  </property>
  <property fmtid="{D5CDD505-2E9C-101B-9397-08002B2CF9AE}" pid="7" name="xd_Signature">
    <vt:bool>false</vt:bool>
  </property>
  <property fmtid="{D5CDD505-2E9C-101B-9397-08002B2CF9AE}" pid="8" name="xd_ProgID">
    <vt:lpwstr/>
  </property>
  <property fmtid="{D5CDD505-2E9C-101B-9397-08002B2CF9AE}" pid="9" name="TemplateUrl">
    <vt:lpwstr/>
  </property>
  <property fmtid="{D5CDD505-2E9C-101B-9397-08002B2CF9AE}" pid="10" name="ComplianceAssetId">
    <vt:lpwstr/>
  </property>
  <property fmtid="{D5CDD505-2E9C-101B-9397-08002B2CF9AE}" pid="11" name="MSIP_Label_4929bff8-5b33-42aa-95d2-28f72e792cb0_Enabled">
    <vt:lpwstr>true</vt:lpwstr>
  </property>
  <property fmtid="{D5CDD505-2E9C-101B-9397-08002B2CF9AE}" pid="12" name="MSIP_Label_4929bff8-5b33-42aa-95d2-28f72e792cb0_SetDate">
    <vt:lpwstr>2020-11-10T16:07:38Z</vt:lpwstr>
  </property>
  <property fmtid="{D5CDD505-2E9C-101B-9397-08002B2CF9AE}" pid="13" name="MSIP_Label_4929bff8-5b33-42aa-95d2-28f72e792cb0_Method">
    <vt:lpwstr>Privileged</vt:lpwstr>
  </property>
  <property fmtid="{D5CDD505-2E9C-101B-9397-08002B2CF9AE}" pid="14" name="MSIP_Label_4929bff8-5b33-42aa-95d2-28f72e792cb0_Name">
    <vt:lpwstr>Internal</vt:lpwstr>
  </property>
  <property fmtid="{D5CDD505-2E9C-101B-9397-08002B2CF9AE}" pid="15" name="MSIP_Label_4929bff8-5b33-42aa-95d2-28f72e792cb0_SiteId">
    <vt:lpwstr>f35a6974-607f-47d4-82d7-ff31d7dc53a5</vt:lpwstr>
  </property>
  <property fmtid="{D5CDD505-2E9C-101B-9397-08002B2CF9AE}" pid="16" name="MSIP_Label_4929bff8-5b33-42aa-95d2-28f72e792cb0_ActionId">
    <vt:lpwstr>34834828-0531-49a3-b5ef-b32647ed66f7</vt:lpwstr>
  </property>
  <property fmtid="{D5CDD505-2E9C-101B-9397-08002B2CF9AE}" pid="17" name="MSIP_Label_4929bff8-5b33-42aa-95d2-28f72e792cb0_ContentBits">
    <vt:lpwstr>0</vt:lpwstr>
  </property>
  <property fmtid="{D5CDD505-2E9C-101B-9397-08002B2CF9AE}" pid="18" name="MediaServiceImageTags">
    <vt:lpwstr/>
  </property>
</Properties>
</file>