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454"/>
        <w:tblW w:w="5000" w:type="pct"/>
        <w:tblLook w:val="04A0" w:firstRow="1" w:lastRow="0" w:firstColumn="1" w:lastColumn="0" w:noHBand="0" w:noVBand="1"/>
      </w:tblPr>
      <w:tblGrid>
        <w:gridCol w:w="703"/>
        <w:gridCol w:w="686"/>
        <w:gridCol w:w="1133"/>
        <w:gridCol w:w="1629"/>
        <w:gridCol w:w="1629"/>
        <w:gridCol w:w="1372"/>
        <w:gridCol w:w="1370"/>
      </w:tblGrid>
      <w:tr w:rsidR="002429A6" w:rsidRPr="00977C49" w:rsidTr="002429A6">
        <w:tc>
          <w:tcPr>
            <w:tcW w:w="412" w:type="pct"/>
          </w:tcPr>
          <w:p w:rsidR="00650910" w:rsidRPr="00977C49" w:rsidRDefault="00650910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Cases</w:t>
            </w:r>
          </w:p>
        </w:tc>
        <w:tc>
          <w:tcPr>
            <w:tcW w:w="402" w:type="pct"/>
          </w:tcPr>
          <w:p w:rsidR="00650910" w:rsidRPr="00977C49" w:rsidRDefault="00650910" w:rsidP="002429A6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665" w:type="pct"/>
          </w:tcPr>
          <w:p w:rsidR="00650910" w:rsidRPr="00977C49" w:rsidRDefault="00650910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Gender</w:t>
            </w:r>
          </w:p>
        </w:tc>
        <w:tc>
          <w:tcPr>
            <w:tcW w:w="956" w:type="pct"/>
          </w:tcPr>
          <w:p w:rsidR="00650910" w:rsidRPr="00977C49" w:rsidRDefault="00650910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G (Inflammation)</w:t>
            </w:r>
          </w:p>
        </w:tc>
        <w:tc>
          <w:tcPr>
            <w:tcW w:w="956" w:type="pct"/>
          </w:tcPr>
          <w:p w:rsidR="00650910" w:rsidRPr="00977C49" w:rsidRDefault="00650910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S (Fibrosis)</w:t>
            </w:r>
          </w:p>
        </w:tc>
        <w:tc>
          <w:tcPr>
            <w:tcW w:w="805" w:type="pct"/>
          </w:tcPr>
          <w:p w:rsidR="00650910" w:rsidRPr="00977C49" w:rsidRDefault="00650910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 xml:space="preserve">ALT (U/L) </w:t>
            </w:r>
          </w:p>
        </w:tc>
        <w:tc>
          <w:tcPr>
            <w:tcW w:w="804" w:type="pct"/>
          </w:tcPr>
          <w:p w:rsidR="00650910" w:rsidRPr="00977C49" w:rsidRDefault="00650910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AST (U/L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55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47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47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43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33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38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53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26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45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32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45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49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96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43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25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33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79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58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48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39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31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46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78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32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26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43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31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</w:tr>
      <w:tr w:rsidR="002429A6" w:rsidRPr="00977C49" w:rsidTr="002429A6">
        <w:tc>
          <w:tcPr>
            <w:tcW w:w="412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402" w:type="pct"/>
            <w:vAlign w:val="bottom"/>
          </w:tcPr>
          <w:p w:rsidR="00356177" w:rsidRPr="00977C49" w:rsidRDefault="00356177" w:rsidP="002429A6">
            <w:pPr>
              <w:jc w:val="left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45</w:t>
            </w:r>
          </w:p>
        </w:tc>
        <w:tc>
          <w:tcPr>
            <w:tcW w:w="665" w:type="pct"/>
            <w:vAlign w:val="bottom"/>
          </w:tcPr>
          <w:p w:rsidR="00356177" w:rsidRPr="00977C49" w:rsidRDefault="002429A6" w:rsidP="002429A6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956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5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804" w:type="pct"/>
          </w:tcPr>
          <w:p w:rsidR="00356177" w:rsidRPr="00977C49" w:rsidRDefault="00356177" w:rsidP="002429A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</w:tr>
    </w:tbl>
    <w:p w:rsidR="00DC704A" w:rsidRPr="00977C49" w:rsidRDefault="00AE26DA" w:rsidP="002429A6">
      <w:pPr>
        <w:jc w:val="center"/>
        <w:rPr>
          <w:rFonts w:ascii="Times New Roman" w:hAnsi="Times New Roman" w:cs="Times New Roman"/>
          <w:sz w:val="15"/>
          <w:szCs w:val="15"/>
        </w:rPr>
      </w:pPr>
      <w:bookmarkStart w:id="0" w:name="_GoBack"/>
      <w:r w:rsidRPr="00977C49">
        <w:rPr>
          <w:rFonts w:ascii="Times New Roman" w:hAnsi="Times New Roman" w:cs="Times New Roman"/>
          <w:b/>
          <w:sz w:val="15"/>
          <w:szCs w:val="15"/>
        </w:rPr>
        <w:t>Supplemental</w:t>
      </w:r>
      <w:r w:rsidRPr="00977C49">
        <w:rPr>
          <w:rFonts w:ascii="Times New Roman" w:hAnsi="Times New Roman" w:cs="Times New Roman"/>
          <w:sz w:val="15"/>
          <w:szCs w:val="15"/>
        </w:rPr>
        <w:t xml:space="preserve"> </w:t>
      </w:r>
      <w:r w:rsidR="002429A6" w:rsidRPr="00977C49">
        <w:rPr>
          <w:rFonts w:ascii="Times New Roman" w:hAnsi="Times New Roman" w:cs="Times New Roman"/>
          <w:b/>
          <w:sz w:val="15"/>
          <w:szCs w:val="15"/>
        </w:rPr>
        <w:t>Table</w:t>
      </w:r>
      <w:r w:rsidRPr="00977C49">
        <w:rPr>
          <w:rFonts w:ascii="Times New Roman" w:hAnsi="Times New Roman" w:cs="Times New Roman" w:hint="eastAsia"/>
          <w:b/>
          <w:sz w:val="15"/>
          <w:szCs w:val="15"/>
        </w:rPr>
        <w:t xml:space="preserve"> </w:t>
      </w:r>
      <w:r w:rsidR="002429A6" w:rsidRPr="00977C49">
        <w:rPr>
          <w:rFonts w:ascii="Times New Roman" w:hAnsi="Times New Roman" w:cs="Times New Roman" w:hint="eastAsia"/>
          <w:b/>
          <w:sz w:val="15"/>
          <w:szCs w:val="15"/>
        </w:rPr>
        <w:t>1</w:t>
      </w:r>
      <w:r w:rsidR="002429A6" w:rsidRPr="00977C49">
        <w:rPr>
          <w:rFonts w:ascii="Times New Roman" w:hAnsi="Times New Roman" w:cs="Times New Roman" w:hint="eastAsia"/>
          <w:sz w:val="15"/>
          <w:szCs w:val="15"/>
        </w:rPr>
        <w:t xml:space="preserve"> </w:t>
      </w:r>
      <w:r w:rsidR="002429A6" w:rsidRPr="00977C49">
        <w:rPr>
          <w:rFonts w:ascii="Times New Roman" w:hAnsi="Times New Roman" w:cs="Times New Roman"/>
          <w:sz w:val="15"/>
          <w:szCs w:val="15"/>
        </w:rPr>
        <w:t>Baseline characteristics of</w:t>
      </w:r>
      <w:r w:rsidR="002429A6" w:rsidRPr="00977C49">
        <w:rPr>
          <w:rFonts w:ascii="Times New Roman" w:hAnsi="Times New Roman" w:cs="Times New Roman" w:hint="eastAsia"/>
          <w:sz w:val="15"/>
          <w:szCs w:val="15"/>
        </w:rPr>
        <w:t xml:space="preserve"> </w:t>
      </w:r>
      <w:r w:rsidR="002429A6" w:rsidRPr="00977C49">
        <w:rPr>
          <w:rFonts w:ascii="Times New Roman" w:hAnsi="Times New Roman" w:cs="Times New Roman"/>
          <w:sz w:val="15"/>
          <w:szCs w:val="15"/>
        </w:rPr>
        <w:t xml:space="preserve">each </w:t>
      </w:r>
      <w:r w:rsidR="002429A6" w:rsidRPr="00977C49">
        <w:rPr>
          <w:rFonts w:ascii="Times New Roman" w:hAnsi="Times New Roman" w:cs="Times New Roman" w:hint="eastAsia"/>
          <w:sz w:val="15"/>
          <w:szCs w:val="15"/>
        </w:rPr>
        <w:t xml:space="preserve">chronic HBV infection </w:t>
      </w:r>
      <w:r w:rsidR="002429A6" w:rsidRPr="00977C49">
        <w:rPr>
          <w:rFonts w:ascii="Times New Roman" w:hAnsi="Times New Roman" w:cs="Times New Roman"/>
          <w:sz w:val="15"/>
          <w:szCs w:val="15"/>
        </w:rPr>
        <w:t>patient</w:t>
      </w:r>
      <w:r w:rsidR="002429A6" w:rsidRPr="00977C49">
        <w:rPr>
          <w:rFonts w:ascii="Times New Roman" w:hAnsi="Times New Roman" w:cs="Times New Roman" w:hint="eastAsia"/>
          <w:sz w:val="15"/>
          <w:szCs w:val="15"/>
        </w:rPr>
        <w:t xml:space="preserve"> receiving liver biopsies</w:t>
      </w:r>
    </w:p>
    <w:bookmarkEnd w:id="0"/>
    <w:p w:rsidR="00D43425" w:rsidRDefault="00D43425" w:rsidP="002429A6">
      <w:pPr>
        <w:jc w:val="center"/>
        <w:rPr>
          <w:rFonts w:ascii="Times New Roman" w:hAnsi="Times New Roman" w:cs="Times New Roman"/>
          <w:sz w:val="15"/>
          <w:szCs w:val="15"/>
        </w:rPr>
      </w:pPr>
    </w:p>
    <w:p w:rsidR="00D43425" w:rsidRDefault="00D43425" w:rsidP="002429A6">
      <w:pPr>
        <w:jc w:val="center"/>
        <w:rPr>
          <w:rFonts w:ascii="Times New Roman" w:hAnsi="Times New Roman" w:cs="Times New Roman"/>
          <w:sz w:val="15"/>
          <w:szCs w:val="15"/>
        </w:rPr>
      </w:pPr>
    </w:p>
    <w:p w:rsidR="00D43425" w:rsidRDefault="00D43425" w:rsidP="002429A6">
      <w:pPr>
        <w:jc w:val="center"/>
        <w:rPr>
          <w:rFonts w:ascii="Times New Roman" w:hAnsi="Times New Roman" w:cs="Times New Roman"/>
          <w:sz w:val="15"/>
          <w:szCs w:val="15"/>
        </w:rPr>
      </w:pPr>
    </w:p>
    <w:p w:rsidR="00D43425" w:rsidRDefault="00D43425" w:rsidP="002429A6">
      <w:pPr>
        <w:jc w:val="center"/>
        <w:rPr>
          <w:rFonts w:ascii="Times New Roman" w:hAnsi="Times New Roman" w:cs="Times New Roman"/>
          <w:sz w:val="15"/>
          <w:szCs w:val="15"/>
        </w:rPr>
      </w:pPr>
    </w:p>
    <w:p w:rsidR="00D43425" w:rsidRDefault="00D43425" w:rsidP="002429A6">
      <w:pPr>
        <w:jc w:val="center"/>
        <w:rPr>
          <w:rFonts w:ascii="Times New Roman" w:hAnsi="Times New Roman" w:cs="Times New Roman"/>
          <w:sz w:val="15"/>
          <w:szCs w:val="15"/>
        </w:rPr>
      </w:pPr>
    </w:p>
    <w:p w:rsidR="00D43425" w:rsidRDefault="00D43425" w:rsidP="002429A6">
      <w:pPr>
        <w:jc w:val="center"/>
        <w:rPr>
          <w:rFonts w:ascii="Times New Roman" w:hAnsi="Times New Roman" w:cs="Times New Roman"/>
          <w:sz w:val="15"/>
          <w:szCs w:val="15"/>
        </w:rPr>
      </w:pPr>
    </w:p>
    <w:p w:rsidR="00D43425" w:rsidRDefault="00D43425" w:rsidP="002429A6">
      <w:pPr>
        <w:jc w:val="center"/>
        <w:rPr>
          <w:rFonts w:ascii="Times New Roman" w:hAnsi="Times New Roman" w:cs="Times New Roman"/>
          <w:sz w:val="15"/>
          <w:szCs w:val="15"/>
        </w:rPr>
      </w:pPr>
    </w:p>
    <w:p w:rsidR="00D43425" w:rsidRDefault="00D43425" w:rsidP="002429A6">
      <w:pPr>
        <w:jc w:val="center"/>
        <w:rPr>
          <w:rFonts w:ascii="Times New Roman" w:hAnsi="Times New Roman" w:cs="Times New Roman"/>
          <w:sz w:val="15"/>
          <w:szCs w:val="15"/>
        </w:rPr>
      </w:pPr>
    </w:p>
    <w:p w:rsidR="00977C49" w:rsidRDefault="00977C49" w:rsidP="00977C49">
      <w:pPr>
        <w:rPr>
          <w:rFonts w:ascii="Times New Roman" w:hAnsi="Times New Roman" w:cs="Times New Roman" w:hint="eastAsia"/>
          <w:b/>
          <w:sz w:val="15"/>
          <w:szCs w:val="15"/>
        </w:rPr>
      </w:pPr>
    </w:p>
    <w:p w:rsidR="00D43425" w:rsidRPr="00977C49" w:rsidRDefault="00977C49" w:rsidP="00977C49">
      <w:pPr>
        <w:rPr>
          <w:rFonts w:ascii="Times New Roman" w:hAnsi="Times New Roman" w:cs="Times New Roman"/>
          <w:sz w:val="15"/>
          <w:szCs w:val="15"/>
        </w:rPr>
      </w:pPr>
      <w:r w:rsidRPr="00977C49">
        <w:rPr>
          <w:rFonts w:ascii="Times New Roman" w:hAnsi="Times New Roman" w:cs="Times New Roman"/>
          <w:b/>
          <w:sz w:val="15"/>
          <w:szCs w:val="15"/>
        </w:rPr>
        <w:lastRenderedPageBreak/>
        <w:t>Supplemental</w:t>
      </w:r>
      <w:r w:rsidRPr="00977C49">
        <w:rPr>
          <w:rFonts w:ascii="Times New Roman" w:hAnsi="Times New Roman" w:cs="Times New Roman"/>
          <w:sz w:val="15"/>
          <w:szCs w:val="15"/>
        </w:rPr>
        <w:t xml:space="preserve"> </w:t>
      </w:r>
      <w:r w:rsidRPr="00977C49">
        <w:rPr>
          <w:rFonts w:ascii="Times New Roman" w:hAnsi="Times New Roman" w:cs="Times New Roman"/>
          <w:b/>
          <w:sz w:val="15"/>
          <w:szCs w:val="15"/>
        </w:rPr>
        <w:t xml:space="preserve">Table </w:t>
      </w:r>
      <w:r w:rsidRPr="00977C49">
        <w:rPr>
          <w:rFonts w:ascii="Times New Roman" w:hAnsi="Times New Roman" w:cs="Times New Roman"/>
          <w:b/>
          <w:sz w:val="15"/>
          <w:szCs w:val="15"/>
        </w:rPr>
        <w:t>2</w:t>
      </w:r>
      <w:r w:rsidR="00D43425" w:rsidRPr="00977C49">
        <w:rPr>
          <w:rFonts w:ascii="Times New Roman" w:hAnsi="Times New Roman" w:cs="Times New Roman"/>
          <w:sz w:val="15"/>
          <w:szCs w:val="15"/>
        </w:rPr>
        <w:t xml:space="preserve"> Levels of serum ALT or AST in chronic HBV infection patients with different hepatic inflammatory grades</w:t>
      </w:r>
    </w:p>
    <w:tbl>
      <w:tblPr>
        <w:tblStyle w:val="a5"/>
        <w:tblpPr w:leftFromText="180" w:rightFromText="180" w:horzAnchor="margin" w:tblpY="440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3461"/>
        <w:gridCol w:w="3461"/>
        <w:gridCol w:w="759"/>
      </w:tblGrid>
      <w:tr w:rsidR="00D43425" w:rsidRPr="00977C49" w:rsidTr="001B4000">
        <w:tc>
          <w:tcPr>
            <w:tcW w:w="841" w:type="dxa"/>
            <w:tcBorders>
              <w:top w:val="single" w:sz="8" w:space="0" w:color="auto"/>
              <w:bottom w:val="single" w:sz="4" w:space="0" w:color="auto"/>
            </w:tcBorders>
          </w:tcPr>
          <w:p w:rsidR="00D43425" w:rsidRPr="00977C49" w:rsidRDefault="00D43425" w:rsidP="001B40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Variables</w:t>
            </w:r>
          </w:p>
        </w:tc>
        <w:tc>
          <w:tcPr>
            <w:tcW w:w="3461" w:type="dxa"/>
            <w:tcBorders>
              <w:top w:val="single" w:sz="8" w:space="0" w:color="auto"/>
              <w:bottom w:val="single" w:sz="4" w:space="0" w:color="auto"/>
            </w:tcBorders>
          </w:tcPr>
          <w:p w:rsidR="00D43425" w:rsidRPr="00977C49" w:rsidRDefault="00D43425" w:rsidP="001B40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Chronic HBV infection patients with low hepatic inflammatory grade (G0-2) (</w:t>
            </w:r>
            <w:r w:rsidRPr="00977C49">
              <w:rPr>
                <w:rFonts w:ascii="Times New Roman" w:hAnsi="Times New Roman" w:cs="Times New Roman"/>
                <w:i/>
                <w:sz w:val="15"/>
                <w:szCs w:val="15"/>
              </w:rPr>
              <w:t>n</w:t>
            </w: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=17)</w:t>
            </w:r>
          </w:p>
        </w:tc>
        <w:tc>
          <w:tcPr>
            <w:tcW w:w="3461" w:type="dxa"/>
            <w:tcBorders>
              <w:top w:val="single" w:sz="8" w:space="0" w:color="auto"/>
              <w:bottom w:val="single" w:sz="4" w:space="0" w:color="auto"/>
            </w:tcBorders>
          </w:tcPr>
          <w:p w:rsidR="00D43425" w:rsidRPr="00977C49" w:rsidRDefault="00D43425" w:rsidP="001B40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Chronic HBV infection patients with high hepatic inflammatory grade (G3-4) (</w:t>
            </w:r>
            <w:r w:rsidRPr="00977C49">
              <w:rPr>
                <w:rFonts w:ascii="Times New Roman" w:hAnsi="Times New Roman" w:cs="Times New Roman"/>
                <w:i/>
                <w:sz w:val="15"/>
                <w:szCs w:val="15"/>
              </w:rPr>
              <w:t>n</w:t>
            </w: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=15)</w:t>
            </w:r>
          </w:p>
        </w:tc>
        <w:tc>
          <w:tcPr>
            <w:tcW w:w="759" w:type="dxa"/>
            <w:tcBorders>
              <w:top w:val="single" w:sz="8" w:space="0" w:color="auto"/>
              <w:bottom w:val="single" w:sz="4" w:space="0" w:color="auto"/>
            </w:tcBorders>
          </w:tcPr>
          <w:p w:rsidR="00D43425" w:rsidRPr="00977C49" w:rsidRDefault="00D43425" w:rsidP="001B40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i/>
                <w:sz w:val="15"/>
                <w:szCs w:val="15"/>
              </w:rPr>
              <w:t>P</w:t>
            </w: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 xml:space="preserve"> value</w:t>
            </w:r>
          </w:p>
        </w:tc>
      </w:tr>
      <w:tr w:rsidR="00D43425" w:rsidRPr="00977C49" w:rsidTr="001B4000">
        <w:tc>
          <w:tcPr>
            <w:tcW w:w="841" w:type="dxa"/>
            <w:tcBorders>
              <w:top w:val="single" w:sz="4" w:space="0" w:color="auto"/>
            </w:tcBorders>
          </w:tcPr>
          <w:p w:rsidR="00D43425" w:rsidRPr="00977C49" w:rsidRDefault="00D43425" w:rsidP="001B40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ALT(U/L)</w:t>
            </w:r>
          </w:p>
        </w:tc>
        <w:tc>
          <w:tcPr>
            <w:tcW w:w="3461" w:type="dxa"/>
            <w:tcBorders>
              <w:top w:val="single" w:sz="4" w:space="0" w:color="auto"/>
            </w:tcBorders>
          </w:tcPr>
          <w:p w:rsidR="00D43425" w:rsidRPr="00977C49" w:rsidRDefault="00D43425" w:rsidP="001B40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21.0(19.5-32.0)</w:t>
            </w:r>
          </w:p>
        </w:tc>
        <w:tc>
          <w:tcPr>
            <w:tcW w:w="3461" w:type="dxa"/>
            <w:tcBorders>
              <w:top w:val="single" w:sz="4" w:space="0" w:color="auto"/>
            </w:tcBorders>
          </w:tcPr>
          <w:p w:rsidR="00D43425" w:rsidRPr="00977C49" w:rsidRDefault="00D43425" w:rsidP="001B40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32.0(16.0-37.0)</w:t>
            </w: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D43425" w:rsidRPr="00977C49" w:rsidRDefault="00D43425" w:rsidP="001B40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＞</w:t>
            </w: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</w:tr>
      <w:tr w:rsidR="00D43425" w:rsidRPr="00977C49" w:rsidTr="001B4000">
        <w:tc>
          <w:tcPr>
            <w:tcW w:w="841" w:type="dxa"/>
          </w:tcPr>
          <w:p w:rsidR="00D43425" w:rsidRPr="00977C49" w:rsidRDefault="00D43425" w:rsidP="001B40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AST(U/L)</w:t>
            </w:r>
          </w:p>
        </w:tc>
        <w:tc>
          <w:tcPr>
            <w:tcW w:w="3461" w:type="dxa"/>
          </w:tcPr>
          <w:p w:rsidR="00D43425" w:rsidRPr="00977C49" w:rsidRDefault="00D43425" w:rsidP="001B40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21.0(16.5-23.5)</w:t>
            </w:r>
          </w:p>
        </w:tc>
        <w:tc>
          <w:tcPr>
            <w:tcW w:w="3461" w:type="dxa"/>
          </w:tcPr>
          <w:p w:rsidR="00D43425" w:rsidRPr="00977C49" w:rsidRDefault="00D43425" w:rsidP="001B40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25.0(31.0-45.0)</w:t>
            </w:r>
          </w:p>
        </w:tc>
        <w:tc>
          <w:tcPr>
            <w:tcW w:w="759" w:type="dxa"/>
          </w:tcPr>
          <w:p w:rsidR="00D43425" w:rsidRPr="00977C49" w:rsidRDefault="00D43425" w:rsidP="001B400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＞</w:t>
            </w:r>
            <w:r w:rsidRPr="00977C49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</w:tc>
      </w:tr>
    </w:tbl>
    <w:p w:rsidR="00D43425" w:rsidRPr="00977C49" w:rsidRDefault="00D43425" w:rsidP="00D43425">
      <w:pPr>
        <w:rPr>
          <w:rFonts w:ascii="Times New Roman" w:hAnsi="Times New Roman" w:cs="Times New Roman"/>
          <w:sz w:val="15"/>
          <w:szCs w:val="15"/>
        </w:rPr>
      </w:pPr>
      <w:r w:rsidRPr="00977C49">
        <w:rPr>
          <w:rFonts w:ascii="Times New Roman" w:hAnsi="Times New Roman" w:cs="Times New Roman"/>
          <w:sz w:val="15"/>
          <w:szCs w:val="15"/>
        </w:rPr>
        <w:t>HBV, hepatitis B virus; ALT, alanine aminotransferase; AST, aspartate aminotransferase; Data are shown as median (centile 25; centile 75).</w:t>
      </w:r>
    </w:p>
    <w:p w:rsidR="00D43425" w:rsidRPr="00D43425" w:rsidRDefault="00D43425" w:rsidP="00D43425">
      <w:pPr>
        <w:jc w:val="left"/>
      </w:pPr>
    </w:p>
    <w:sectPr w:rsidR="00D43425" w:rsidRPr="00D43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46E" w:rsidRDefault="0098246E" w:rsidP="00650910">
      <w:r>
        <w:separator/>
      </w:r>
    </w:p>
  </w:endnote>
  <w:endnote w:type="continuationSeparator" w:id="0">
    <w:p w:rsidR="0098246E" w:rsidRDefault="0098246E" w:rsidP="0065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46E" w:rsidRDefault="0098246E" w:rsidP="00650910">
      <w:r>
        <w:separator/>
      </w:r>
    </w:p>
  </w:footnote>
  <w:footnote w:type="continuationSeparator" w:id="0">
    <w:p w:rsidR="0098246E" w:rsidRDefault="0098246E" w:rsidP="00650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76"/>
    <w:rsid w:val="002429A6"/>
    <w:rsid w:val="00356177"/>
    <w:rsid w:val="00372076"/>
    <w:rsid w:val="005C1D95"/>
    <w:rsid w:val="00650910"/>
    <w:rsid w:val="00977C49"/>
    <w:rsid w:val="0098246E"/>
    <w:rsid w:val="00AE26DA"/>
    <w:rsid w:val="00D43425"/>
    <w:rsid w:val="00DC704A"/>
    <w:rsid w:val="00E7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0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09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0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0910"/>
    <w:rPr>
      <w:sz w:val="18"/>
      <w:szCs w:val="18"/>
    </w:rPr>
  </w:style>
  <w:style w:type="table" w:styleId="a5">
    <w:name w:val="Table Grid"/>
    <w:basedOn w:val="a1"/>
    <w:uiPriority w:val="59"/>
    <w:rsid w:val="006509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0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09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0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0910"/>
    <w:rPr>
      <w:sz w:val="18"/>
      <w:szCs w:val="18"/>
    </w:rPr>
  </w:style>
  <w:style w:type="table" w:styleId="a5">
    <w:name w:val="Table Grid"/>
    <w:basedOn w:val="a1"/>
    <w:uiPriority w:val="59"/>
    <w:rsid w:val="006509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XiangfenJi</dc:creator>
  <cp:keywords/>
  <dc:description/>
  <cp:lastModifiedBy>XiangfenJi</cp:lastModifiedBy>
  <cp:revision>6</cp:revision>
  <dcterms:created xsi:type="dcterms:W3CDTF">2023-09-23T08:41:00Z</dcterms:created>
  <dcterms:modified xsi:type="dcterms:W3CDTF">2023-09-23T11:46:00Z</dcterms:modified>
</cp:coreProperties>
</file>