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A92708" w14:textId="77777777" w:rsidR="00A66E17" w:rsidRDefault="00A66E17" w:rsidP="00A66E17">
      <w:pPr>
        <w:spacing w:line="480" w:lineRule="auto"/>
        <w:rPr>
          <w:rFonts w:ascii="Times New Roman" w:hAnsi="Times New Roman"/>
          <w:szCs w:val="21"/>
        </w:rPr>
      </w:pPr>
      <w:r>
        <w:rPr>
          <w:rFonts w:ascii="Times New Roman" w:hAnsi="Times New Roman"/>
          <w:b/>
          <w:bCs/>
          <w:szCs w:val="21"/>
        </w:rPr>
        <w:t>Table 1</w:t>
      </w:r>
      <w:r>
        <w:rPr>
          <w:rFonts w:ascii="Times New Roman" w:hAnsi="Times New Roman"/>
          <w:szCs w:val="21"/>
        </w:rPr>
        <w:t>. Demographic data from patients with distal radius fracture and traumatic TFCC injury</w:t>
      </w:r>
    </w:p>
    <w:p w14:paraId="2A4B3BF1" w14:textId="013BB28D" w:rsidR="00A66E17" w:rsidRDefault="00A66E17" w:rsidP="00A66E17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85276ED" wp14:editId="7B1F7796">
            <wp:extent cx="4431665" cy="4246880"/>
            <wp:effectExtent l="0" t="0" r="6985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665" cy="424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764D2" w14:textId="77777777" w:rsidR="00A66E17" w:rsidRDefault="00A66E17" w:rsidP="00A66E17">
      <w:pPr>
        <w:spacing w:line="480" w:lineRule="auto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L, left; R, right; AO, arbeitsgemeinschaft fur osteosynthesfragen.</w:t>
      </w:r>
    </w:p>
    <w:p w14:paraId="647AB951" w14:textId="7FC224E9" w:rsidR="00AD1398" w:rsidRDefault="00AD1398"/>
    <w:p w14:paraId="560F09EF" w14:textId="19FD0971" w:rsidR="00A66E17" w:rsidRDefault="00A66E17"/>
    <w:p w14:paraId="7A51AC62" w14:textId="77777777" w:rsidR="00A66E17" w:rsidRDefault="00A66E17" w:rsidP="00A66E17">
      <w:pPr>
        <w:spacing w:line="480" w:lineRule="auto"/>
        <w:rPr>
          <w:rFonts w:ascii="Times New Roman" w:hAnsi="Times New Roman"/>
          <w:szCs w:val="21"/>
        </w:rPr>
      </w:pPr>
      <w:r>
        <w:rPr>
          <w:rFonts w:ascii="Times New Roman" w:hAnsi="Times New Roman"/>
          <w:b/>
          <w:bCs/>
          <w:szCs w:val="21"/>
        </w:rPr>
        <w:t>Table 2</w:t>
      </w:r>
      <w:r>
        <w:rPr>
          <w:rFonts w:ascii="Times New Roman" w:hAnsi="Times New Roman"/>
          <w:szCs w:val="21"/>
        </w:rPr>
        <w:t>. Incidence and classification of TFCC injury in uninured and injured group.</w:t>
      </w:r>
    </w:p>
    <w:p w14:paraId="2A4F1879" w14:textId="48A84A6B" w:rsidR="00A66E17" w:rsidRDefault="00A66E17" w:rsidP="00A66E17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D192FF5" wp14:editId="50683439">
            <wp:extent cx="5346065" cy="1609725"/>
            <wp:effectExtent l="0" t="0" r="698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06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AB0F3" w14:textId="77777777" w:rsidR="00A66E17" w:rsidRDefault="00A66E17" w:rsidP="00A66E17">
      <w:pPr>
        <w:spacing w:line="480" w:lineRule="auto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AO, arbeitsgemeinschaft fur osteosynthesfragen; TFCC, triangular fibrocartilage complex.</w:t>
      </w:r>
    </w:p>
    <w:p w14:paraId="1B5FF1F2" w14:textId="7B3BD14B" w:rsidR="00A66E17" w:rsidRDefault="00A66E17"/>
    <w:p w14:paraId="40D93610" w14:textId="67FBDB8D" w:rsidR="00A66E17" w:rsidRDefault="00A66E17"/>
    <w:p w14:paraId="09B10789" w14:textId="77777777" w:rsidR="00A66E17" w:rsidRDefault="00A66E17" w:rsidP="00A66E17">
      <w:pPr>
        <w:pStyle w:val="NormalWeb"/>
        <w:widowControl w:val="0"/>
        <w:spacing w:line="480" w:lineRule="auto"/>
        <w:jc w:val="both"/>
        <w:rPr>
          <w:rFonts w:ascii="Times New Roman" w:eastAsia="DengXian" w:hAnsi="Times New Roman" w:cs="Times New Roman"/>
          <w:sz w:val="21"/>
          <w:szCs w:val="21"/>
        </w:rPr>
      </w:pPr>
      <w:r>
        <w:rPr>
          <w:rFonts w:ascii="Times New Roman" w:eastAsia="DengXian" w:hAnsi="Times New Roman" w:cs="Times New Roman"/>
          <w:b/>
          <w:bCs/>
          <w:sz w:val="21"/>
          <w:szCs w:val="21"/>
        </w:rPr>
        <w:lastRenderedPageBreak/>
        <w:t>Table 3</w:t>
      </w:r>
      <w:r>
        <w:rPr>
          <w:rFonts w:ascii="Times New Roman" w:eastAsia="DengXian" w:hAnsi="Times New Roman" w:cs="Times New Roman"/>
          <w:sz w:val="21"/>
          <w:szCs w:val="21"/>
        </w:rPr>
        <w:t xml:space="preserve">. Comparing of the demographic data and radiologic parameter of the two groups </w:t>
      </w:r>
    </w:p>
    <w:p w14:paraId="677AC365" w14:textId="671CC89F" w:rsidR="00A66E17" w:rsidRDefault="00A66E17" w:rsidP="00A66E17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AC459AC" wp14:editId="40891CA5">
            <wp:extent cx="5076825" cy="3029585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2" r="8495" b="7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02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6F578" w14:textId="77777777" w:rsidR="00A66E17" w:rsidRDefault="00A66E17" w:rsidP="00A66E17">
      <w:pPr>
        <w:spacing w:line="480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Radius length and DRUJ distance had significant relevance with TFCC injury in distal radius fracture (Student’s t-test, p &lt; 0.05). L, left; R, right; DRUJ, distal radioulnar joint.</w:t>
      </w:r>
    </w:p>
    <w:p w14:paraId="4422A4F6" w14:textId="56495E11" w:rsidR="00A66E17" w:rsidRDefault="00A66E17"/>
    <w:p w14:paraId="261079EE" w14:textId="77777777" w:rsidR="00A66E17" w:rsidRDefault="00A66E17" w:rsidP="00A66E17">
      <w:pPr>
        <w:pStyle w:val="NormalWeb"/>
        <w:widowControl w:val="0"/>
        <w:spacing w:line="480" w:lineRule="auto"/>
        <w:jc w:val="both"/>
        <w:rPr>
          <w:rFonts w:ascii="Times New Roman" w:eastAsia="DengXian" w:hAnsi="Times New Roman" w:cs="Times New Roman"/>
          <w:b/>
          <w:bCs/>
          <w:sz w:val="21"/>
          <w:szCs w:val="21"/>
        </w:rPr>
      </w:pPr>
    </w:p>
    <w:p w14:paraId="52E9ACB2" w14:textId="61227327" w:rsidR="00A66E17" w:rsidRDefault="00A66E17" w:rsidP="00A66E17">
      <w:pPr>
        <w:pStyle w:val="NormalWeb"/>
        <w:widowControl w:val="0"/>
        <w:spacing w:line="480" w:lineRule="auto"/>
        <w:jc w:val="both"/>
        <w:rPr>
          <w:rFonts w:ascii="Times New Roman" w:eastAsia="DengXian" w:hAnsi="Times New Roman" w:cs="Times New Roman"/>
          <w:sz w:val="21"/>
          <w:szCs w:val="21"/>
        </w:rPr>
      </w:pPr>
      <w:r>
        <w:rPr>
          <w:rFonts w:ascii="Times New Roman" w:eastAsia="DengXian" w:hAnsi="Times New Roman" w:cs="Times New Roman"/>
          <w:b/>
          <w:bCs/>
          <w:sz w:val="21"/>
          <w:szCs w:val="21"/>
        </w:rPr>
        <w:t>Table 4</w:t>
      </w:r>
      <w:r>
        <w:rPr>
          <w:rFonts w:ascii="Times New Roman" w:eastAsia="DengXian" w:hAnsi="Times New Roman" w:cs="Times New Roman"/>
          <w:sz w:val="21"/>
          <w:szCs w:val="21"/>
        </w:rPr>
        <w:t>. Comparing radius length and DRUJ distance of different type of TFCC injury</w:t>
      </w:r>
    </w:p>
    <w:p w14:paraId="6992FC6F" w14:textId="14AB4A56" w:rsidR="00A66E17" w:rsidRDefault="00A66E17" w:rsidP="00A66E17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46E34BA" wp14:editId="1C9ED703">
            <wp:extent cx="4398010" cy="134048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98" t="24228" r="7750" b="326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010" cy="134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B0B03" w14:textId="77777777" w:rsidR="00A66E17" w:rsidRDefault="00A66E17" w:rsidP="00A66E17">
      <w:pPr>
        <w:spacing w:line="480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Radius length differed in different types of TFCC injury which showed shorter in type 1B (ANOVA, p &lt; 0.05). TFCC, triangular fibrocartilage complex; DRUJ, distal radioulnar joint.</w:t>
      </w:r>
    </w:p>
    <w:p w14:paraId="57AA9801" w14:textId="77777777" w:rsidR="00A66E17" w:rsidRDefault="00A66E17"/>
    <w:sectPr w:rsidR="00A66E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E17"/>
    <w:rsid w:val="00A66E17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FB95E"/>
  <w15:chartTrackingRefBased/>
  <w15:docId w15:val="{948C1A48-6558-4AA0-86E8-504DADCC6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E17"/>
    <w:pPr>
      <w:widowControl w:val="0"/>
      <w:spacing w:after="0" w:line="240" w:lineRule="auto"/>
      <w:jc w:val="both"/>
    </w:pPr>
    <w:rPr>
      <w:rFonts w:eastAsiaTheme="minorEastAsia" w:cs="Times New Roma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66E17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4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131</Words>
  <Characters>750</Characters>
  <Application>Microsoft Office Word</Application>
  <DocSecurity>0</DocSecurity>
  <Lines>6</Lines>
  <Paragraphs>1</Paragraphs>
  <ScaleCrop>false</ScaleCrop>
  <Company>Springer Nature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2023-10-03T09:08:00Z</dcterms:created>
  <dcterms:modified xsi:type="dcterms:W3CDTF">2023-10-03T09:09:00Z</dcterms:modified>
</cp:coreProperties>
</file>