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Supplemental Document for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Nematode-resistance loci in Upland cotton genomes are associated with structural differences  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i/>
          <w:sz w:val="24"/>
          <w:szCs w:val="24"/>
        </w:rPr>
      </w:r>
    </w:p>
    <w:p>
      <w:pPr>
        <w:pStyle w:val="Normal1"/>
        <w:shd w:val="clear" w:fill="FFFFFF"/>
        <w:spacing w:lineRule="auto" w:line="480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Zachary P. Cohen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>, Lindsey C. Perkin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>, Tanya A. Wagner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>, Jinggao Liu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>, Alois A. Bell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>, Mark A. Arick II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2</w:t>
      </w:r>
      <w:r>
        <w:rPr>
          <w:rFonts w:eastAsia="Times New Roman" w:cs="Times New Roman" w:ascii="Times New Roman" w:hAnsi="Times New Roman"/>
          <w:sz w:val="24"/>
          <w:szCs w:val="24"/>
        </w:rPr>
        <w:t>, Corrinne E. Grover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3</w:t>
      </w:r>
      <w:r>
        <w:rPr>
          <w:rFonts w:eastAsia="Times New Roman" w:cs="Times New Roman" w:ascii="Times New Roman" w:hAnsi="Times New Roman"/>
          <w:sz w:val="24"/>
          <w:szCs w:val="24"/>
        </w:rPr>
        <w:t>, John Z. Yu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4</w:t>
      </w:r>
      <w:r>
        <w:rPr>
          <w:rFonts w:eastAsia="Times New Roman" w:cs="Times New Roman" w:ascii="Times New Roman" w:hAnsi="Times New Roman"/>
          <w:sz w:val="24"/>
          <w:szCs w:val="24"/>
        </w:rPr>
        <w:t>, Joshua A. Udall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4</w:t>
      </w:r>
      <w:r>
        <w:rPr>
          <w:rFonts w:eastAsia="Times New Roman" w:cs="Times New Roman" w:ascii="Times New Roman" w:hAnsi="Times New Roman"/>
          <w:sz w:val="24"/>
          <w:szCs w:val="24"/>
        </w:rPr>
        <w:t>, and Charles P.-C. Suh</w:t>
      </w: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1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</w:t>
      </w:r>
    </w:p>
    <w:p>
      <w:pPr>
        <w:pStyle w:val="Normal1"/>
        <w:shd w:val="clear" w:fill="FFFFFF"/>
        <w:spacing w:lineRule="auto" w:line="48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 xml:space="preserve">1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USDA Agricultural Research Service, Insect Control and Cotton Disease Research Unit, College Station, TX 77845    </w:t>
      </w:r>
    </w:p>
    <w:p>
      <w:pPr>
        <w:pStyle w:val="Normal1"/>
        <w:shd w:val="clear" w:fill="FFFFFF"/>
        <w:spacing w:lineRule="auto" w:line="480"/>
        <w:rPr>
          <w:rFonts w:ascii="Times New Roman" w:hAnsi="Times New Roman" w:eastAsia="Times New Roman" w:cs="Times New Roman"/>
          <w:color w:val="212121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>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212121"/>
          <w:sz w:val="24"/>
          <w:szCs w:val="24"/>
        </w:rPr>
        <w:t xml:space="preserve">Institute for Genomics, Biocomputing &amp; Biotechnology, Mississippi State University, Mississippi State, MS 39762   </w:t>
      </w:r>
    </w:p>
    <w:p>
      <w:pPr>
        <w:pStyle w:val="Normal1"/>
        <w:shd w:val="clear" w:fill="FFFFFF"/>
        <w:spacing w:lineRule="auto" w:line="480"/>
        <w:rPr>
          <w:rFonts w:ascii="Times New Roman" w:hAnsi="Times New Roman" w:eastAsia="Times New Roman" w:cs="Times New Roman"/>
          <w:color w:val="212121"/>
          <w:sz w:val="24"/>
          <w:szCs w:val="24"/>
        </w:rPr>
      </w:pPr>
      <w:r>
        <w:rPr>
          <w:rFonts w:eastAsia="Times New Roman" w:cs="Times New Roman" w:ascii="Times New Roman" w:hAnsi="Times New Roman"/>
          <w:color w:val="212121"/>
          <w:sz w:val="24"/>
          <w:szCs w:val="24"/>
          <w:vertAlign w:val="superscript"/>
        </w:rPr>
        <w:t>3</w:t>
      </w:r>
      <w:r>
        <w:rPr>
          <w:rFonts w:eastAsia="Times New Roman" w:cs="Times New Roman" w:ascii="Times New Roman" w:hAnsi="Times New Roman"/>
          <w:color w:val="212121"/>
          <w:sz w:val="24"/>
          <w:szCs w:val="24"/>
        </w:rPr>
        <w:t xml:space="preserve"> EEOB Department, Iowa State University, Ames, IA 50011   </w:t>
      </w:r>
    </w:p>
    <w:p>
      <w:pPr>
        <w:pStyle w:val="Normal1"/>
        <w:shd w:val="clear" w:fill="FFFFFF"/>
        <w:spacing w:lineRule="auto" w:line="48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vertAlign w:val="superscript"/>
        </w:rPr>
        <w:t xml:space="preserve">4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USDA Agricultural Research Service, Crop Germplasm Research Unit, College Station, TX 77845 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6"/>
          <w:szCs w:val="26"/>
          <w:vertAlign w:val="superscript"/>
        </w:rPr>
      </w:pPr>
      <w:r>
        <w:rPr>
          <w:rFonts w:eastAsia="Times New Roman" w:cs="Times New Roman" w:ascii="Times New Roman" w:hAnsi="Times New Roman"/>
          <w:sz w:val="26"/>
          <w:szCs w:val="26"/>
          <w:vertAlign w:val="superscript"/>
        </w:rPr>
      </w:r>
    </w:p>
    <w:p>
      <w:pPr>
        <w:pStyle w:val="Normal1"/>
        <w:pBdr/>
        <w:shd w:val="clear" w:fill="FFFFFF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pBdr/>
        <w:shd w:val="clear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Supplemental Table S1 PSC355 Chromosome Feature Summary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tbl>
      <w:tblPr>
        <w:tblStyle w:val="Table1"/>
        <w:tblW w:w="933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1470"/>
        <w:gridCol w:w="450"/>
        <w:gridCol w:w="975"/>
        <w:gridCol w:w="795"/>
        <w:gridCol w:w="1350"/>
        <w:gridCol w:w="1784"/>
        <w:gridCol w:w="1471"/>
        <w:gridCol w:w="1034"/>
      </w:tblGrid>
      <w:tr>
        <w:trPr>
          <w:trHeight w:val="1170" w:hRule="atLeast"/>
        </w:trPr>
        <w:tc>
          <w:tcPr>
            <w:tcW w:w="1470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Chromosome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450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ID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975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Length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795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Contig #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Telomeres (L; R)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1784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Alternative Haplotype (MB)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1471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Gene number (AED 0.37)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1034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Repeats (%)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  </w:t>
            </w:r>
          </w:p>
        </w:tc>
        <w:tc>
          <w:tcPr>
            <w:tcW w:w="450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A01  </w:t>
            </w:r>
          </w:p>
        </w:tc>
        <w:tc>
          <w:tcPr>
            <w:tcW w:w="975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119474596  </w:t>
            </w:r>
          </w:p>
        </w:tc>
        <w:tc>
          <w:tcPr>
            <w:tcW w:w="795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9600  </w:t>
            </w:r>
          </w:p>
        </w:tc>
        <w:tc>
          <w:tcPr>
            <w:tcW w:w="1784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8.63  </w:t>
            </w:r>
          </w:p>
        </w:tc>
        <w:tc>
          <w:tcPr>
            <w:tcW w:w="1471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2716  </w:t>
            </w:r>
          </w:p>
        </w:tc>
        <w:tc>
          <w:tcPr>
            <w:tcW w:w="1034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70.2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A02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108240954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8,800; 11,800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3.23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2184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71.3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3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A03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113544907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10,700; 10,200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2593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69.3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4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A04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90025657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6,900; 9,200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9.43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1907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70.1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5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A05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112537697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9,200; 10,300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8.15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4438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59.4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6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A06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128169327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6,500; 9,700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30.57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2646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71.5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7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A07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98278401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6,800; 5,200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3.56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2787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65.3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8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A08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126651951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2,800; 1,900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6.84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2996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70.2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9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A09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87012727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6,800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8.62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2816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60.6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10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A10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118101055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11,600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8.33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2788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67.8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11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A11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124146241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10,900; 9,400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46.67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3947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65.7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12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A12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109175953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11,300; -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6.83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3142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66.7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13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A13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112117856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10,800; 8,900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14.7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2841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68.7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14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D01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66201905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12,100; 6,300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5.57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2657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54.4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15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D02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73250298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10,800; 11,700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49.08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2750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54.8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16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D03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54720647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6,500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5.86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2147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55.3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17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D04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59665483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8,900; 9,300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11.28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2323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53.9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18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D05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65908016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4,600; -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8.61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4022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43.5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19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D06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66868618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5,100; 11,800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39.95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2664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54.4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20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D07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61041968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11,700; -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7.41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2799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49.8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21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D08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71775203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11,700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2.62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2951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51.5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22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D09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56087791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-; 2,100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12.02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2832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46.9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23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D10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68597512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8,200; -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5.53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2938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51.4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24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D11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74015571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11,300; 11,800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6.98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3931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49.1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25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D12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63565837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9,500; -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11.7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3113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50.3  </w:t>
            </w:r>
          </w:p>
        </w:tc>
      </w:tr>
      <w:tr>
        <w:trPr>
          <w:trHeight w:val="555" w:hRule="atLeast"/>
        </w:trPr>
        <w:tc>
          <w:tcPr>
            <w:tcW w:w="147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26  </w:t>
            </w:r>
          </w:p>
        </w:tc>
        <w:tc>
          <w:tcPr>
            <w:tcW w:w="4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D13  </w:t>
            </w:r>
          </w:p>
        </w:tc>
        <w:tc>
          <w:tcPr>
            <w:tcW w:w="97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65155209  </w:t>
            </w:r>
          </w:p>
        </w:tc>
        <w:tc>
          <w:tcPr>
            <w:tcW w:w="79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  </w:t>
            </w:r>
          </w:p>
        </w:tc>
        <w:tc>
          <w:tcPr>
            <w:tcW w:w="135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6,500; 6,700  </w:t>
            </w:r>
          </w:p>
        </w:tc>
        <w:tc>
          <w:tcPr>
            <w:tcW w:w="178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2.11  </w:t>
            </w:r>
          </w:p>
        </w:tc>
        <w:tc>
          <w:tcPr>
            <w:tcW w:w="147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2818  </w:t>
            </w:r>
          </w:p>
        </w:tc>
        <w:tc>
          <w:tcPr>
            <w:tcW w:w="103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53.9  </w:t>
            </w:r>
          </w:p>
        </w:tc>
      </w:tr>
    </w:tbl>
    <w:p>
      <w:pPr>
        <w:pStyle w:val="Normal1"/>
        <w:pBdr/>
        <w:shd w:val="clear" w:fill="FFFFFF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  </w:t>
      </w:r>
    </w:p>
    <w:p>
      <w:pPr>
        <w:pStyle w:val="Normal1"/>
        <w:pBdr/>
        <w:shd w:val="clear" w:fill="FFFFFF"/>
        <w:jc w:val="center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Supplemental Table S2. BUSCO analysis of the PSC355 genome sequence.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tbl>
      <w:tblPr>
        <w:tblStyle w:val="Table2"/>
        <w:tblW w:w="435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1080"/>
        <w:gridCol w:w="3269"/>
      </w:tblGrid>
      <w:tr>
        <w:trPr>
          <w:trHeight w:val="495" w:hRule="atLeast"/>
        </w:trPr>
        <w:tc>
          <w:tcPr>
            <w:tcW w:w="1080" w:type="dxa"/>
            <w:tcBorders>
              <w:bottom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Num. genes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  </w:t>
            </w:r>
          </w:p>
        </w:tc>
        <w:tc>
          <w:tcPr>
            <w:tcW w:w="3269" w:type="dxa"/>
            <w:tcBorders>
              <w:bottom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BUSCO Categories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  </w:t>
            </w:r>
          </w:p>
        </w:tc>
      </w:tr>
      <w:tr>
        <w:trPr>
          <w:trHeight w:val="315" w:hRule="atLeast"/>
        </w:trPr>
        <w:tc>
          <w:tcPr>
            <w:tcW w:w="1080" w:type="dxa"/>
            <w:tcBorders>
              <w:top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2291  </w:t>
            </w:r>
          </w:p>
        </w:tc>
        <w:tc>
          <w:tcPr>
            <w:tcW w:w="3269" w:type="dxa"/>
            <w:tcBorders>
              <w:top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Complete BUSCOs (C)  </w:t>
            </w:r>
          </w:p>
        </w:tc>
      </w:tr>
      <w:tr>
        <w:trPr>
          <w:trHeight w:val="480" w:hRule="atLeast"/>
        </w:trPr>
        <w:tc>
          <w:tcPr>
            <w:tcW w:w="1080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290  </w:t>
            </w:r>
          </w:p>
        </w:tc>
        <w:tc>
          <w:tcPr>
            <w:tcW w:w="3269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Complete and single-copy BUSCOs (S)  </w:t>
            </w:r>
          </w:p>
        </w:tc>
      </w:tr>
      <w:tr>
        <w:trPr>
          <w:trHeight w:val="315" w:hRule="atLeast"/>
        </w:trPr>
        <w:tc>
          <w:tcPr>
            <w:tcW w:w="1080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2001  </w:t>
            </w:r>
          </w:p>
        </w:tc>
        <w:tc>
          <w:tcPr>
            <w:tcW w:w="3269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Complete and duplicated BUSCOs (D)  </w:t>
            </w:r>
          </w:p>
        </w:tc>
      </w:tr>
      <w:tr>
        <w:trPr>
          <w:trHeight w:val="315" w:hRule="atLeast"/>
        </w:trPr>
        <w:tc>
          <w:tcPr>
            <w:tcW w:w="1080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4  </w:t>
            </w:r>
          </w:p>
        </w:tc>
        <w:tc>
          <w:tcPr>
            <w:tcW w:w="3269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Fragmented BUSCOs (F)  </w:t>
            </w:r>
          </w:p>
        </w:tc>
      </w:tr>
      <w:tr>
        <w:trPr>
          <w:trHeight w:val="315" w:hRule="atLeast"/>
        </w:trPr>
        <w:tc>
          <w:tcPr>
            <w:tcW w:w="1080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31  </w:t>
            </w:r>
          </w:p>
        </w:tc>
        <w:tc>
          <w:tcPr>
            <w:tcW w:w="3269" w:type="dxa"/>
            <w:tcBorders/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Missing BUSCOs (M)  </w:t>
            </w:r>
          </w:p>
        </w:tc>
      </w:tr>
      <w:tr>
        <w:trPr>
          <w:trHeight w:val="315" w:hRule="atLeast"/>
        </w:trPr>
        <w:tc>
          <w:tcPr>
            <w:tcW w:w="1080" w:type="dxa"/>
            <w:tcBorders>
              <w:bottom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color w:val="1D1C1D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D1C1D"/>
                <w:sz w:val="20"/>
                <w:szCs w:val="20"/>
              </w:rPr>
              <w:t xml:space="preserve">2326  </w:t>
            </w:r>
          </w:p>
        </w:tc>
        <w:tc>
          <w:tcPr>
            <w:tcW w:w="3269" w:type="dxa"/>
            <w:tcBorders>
              <w:bottom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Total BUSCO groups searched  </w:t>
            </w:r>
          </w:p>
        </w:tc>
      </w:tr>
    </w:tbl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jc w:val="center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  </w:t>
      </w:r>
    </w:p>
    <w:p>
      <w:pPr>
        <w:pStyle w:val="Normal1"/>
        <w:pBdr/>
        <w:shd w:val="clear" w:fill="FFFFFF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Calibri" w:cs="Calibri" w:ascii="Calibri" w:hAnsi="Calibri"/>
        </w:rPr>
        <w:t> 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Supplemental Table S3. Repeats in the genome assembly of PSC355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tbl>
      <w:tblPr>
        <w:tblStyle w:val="Table3"/>
        <w:tblW w:w="627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2565"/>
        <w:gridCol w:w="1514"/>
        <w:gridCol w:w="930"/>
        <w:gridCol w:w="721"/>
        <w:gridCol w:w="540"/>
      </w:tblGrid>
      <w:tr>
        <w:trPr>
          <w:trHeight w:val="600" w:hRule="atLeast"/>
        </w:trPr>
        <w:tc>
          <w:tcPr>
            <w:tcW w:w="2565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Repeats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1514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Sub-type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930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Number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721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MB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  <w:tc>
          <w:tcPr>
            <w:tcW w:w="540" w:type="dxa"/>
            <w:tcBorders>
              <w:bottom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%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 </w:t>
            </w:r>
          </w:p>
        </w:tc>
      </w:tr>
      <w:tr>
        <w:trPr>
          <w:trHeight w:val="495" w:hRule="atLeast"/>
        </w:trPr>
        <w:tc>
          <w:tcPr>
            <w:tcW w:w="2565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Retroelements  </w:t>
            </w:r>
          </w:p>
        </w:tc>
        <w:tc>
          <w:tcPr>
            <w:tcW w:w="1514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1370001  </w:t>
            </w:r>
          </w:p>
        </w:tc>
        <w:tc>
          <w:tcPr>
            <w:tcW w:w="721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1124.32  </w:t>
            </w:r>
          </w:p>
        </w:tc>
        <w:tc>
          <w:tcPr>
            <w:tcW w:w="540" w:type="dxa"/>
            <w:tcBorders>
              <w:top w:val="single" w:sz="6" w:space="0" w:color="000000"/>
            </w:tcBorders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49  </w:t>
            </w:r>
          </w:p>
        </w:tc>
      </w:tr>
      <w:tr>
        <w:trPr>
          <w:trHeight w:val="585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LINEs (L1/CIN4)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48501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29.41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1.28  </w:t>
            </w:r>
          </w:p>
        </w:tc>
      </w:tr>
      <w:tr>
        <w:trPr>
          <w:trHeight w:val="48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LTR elements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1321500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1094.91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47.72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 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Ty1/Copia 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296217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149.67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6.52  </w:t>
            </w:r>
          </w:p>
        </w:tc>
      </w:tr>
      <w:tr>
        <w:trPr>
          <w:trHeight w:val="48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  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Gypsy/DIRS1 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783533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864.12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37.66  </w:t>
            </w:r>
          </w:p>
        </w:tc>
      </w:tr>
      <w:tr>
        <w:trPr>
          <w:trHeight w:val="585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DNA transposons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70804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52.43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2.29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hobo-Activator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4244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2.61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0.11  </w:t>
            </w:r>
          </w:p>
        </w:tc>
      </w:tr>
      <w:tr>
        <w:trPr>
          <w:trHeight w:val="48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Tourist/Harbinger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22178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11.13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0.49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Rolling-circles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3202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2.41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0.11  </w:t>
            </w:r>
          </w:p>
        </w:tc>
      </w:tr>
      <w:tr>
        <w:trPr>
          <w:trHeight w:val="48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Unclassified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1492648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566.19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24.68  </w:t>
            </w:r>
          </w:p>
        </w:tc>
      </w:tr>
      <w:tr>
        <w:trPr>
          <w:trHeight w:val="855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Total interspersed repeats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-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1742.94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75.97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Small RNA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5839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6.65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0.29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Satellites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Simple repeats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256705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11.87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0.52  </w:t>
            </w:r>
          </w:p>
        </w:tc>
      </w:tr>
      <w:tr>
        <w:trPr>
          <w:trHeight w:val="300" w:hRule="atLeast"/>
        </w:trPr>
        <w:tc>
          <w:tcPr>
            <w:tcW w:w="2565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Low complexity  </w:t>
            </w:r>
          </w:p>
        </w:tc>
        <w:tc>
          <w:tcPr>
            <w:tcW w:w="1514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  </w:t>
            </w:r>
          </w:p>
        </w:tc>
        <w:tc>
          <w:tcPr>
            <w:tcW w:w="93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71662  </w:t>
            </w:r>
          </w:p>
        </w:tc>
        <w:tc>
          <w:tcPr>
            <w:tcW w:w="721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3.8  </w:t>
            </w:r>
          </w:p>
        </w:tc>
        <w:tc>
          <w:tcPr>
            <w:tcW w:w="540" w:type="dxa"/>
            <w:tcBorders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0.17  </w:t>
            </w:r>
          </w:p>
        </w:tc>
      </w:tr>
    </w:tbl>
    <w:p>
      <w:pPr>
        <w:pStyle w:val="Normal1"/>
        <w:pBdr/>
        <w:shd w:val="clear" w:fill="FFFFFF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  </w:t>
      </w:r>
    </w:p>
    <w:p>
      <w:pPr>
        <w:pStyle w:val="Normal1"/>
        <w:pBdr/>
        <w:shd w:val="clear" w:fill="FFFFFF"/>
        <w:jc w:val="center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color w:val="333333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Supplemental Table S4</w:t>
      </w:r>
      <w:r>
        <w:rPr>
          <w:rFonts w:eastAsia="Times New Roman" w:cs="Times New Roman" w:ascii="Times New Roman" w:hAnsi="Times New Roman"/>
          <w:b/>
          <w:color w:val="333333"/>
          <w:sz w:val="24"/>
          <w:szCs w:val="24"/>
        </w:rPr>
        <w:t>. Annotations with SNPs and INDELs Within Resistant Marker Regions</w:t>
      </w:r>
      <w:r>
        <w:rPr>
          <w:rFonts w:eastAsia="Times New Roman" w:cs="Times New Roman" w:ascii="Times New Roman" w:hAnsi="Times New Roman"/>
          <w:color w:val="333333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color w:val="333333"/>
          <w:sz w:val="24"/>
          <w:szCs w:val="24"/>
        </w:rPr>
      </w:pPr>
      <w:r>
        <w:rPr>
          <w:rFonts w:eastAsia="Times New Roman" w:cs="Times New Roman" w:ascii="Times New Roman" w:hAnsi="Times New Roman"/>
          <w:color w:val="333333"/>
          <w:sz w:val="24"/>
          <w:szCs w:val="24"/>
        </w:rPr>
      </w:r>
    </w:p>
    <w:tbl>
      <w:tblPr>
        <w:tblStyle w:val="Table4"/>
        <w:tblW w:w="972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1710"/>
        <w:gridCol w:w="8010"/>
      </w:tblGrid>
      <w:tr>
        <w:trPr>
          <w:trHeight w:val="33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eastAsia="Calibri" w:cs="Calibri" w:ascii="Calibri" w:hAnsi="Calibri"/>
                <w:b/>
                <w:sz w:val="24"/>
                <w:szCs w:val="24"/>
              </w:rPr>
              <w:t>Gene  </w:t>
            </w:r>
            <w:r>
              <w:rPr>
                <w:rFonts w:eastAsia="Calibri" w:cs="Calibri" w:ascii="Calibri" w:hAnsi="Calibri"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eastAsia="Calibri" w:cs="Calibri" w:ascii="Calibri" w:hAnsi="Calibri"/>
                <w:b/>
                <w:sz w:val="24"/>
                <w:szCs w:val="24"/>
              </w:rPr>
              <w:t>Annotation </w:t>
            </w:r>
            <w:r>
              <w:rPr>
                <w:rFonts w:eastAsia="Calibri" w:cs="Calibri" w:ascii="Calibri" w:hAnsi="Calibri"/>
                <w:sz w:val="24"/>
                <w:szCs w:val="24"/>
              </w:rPr>
              <w:t xml:space="preserve">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Bar32.A11G287600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LOC107962949: probable low-specificity L-threonine aldolase 1 (Gossypium hirsutum);Ontology_term=GO:0006520,GO:0016829;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Bar32.A11G288200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LOC108473967: probable ADP-ribosylation factor GTPase-activating protein AGD14 (Gossypium arboreum);Ontology_term=GO:0005096;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Bar32.A11G288300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F383_35688: Porphobilinogen deaminase (Gossypium arboreum);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Bar32.A11G288400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E1A91_D11G359700v1: ADP-ribosyl cyclase/cyclic ADP-ribose hydrolase (Gossypium mustelinum);Ontology_term=GO:0006952,GO:0007165,GO:0043531 </w:t>
            </w:r>
          </w:p>
        </w:tc>
      </w:tr>
      <w:tr>
        <w:trPr>
          <w:trHeight w:val="124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Bar32.A11G288500</w:t>
            </w: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LOC107962704: ADP-ribosyl cyclase/cyclic ADP-ribose hydrolase (Gossypium hirsutum);Ontology_term=GO:0005515,GO:0006952,GO:0007165,GO:0043531 </w:t>
            </w:r>
          </w:p>
        </w:tc>
      </w:tr>
      <w:tr>
        <w:trPr>
          <w:trHeight w:val="63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Bar32.A11G288700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LOC107962677: chromo domain-containing protein LHP1-like (Gossypium hirsutum);Ontology_term=GO:0005634,GO:0006325,GO:003150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Bar32.A11G288800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Goklo_021687: RNA polymerase sigma factor (Gossypium klotzschianum);Ontology_term=GO:0003700,GO:0006352,GO:0006355;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Bar32.A11G289000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LOC107962663: Tubulin-specific chaperone A (Gossypium hirsutum);Ontology_term=GO:0007021,GO:0007023,GO:0048487;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Bar32.A11G289300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GOBAR_AA15901: Beta-amylase (Gossypium barbadense);Ontology_term=GO:0000272,GO:0016161; 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Bar32.A11G289400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LOC107944120: serine/threonine-protein kinase CDL1-like (Gossypium hirsutum);Ontology_term=GO:0004672,GO:0005524,GO:0006468; 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Bar32.A11G289500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E1A91_A11G340300v1: Beta-glucosidase (Gossypium mustelinum);Ontology_term=GO:0004553,GO:0005975,GO:0008422,GO:0030245;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Bar32.A11G290000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E1A91_A11G341300v1: RBR-type E3 ubiquitin transferase (Gossypium mustelinum);Ontology_term=GO:0004842,GO:0016567;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Bar32.A11G290200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F383_12726: Aladin (Gossypium arboreum);Ontology_term=GO:0005515;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Bar32.A11G290900</w:t>
            </w:r>
            <w:r>
              <w:rPr>
                <w:sz w:val="18"/>
                <w:szCs w:val="18"/>
              </w:rPr>
              <w:t xml:space="preserve">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ES319_A11G334800v1: TFIIS N-terminal domain-containing protein (Gossypium barbadense);Ontology_term=GO:0005634;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Bar32.A11G291000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E1A91_A11G342700v1: Hydroxymethylglutaryl-CoA lyase (Gossypium mustelinum);Ontology_term=GO:0003824,GO:0016833;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Bar32.A11G291100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GOBAR_AA09986: BHLH domain-containing protein (Gossypium barbadense);Ontology_term=GO:0003700,GO:0006355,GO:0046983;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Bar32.A11G291200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F383_00101: F-box domain-containing protein (Gossypium arboreum);Ontology_term=GO:0005515;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Bar32.A11G291500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LOC107942592: nucleolar protein 10-like (Gossypium hirsutum);Ontology_term=GO:0005515,GO:0005634; 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Bar32.A11G292700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CCACVL1_29339: Zinc finger%2C CCHC-type (Corchorus capsularis);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Bar32.A11G292800</w:t>
            </w:r>
            <w:r>
              <w:rPr>
                <w:sz w:val="18"/>
                <w:szCs w:val="18"/>
              </w:rPr>
              <w:t xml:space="preserve">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F383_13539: Viral IAP-associated factor (Gossypium arboreum);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Bar32.A11G293400 </w:t>
            </w: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E1A91_A11G346700v1: Eukaryotic translation initiation factor 3 subunit E (Gossypium mustelinum);Ontology_term=GO:0003743,GO:0005515,GO:0005737,GO:0005852;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Bar32.A11G293500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E1A91_A11G346900v1: AAA domain-containing protein (Gossypium mustelinum);Ontology_term=GO:0043531;  </w:t>
            </w:r>
          </w:p>
        </w:tc>
      </w:tr>
      <w:tr>
        <w:trPr>
          <w:trHeight w:val="31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Bar32.A11G295300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EPI10_015754: Reverse transcriptase (Gossypium australe);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Bar32.A11G295600</w:t>
            </w:r>
            <w:r>
              <w:rPr>
                <w:sz w:val="18"/>
                <w:szCs w:val="18"/>
              </w:rPr>
              <w:t xml:space="preserve">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E1A91_A11G347400v1: AAA domain-containing protein (Gossypium mustelinum);Ontology_term=GO:0043531;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*Bar32.A11G295800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Godav_025810: NB-ARC domain-containing protein (Gossypium davidsonii);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Bar32.A11G295900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LOC107940523: Nuclear pore protein (Gossypium hirsutum);Ontology_term=GO:0005643,GO:0017056;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Bar32.A11G296000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E1A91_A11G348100v1: RRM domain-containing protein (Gossypium mustelinum);Ontology_term=GO:0003676,GO:0003723;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Bar32.A11G296600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LOC107940520: arabinogalactan peptide 23-like (Gossypium hirsutum);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Bar32.A11G296800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EPI10_021159: Gag/pol polyprotein (Gossypium australe);Ontology_term=GO:0003676,GO:0004523,GO:0015074;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Bar32.A11G298800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ES319_A11G343400v1: 60S ribosomal protein L6 (Gossypium barbadense);Ontology_term=GO:0003735,GO:0005840,GO:0006412;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Bar32.A11G298900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F383_07628: Squamosa promoter-binding-like protein 17 (Gossypium arboreum);Ontology_term=GO:0003677,GO:0005634;  </w:t>
            </w:r>
          </w:p>
        </w:tc>
      </w:tr>
      <w:tr>
        <w:trPr>
          <w:trHeight w:val="31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Bar32.A11G299500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E1A91_A11G353800v1: Dirigent protein (Gossypium mustelinum);  </w:t>
            </w:r>
          </w:p>
        </w:tc>
      </w:tr>
      <w:tr>
        <w:trPr>
          <w:trHeight w:val="31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Bar32.A11G299600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ES319_A11G344200v1: Dirigent protein (Gossypium barbadense);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Bar32.A11G299700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LOC107924168: RNA helicase (Gossypium hirsutum);Ontology_term=GO:0003676,GO:0003724,GO:0005524;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Bar32.A11G299800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LOC107924167: RING-type E3 ubiquitin transferase (Gossypium hirsutum);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Bar32.A11G300200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ES319_A11G345100v1: RING-type domain-containing protein (Gossypium barbadense);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Bar32.A11G300400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LOC107923492: MADS-box transcription factor PHERES 2-like (Gossypium hirsutum);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Bar32.A11G300500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E1A91_A11G354600v1: Nuclear transcription factor Y subunit (Gossypium mustelinum);Ontology_term=GO:0003700,GO:0006355; 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Bar32.D02G005200 </w:t>
            </w: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E1A91_D02G014800v1: ULP_PROTEASE domain-containing protein (Gossypium mustelinum);Ontology_term=GO:0003677,GO:0005515,GO:0006508,GO:0008234,GO:0046983; 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Bar32.D02G005300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E1A91_D02G014900v1: DYW_deaminase domain-containing protein (Gossypium mustelinum);Ontology_term=GO:0003723,GO:0005515,GO:0008270,GO:0009451; 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Bar32.D02G005400 </w:t>
            </w: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E1A91_D02G014800v1: ULP_PROTEASE domain-containing protein (Gossypium mustelinum);Ontology_term=GO:0003677,GO:0006508,GO:0008234,GO:0046983; 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Bar32.D02G005600 </w:t>
            </w: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E1A91_D02G014800v1: ULP_PROTEASE domain-containing protein (Gossypium mustelinum);Ontology_term=GO:0003677,GO:0003735,GO:0005840,GO:0006412,GO:0006508,GO:0008234,GO:0046983;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Bar32.D02G005800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LOC107938721: F-box protein SKIP16-like (Gossypium hirsutum);Ontology_term=GO:0003700,GO:0005515,GO:0006355;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Bar32.D02G005900 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B456_005G016000: NAC domain-containing protein (Gossypium raimondii);Ontology_term=GO:0000398,GO:0003677,GO:0006355; 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Bar32.D02G006000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Godav_012899: Rhomboid domain-containing protein (Gossypium davidsonii);Ontology_term=GO:0004252,GO:0016021;  </w:t>
            </w:r>
          </w:p>
        </w:tc>
      </w:tr>
      <w:tr>
        <w:trPr>
          <w:trHeight w:val="990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Bar32.D02G006200 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LOC107938696: RNA polymerase II C-terminal domain phosphatase-like (Gossypium hirsutum);Ontology_term=GO:0004721,GO:0005634,GO:0008420,GO:0070940; </w:t>
            </w:r>
          </w:p>
        </w:tc>
      </w:tr>
      <w:tr>
        <w:trPr>
          <w:trHeight w:val="495" w:hRule="atLeast"/>
        </w:trPr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Bar32.D02G006300  </w:t>
            </w:r>
          </w:p>
        </w:tc>
        <w:tc>
          <w:tcPr>
            <w:tcW w:w="8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Gogos_022196: Acetolactate synthase (Gossypium gossypioides);Ontology_term=GO:0000287  </w:t>
            </w:r>
          </w:p>
        </w:tc>
      </w:tr>
    </w:tbl>
    <w:p>
      <w:pPr>
        <w:pStyle w:val="Normal1"/>
        <w:pBdr/>
        <w:shd w:val="clear" w:fill="FFFFFF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 </w:t>
      </w:r>
    </w:p>
    <w:tbl>
      <w:tblPr>
        <w:tblStyle w:val="Table5"/>
        <w:tblW w:w="972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1710"/>
        <w:gridCol w:w="8010"/>
      </w:tblGrid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Bar32.D02G006400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GCP2: Probable tRNA N6-adenosine threonylcarbamoyltransferase (Populus alba);Ontology_term=GO:0000408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GO:0002949;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Bar32.D02G006600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LOC107938714: importin beta-like SAD2 (Gossypium hirsutum);Ontology_term=GO:0006886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GO:0031267;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Bar32.D02G006700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B456_005G017500: Peptidase A1 domain-containing protein (Gossypium raimondii);Ontology_term=GO:0004190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GO:0006508;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Bar32.D02G013400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B456_005G028000: Epimerase domain-containing protein (Gossypium raimondii);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Bar32.D02G013500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B456_005G028100: RRM domain-containing protein (Gossypium raimondii);Ontology_term=GO:0003676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GO:0003723;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Bar32.D02G013700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B456_005G028300: J domain-containing protein (Gossypium raimondii);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Bar32.D02G015400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LOC107934486: Isoform of A0A1U8M6H7%2C UV radiation resistance-associated gene protein-like isoform X2 (Gossypium hirsutum);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Bar32.D02G016900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E1A91_D02G032800v1: ER lumen protein-retaining receptor (Gossypium mustelinum);Ontology_term=GO:0006621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GO:0016021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Bar32.D02G017000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Godav_012976: Purple acid phosphatase (Gossypium davidsonii);Ontology_term=GO:0003993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GO:0016787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Bar32.D02G017100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B456_005G032500: X8 domain-containing protein (Gossypium raimondii);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*Bar32.D11G231300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B456_007G3277001: LRRNT_2 domain-containing protein (Fragment) (Gossypium raimondii);Ontology_term=GO:0005515; </w:t>
            </w:r>
          </w:p>
        </w:tc>
      </w:tr>
      <w:tr>
        <w:trPr>
          <w:trHeight w:val="97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*Bar32.D11G233200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LOC107963816: probable leucine-rich repeat receptor-like serine/threonine-protein kinase At3g14840 (Gossypium hirsutum);Ontology_term=GO:0004672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GO:0005515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*Bar32.D11G233400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E1A91_D11G342100v1: Protein kinase domain-containing protein (Gossypium mustelinum);Ontology_term=GO:0004672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GO:0005515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Bar32.D11G233500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E1A91_D11G342500v1: PMR5N domain-containing protein (Gossypium mustelinum);Ontology_term=GO:0016413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GO:0016740;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Bar32.D11G233700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LOC107963883: putative disease resistance protein RGA3 isoform X1 (Gossypium hirsutum);Ontology_term=GO:0006952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GO:0043531;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Bar32.D11G233800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B456_007G331400: AAA domain-containing protein (Gossypium raimondii);Ontology_term=GO:0006952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GO:0043531;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Bar32.D11G234000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EPI10_022782: E3 ubiquitin-protein ligase CCNB1IP1-like protein isoform X5 (Gossypium australe);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Bar32.D11G234100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E1A91_D11G342900v1: BED-type domain-containing protein (Gossypium mustelinum);Ontology_term=GO:0003677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GO:0046983;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Bar32.D11G234300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B456_007G332100: Bidirectional sugar transporter SWEET (Gossypium raimondii);Ontology_term=GO:0016021;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*Bar32.D11G234400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E1A91_D11G343300v1: Mitogen-activated protein kinase (Gossypium mustelinum);Ontology_term=GO:0004672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GO:0004707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*Bar32.D11G234500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B456_007G332400: SH2 domain-containing protein (Gossypium raimondii);Ontology_term=GO:0003700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GO:0006355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Bar32.D11G236500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LOC107886173: ubiquitin carboxyl-terminal hydrolase 15-like isoform X1 (Gossypium hirsutum);Ontology_term=GO:0004843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GO:0006511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Bar32.D11G236600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LOC107886191: polyadenylate-binding protein-interacting protein 9-like (Gossypium hirsutum);Ontology_term=GO:0003676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GO:0003723;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Bar32.D11G236700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Goshw_009526: Fe2OG dioxygenase domain-containing protein (Gossypium schwendimanii);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Bar32.D11G237400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E1A91_D11G347000v1: Histone domain-containing protein (Gossypium mustelinum);Ontology_term=GO:0003677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GO:0046982;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Bar32.D13G098700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EPI10_031110: Branched-chain-amino-acid aminotransferase-like protein 1 isoform X1 (Gossypium australe);Ontology_term=GO:0003824;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Bar32.D13G104700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Gogos_000885: RNase H type-1 domain-containing protein (Gossypium gossypioides);Ontology_term=GO:0003676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GO:0004523;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Bar32.D13G106800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LOC107963597: beta-amyrin 28-oxidase-like (Gossypium hirsutum);Ontology_term=GO:0004497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GO:0005506 </w:t>
            </w:r>
          </w:p>
        </w:tc>
      </w:tr>
      <w:tr>
        <w:trPr>
          <w:trHeight w:val="750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Bar32.D13G132700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LOC107919484: COBRA-like protein 10 (Gossypium hirsutum);Ontology_term=GO:0009055 </w:t>
            </w:r>
          </w:p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GO:0010215 </w:t>
            </w:r>
          </w:p>
        </w:tc>
      </w:tr>
      <w:tr>
        <w:trPr>
          <w:trHeight w:val="525" w:hRule="atLeast"/>
        </w:trPr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Bar32.D13G147600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Similar to E1A91_D13G185200v1: Isoform of A0A5D2S594%2C J domain-containing protein (Gossypium mustelinum); </w:t>
            </w:r>
          </w:p>
        </w:tc>
      </w:tr>
    </w:tbl>
    <w:p>
      <w:pPr>
        <w:pStyle w:val="Normal1"/>
        <w:pBdr/>
        <w:shd w:val="clear" w:fill="FFFFFF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 </w:t>
      </w:r>
    </w:p>
    <w:p>
      <w:pPr>
        <w:pStyle w:val="Normal1"/>
        <w:pBdr/>
        <w:shd w:val="clear" w:fill="FFFFFF"/>
        <w:jc w:val="center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Supplemental Table S5. Blastn hits of the two Gorai.007G333200.1 paralogues by Bar resistant lines with copy number differences between them.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tbl>
      <w:tblPr>
        <w:tblStyle w:val="Table6"/>
        <w:tblW w:w="9720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/>
      </w:tblPr>
      <w:tblGrid>
        <w:gridCol w:w="1890"/>
        <w:gridCol w:w="1170"/>
        <w:gridCol w:w="630"/>
        <w:gridCol w:w="630"/>
        <w:gridCol w:w="900"/>
        <w:gridCol w:w="810"/>
        <w:gridCol w:w="540"/>
        <w:gridCol w:w="450"/>
        <w:gridCol w:w="630"/>
        <w:gridCol w:w="630"/>
        <w:gridCol w:w="630"/>
        <w:gridCol w:w="810"/>
      </w:tblGrid>
      <w:tr>
        <w:trPr>
          <w:trHeight w:val="585" w:hRule="atLeast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qseqid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sseqid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pident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length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mismatch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gapopen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qstart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qend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sstart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send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evalue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18" w:space="0" w:color="CCCCCC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i/>
                <w:sz w:val="18"/>
                <w:szCs w:val="18"/>
              </w:rPr>
              <w:t>bitscore </w:t>
            </w: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 </w:t>
            </w:r>
          </w:p>
        </w:tc>
      </w:tr>
      <w:tr>
        <w:trPr>
          <w:trHeight w:val="855" w:hRule="atLeast"/>
        </w:trPr>
        <w:tc>
          <w:tcPr>
            <w:tcW w:w="189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Gorai.007G333200.1-JGI_221_v2.1  </w:t>
            </w:r>
          </w:p>
        </w:tc>
        <w:tc>
          <w:tcPr>
            <w:tcW w:w="117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D11_B713  </w:t>
            </w:r>
          </w:p>
        </w:tc>
        <w:tc>
          <w:tcPr>
            <w:tcW w:w="63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99.745  </w:t>
            </w:r>
          </w:p>
        </w:tc>
        <w:tc>
          <w:tcPr>
            <w:tcW w:w="63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7852  </w:t>
            </w:r>
          </w:p>
        </w:tc>
        <w:tc>
          <w:tcPr>
            <w:tcW w:w="90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16  </w:t>
            </w:r>
          </w:p>
        </w:tc>
        <w:tc>
          <w:tcPr>
            <w:tcW w:w="81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3  </w:t>
            </w:r>
          </w:p>
        </w:tc>
        <w:tc>
          <w:tcPr>
            <w:tcW w:w="54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  </w:t>
            </w:r>
          </w:p>
        </w:tc>
        <w:tc>
          <w:tcPr>
            <w:tcW w:w="45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7851  </w:t>
            </w:r>
          </w:p>
        </w:tc>
        <w:tc>
          <w:tcPr>
            <w:tcW w:w="63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141026  </w:t>
            </w:r>
          </w:p>
        </w:tc>
        <w:tc>
          <w:tcPr>
            <w:tcW w:w="63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148874  </w:t>
            </w:r>
          </w:p>
        </w:tc>
        <w:tc>
          <w:tcPr>
            <w:tcW w:w="63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0  </w:t>
            </w:r>
          </w:p>
        </w:tc>
        <w:tc>
          <w:tcPr>
            <w:tcW w:w="810" w:type="dxa"/>
            <w:tcBorders>
              <w:top w:val="single" w:sz="18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14386  </w:t>
            </w:r>
          </w:p>
        </w:tc>
      </w:tr>
      <w:tr>
        <w:trPr>
          <w:trHeight w:val="840" w:hRule="atLeast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Gorai.007G333200.1-JGI_221_v2.1 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D11_B713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99.745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7852 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16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3 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  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206782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214630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0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14386  </w:t>
            </w:r>
          </w:p>
        </w:tc>
      </w:tr>
      <w:tr>
        <w:trPr>
          <w:trHeight w:val="840" w:hRule="atLeast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Gorai.007G333200.1-JGI_221_v2.1 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D11_B713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99.771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7852 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3 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  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272538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280386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0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14397  </w:t>
            </w:r>
          </w:p>
        </w:tc>
      </w:tr>
      <w:tr>
        <w:trPr>
          <w:trHeight w:val="840" w:hRule="atLeast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Gorai.007G333200.1-JGI_221_v2.1 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D11_BAR3230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99.745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7852 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16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3 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  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141026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148874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0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14386  </w:t>
            </w:r>
          </w:p>
        </w:tc>
      </w:tr>
      <w:tr>
        <w:trPr>
          <w:trHeight w:val="840" w:hRule="atLeast"/>
        </w:trPr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Gorai.007G333200.1-JGI_221_v2.1 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D11_BAR3230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99.771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7852  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3  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  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7851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206782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right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214630  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0 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>
            <w:pPr>
              <w:pStyle w:val="Normal1"/>
              <w:widowControl w:val="false"/>
              <w:pBdr/>
              <w:spacing w:lineRule="auto" w:line="240" w:before="40" w:after="40"/>
              <w:ind w:left="-80" w:hanging="0"/>
              <w:jc w:val="center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</w:rPr>
              <w:t xml:space="preserve">14397  </w:t>
            </w:r>
          </w:p>
        </w:tc>
      </w:tr>
    </w:tbl>
    <w:p>
      <w:pPr>
        <w:pStyle w:val="Normal1"/>
        <w:pBdr/>
        <w:shd w:val="clear" w:fill="FFFFFF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  </w:t>
      </w:r>
    </w:p>
    <w:p>
      <w:pPr>
        <w:pStyle w:val="Normal1"/>
        <w:pBdr/>
        <w:shd w:val="clear" w:fill="FFFFFF"/>
        <w:jc w:val="center"/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Supplemental Figure S1.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/>
        <w:drawing>
          <wp:inline distT="0" distB="0" distL="0" distR="0">
            <wp:extent cx="5943600" cy="2616200"/>
            <wp:effectExtent l="0" t="0" r="0" b="0"/>
            <wp:docPr id="1" name="image1.png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graph of 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 xml:space="preserve">A genome-wide alignment of the newly assembled PSC355 to Bar32 (left) and ZM24 (Perkin et al., 2021; Yang et al. 2019). 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 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Supplemental Figure S2.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/>
        <w:drawing>
          <wp:inline distT="0" distB="0" distL="0" distR="0">
            <wp:extent cx="5943600" cy="3327400"/>
            <wp:effectExtent l="0" t="0" r="0" b="0"/>
            <wp:docPr id="2" name="image2.png" descr="A close-up of a dna seque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A close-up of a dna seque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color w:val="333333"/>
          <w:sz w:val="24"/>
          <w:szCs w:val="24"/>
        </w:rPr>
      </w:pPr>
      <w:r>
        <w:rPr>
          <w:rFonts w:eastAsia="Calibri" w:cs="Calibri" w:ascii="Calibri" w:hAnsi="Calibri"/>
        </w:rPr>
        <w:t xml:space="preserve">  </w:t>
      </w:r>
      <w:r>
        <w:rPr>
          <w:rFonts w:eastAsia="Calibri" w:cs="Calibri" w:ascii="Calibri" w:hAnsi="Calibri"/>
        </w:rPr>
        <w:br/>
      </w:r>
      <w:r>
        <w:rPr>
          <w:rFonts w:eastAsia="Times New Roman" w:cs="Times New Roman" w:ascii="Times New Roman" w:hAnsi="Times New Roman"/>
          <w:color w:val="333333"/>
          <w:sz w:val="24"/>
          <w:szCs w:val="24"/>
        </w:rPr>
        <w:t xml:space="preserve">Copy number variation in resistant lines (B713 &amp; BAR32-30) demonstrated by read coverage histogram (A), cladogram of two paralogues (B), and structural differences between B713 and BAR32-30, with Gorai.007G333200.1.alpha sequence highlighted in purple (C). The alpha variant was present twice in B713 and once in BAR 32-30, whereas beta was present once in both Barbren derived strains. Furthermore, neither of these genes were present in PSC355 within the marker region or on Chromosome D11. 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color w:val="333333"/>
          <w:sz w:val="24"/>
          <w:szCs w:val="24"/>
        </w:rPr>
      </w:pPr>
      <w:r>
        <w:rPr>
          <w:rFonts w:eastAsia="Times New Roman" w:cs="Times New Roman" w:ascii="Times New Roman" w:hAnsi="Times New Roman"/>
          <w:color w:val="333333"/>
          <w:sz w:val="24"/>
          <w:szCs w:val="24"/>
        </w:rPr>
        <w:t xml:space="preserve">  </w:t>
      </w:r>
    </w:p>
    <w:p>
      <w:pPr>
        <w:pStyle w:val="Normal1"/>
        <w:pBdr/>
        <w:shd w:val="clear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pBdr/>
        <w:shd w:val="clear" w:fill="FFFFFF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  <w:t xml:space="preserve"> </w:t>
      </w:r>
    </w:p>
    <w:p>
      <w:pPr>
        <w:pStyle w:val="Normal1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LibreOffice/7.3.7.2$Linux_X86_64 LibreOffice_project/30$Build-2</Application>
  <AppVersion>15.0000</AppVersion>
  <Pages>9</Pages>
  <Words>1449</Words>
  <Characters>13175</Characters>
  <CharactersWithSpaces>15214</CharactersWithSpaces>
  <Paragraphs>621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2023-09-22T15:25:04Z</dcterms:modified>
  <cp:revision>1</cp:revision>
  <dc:subject/>
  <dc:title/>
</cp:coreProperties>
</file>