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lang w:val="en-US" w:eastAsia="zh-CN"/>
        </w:rPr>
      </w:pPr>
      <w:bookmarkStart w:id="0" w:name="_GoBack"/>
      <w:r>
        <w:rPr>
          <w:rFonts w:hint="eastAsia"/>
          <w:b/>
          <w:bCs/>
          <w:lang w:val="en-US" w:eastAsia="zh-CN"/>
        </w:rPr>
        <w:t>Supplementary</w:t>
      </w:r>
      <w:bookmarkEnd w:id="0"/>
    </w:p>
    <w:p>
      <w:pPr>
        <w:rPr>
          <w:rFonts w:hint="eastAsia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1316990"/>
            <wp:effectExtent l="0" t="0" r="16510" b="3810"/>
            <wp:docPr id="74" name="图片 74" descr="Fig. 1（1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Fig. 1（1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1316990"/>
            <wp:effectExtent l="0" t="0" r="16510" b="3810"/>
            <wp:docPr id="75" name="图片 75" descr="Fig. 1（2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Fig. 1（2）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Figure S1. Debatch-effect processing of the three data sets, and the results are compared before and after.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6329680"/>
            <wp:effectExtent l="0" t="0" r="10160" b="20320"/>
            <wp:docPr id="1" name="图片 1" descr="s2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2_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32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S2. Box plots show differences between MDD(Treat) and control for each of the 10 differentially expressed ferroptosis genes. The results show that all 10 genes are significantly different.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1135" cy="5149215"/>
            <wp:effectExtent l="0" t="0" r="12065" b="6985"/>
            <wp:docPr id="4" name="图片 4" descr="s3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3_0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14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Figure S3. Single gene GSEA. 10 differentially expressed ferroptosis genes are analyzed by single gene GSEA, and the related pathways of each gene are obtained.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FCC492"/>
    <w:rsid w:val="55FCC492"/>
    <w:rsid w:val="7B7BC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2023-09-25T21:24:00Z</dcterms:created>
  <dc:creator>mpd123</dc:creator>
  <cp:lastModifiedBy>mpd123</cp:lastModifiedBy>
  <dcterms:modified xsi:type="dcterms:W3CDTF">2023-09-25T21:26:07Z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F80CCF8E2A4A282F1C8A1165FF2E2487_41</vt:lpwstr>
  </property>
</Properties>
</file>