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3513" w14:textId="77777777" w:rsidR="00580E21" w:rsidRPr="004C4E71" w:rsidRDefault="00580E21" w:rsidP="00580E21">
      <w:pPr>
        <w:jc w:val="center"/>
        <w:rPr>
          <w:rFonts w:cs="Times New Roman"/>
          <w:sz w:val="24"/>
          <w:szCs w:val="24"/>
        </w:rPr>
      </w:pPr>
      <w:r w:rsidRPr="004C4E71">
        <w:rPr>
          <w:rFonts w:cs="Times New Roman"/>
          <w:sz w:val="24"/>
          <w:szCs w:val="24"/>
        </w:rPr>
        <w:t>Supporting Information</w:t>
      </w:r>
    </w:p>
    <w:p w14:paraId="31E6F39B" w14:textId="77777777" w:rsidR="00C64739" w:rsidRPr="004C4E71" w:rsidRDefault="00C64739" w:rsidP="00C64739">
      <w:pPr>
        <w:rPr>
          <w:rFonts w:cs="Times New Roman"/>
          <w:b/>
          <w:bCs/>
          <w:sz w:val="24"/>
          <w:szCs w:val="24"/>
        </w:rPr>
      </w:pPr>
    </w:p>
    <w:p w14:paraId="041C57A1" w14:textId="77777777" w:rsidR="00C64739" w:rsidRPr="004C4E71" w:rsidRDefault="00C64739" w:rsidP="00C64739">
      <w:pPr>
        <w:rPr>
          <w:rFonts w:cs="Times New Roman"/>
          <w:b/>
          <w:bCs/>
          <w:sz w:val="24"/>
          <w:szCs w:val="24"/>
        </w:rPr>
      </w:pPr>
      <w:r w:rsidRPr="004C4E71">
        <w:rPr>
          <w:rFonts w:cs="Times New Roman"/>
          <w:b/>
          <w:bCs/>
          <w:sz w:val="24"/>
          <w:szCs w:val="24"/>
        </w:rPr>
        <w:t xml:space="preserve">Cellular dynamics in the maize leaf growth zone during recovery from chilling depends on the leaf developmental </w:t>
      </w:r>
      <w:proofErr w:type="gramStart"/>
      <w:r w:rsidRPr="004C4E71">
        <w:rPr>
          <w:rFonts w:cs="Times New Roman"/>
          <w:b/>
          <w:bCs/>
          <w:sz w:val="24"/>
          <w:szCs w:val="24"/>
        </w:rPr>
        <w:t>stage</w:t>
      </w:r>
      <w:proofErr w:type="gramEnd"/>
    </w:p>
    <w:p w14:paraId="4E5A788E" w14:textId="77777777" w:rsidR="00C64739" w:rsidRPr="004C4E71" w:rsidRDefault="00C64739" w:rsidP="00C64739">
      <w:pPr>
        <w:spacing w:line="360" w:lineRule="auto"/>
        <w:rPr>
          <w:rFonts w:cs="Times New Roman"/>
          <w:sz w:val="24"/>
          <w:szCs w:val="24"/>
        </w:rPr>
      </w:pPr>
      <w:r w:rsidRPr="004C4E71">
        <w:rPr>
          <w:rFonts w:cs="Times New Roman"/>
          <w:sz w:val="24"/>
          <w:szCs w:val="24"/>
        </w:rPr>
        <w:t>Cindy M.S. Lainé</w:t>
      </w:r>
      <w:r w:rsidRPr="004C4E71">
        <w:rPr>
          <w:rFonts w:cs="Times New Roman"/>
          <w:sz w:val="24"/>
          <w:szCs w:val="24"/>
          <w:vertAlign w:val="superscript"/>
        </w:rPr>
        <w:t>1</w:t>
      </w:r>
      <w:r w:rsidRPr="004C4E71">
        <w:rPr>
          <w:rFonts w:cs="Times New Roman"/>
          <w:sz w:val="24"/>
          <w:szCs w:val="24"/>
        </w:rPr>
        <w:t>, Hamada AbdElgawad</w:t>
      </w:r>
      <w:r w:rsidRPr="004C4E71">
        <w:rPr>
          <w:rFonts w:cs="Times New Roman"/>
          <w:sz w:val="24"/>
          <w:szCs w:val="24"/>
          <w:vertAlign w:val="superscript"/>
        </w:rPr>
        <w:t>1</w:t>
      </w:r>
      <w:r w:rsidRPr="004C4E71">
        <w:rPr>
          <w:rFonts w:cs="Times New Roman"/>
          <w:sz w:val="24"/>
          <w:szCs w:val="24"/>
          <w:vertAlign w:val="superscript"/>
          <w:lang w:val="en-US"/>
        </w:rPr>
        <w:t>,2</w:t>
      </w:r>
      <w:r w:rsidRPr="004C4E71">
        <w:rPr>
          <w:rFonts w:cs="Times New Roman"/>
          <w:sz w:val="24"/>
          <w:szCs w:val="24"/>
        </w:rPr>
        <w:t>, Gerrit T.S. Beemster</w:t>
      </w:r>
      <w:r w:rsidRPr="004C4E71">
        <w:rPr>
          <w:rFonts w:cs="Times New Roman"/>
          <w:sz w:val="24"/>
          <w:szCs w:val="24"/>
          <w:vertAlign w:val="superscript"/>
        </w:rPr>
        <w:t>1</w:t>
      </w:r>
    </w:p>
    <w:p w14:paraId="7FCFBAD8" w14:textId="77777777" w:rsidR="00C64739" w:rsidRPr="004C4E71" w:rsidRDefault="00C64739" w:rsidP="00C64739">
      <w:pPr>
        <w:spacing w:line="360" w:lineRule="auto"/>
        <w:rPr>
          <w:rFonts w:cs="Times New Roman"/>
          <w:sz w:val="24"/>
          <w:szCs w:val="24"/>
        </w:rPr>
      </w:pPr>
      <w:r w:rsidRPr="004C4E71">
        <w:rPr>
          <w:rFonts w:cs="Times New Roman"/>
          <w:sz w:val="24"/>
          <w:szCs w:val="24"/>
          <w:vertAlign w:val="superscript"/>
        </w:rPr>
        <w:t>1</w:t>
      </w:r>
      <w:r w:rsidRPr="004C4E71">
        <w:rPr>
          <w:rFonts w:cs="Times New Roman"/>
          <w:sz w:val="24"/>
          <w:szCs w:val="24"/>
        </w:rPr>
        <w:t xml:space="preserve">Laboratory for Integrated Molecular Plant Physiology Research (IMPRES), Department of Biology, Antwerp University, </w:t>
      </w:r>
      <w:proofErr w:type="spellStart"/>
      <w:r w:rsidRPr="004C4E71">
        <w:rPr>
          <w:rFonts w:cs="Times New Roman"/>
          <w:sz w:val="24"/>
          <w:szCs w:val="24"/>
        </w:rPr>
        <w:t>Groenenborgerlaan</w:t>
      </w:r>
      <w:proofErr w:type="spellEnd"/>
      <w:r w:rsidRPr="004C4E71">
        <w:rPr>
          <w:rFonts w:cs="Times New Roman"/>
          <w:sz w:val="24"/>
          <w:szCs w:val="24"/>
        </w:rPr>
        <w:t xml:space="preserve"> 171, 2020 Antwerp, Belgium </w:t>
      </w:r>
    </w:p>
    <w:p w14:paraId="5F3FF9D0" w14:textId="77777777" w:rsidR="00C64739" w:rsidRPr="004C4E71" w:rsidRDefault="00C64739" w:rsidP="00C64739">
      <w:pPr>
        <w:spacing w:line="360" w:lineRule="auto"/>
        <w:rPr>
          <w:rFonts w:cs="Times New Roman"/>
          <w:sz w:val="24"/>
          <w:szCs w:val="24"/>
        </w:rPr>
      </w:pPr>
      <w:r w:rsidRPr="004C4E71">
        <w:rPr>
          <w:rFonts w:cs="Times New Roman"/>
          <w:sz w:val="24"/>
          <w:szCs w:val="24"/>
          <w:vertAlign w:val="superscript"/>
          <w:lang w:val="en-US"/>
        </w:rPr>
        <w:t>2</w:t>
      </w:r>
      <w:r w:rsidRPr="004C4E71">
        <w:rPr>
          <w:rFonts w:cs="Times New Roman"/>
          <w:sz w:val="24"/>
          <w:szCs w:val="24"/>
        </w:rPr>
        <w:t>Botany and Microbiology Department, Faculty of Science, Beni-</w:t>
      </w:r>
      <w:proofErr w:type="spellStart"/>
      <w:r w:rsidRPr="004C4E71">
        <w:rPr>
          <w:rFonts w:cs="Times New Roman"/>
          <w:sz w:val="24"/>
          <w:szCs w:val="24"/>
        </w:rPr>
        <w:t>Suef</w:t>
      </w:r>
      <w:proofErr w:type="spellEnd"/>
      <w:r w:rsidRPr="004C4E71">
        <w:rPr>
          <w:rFonts w:cs="Times New Roman"/>
          <w:sz w:val="24"/>
          <w:szCs w:val="24"/>
        </w:rPr>
        <w:t xml:space="preserve"> University, Beni-</w:t>
      </w:r>
      <w:proofErr w:type="spellStart"/>
      <w:r w:rsidRPr="004C4E71">
        <w:rPr>
          <w:rFonts w:cs="Times New Roman"/>
          <w:sz w:val="24"/>
          <w:szCs w:val="24"/>
        </w:rPr>
        <w:t>Suef</w:t>
      </w:r>
      <w:proofErr w:type="spellEnd"/>
      <w:r w:rsidRPr="004C4E71">
        <w:rPr>
          <w:rFonts w:cs="Times New Roman"/>
          <w:sz w:val="24"/>
          <w:szCs w:val="24"/>
        </w:rPr>
        <w:t xml:space="preserve"> 62511, Egypt</w:t>
      </w:r>
    </w:p>
    <w:p w14:paraId="6D3D44CC" w14:textId="2036A6D2" w:rsidR="00907642" w:rsidRPr="004C4E71" w:rsidRDefault="00F966CF" w:rsidP="00F966CF">
      <w:pPr>
        <w:jc w:val="center"/>
        <w:rPr>
          <w:rFonts w:cs="Times New Roman"/>
          <w:sz w:val="24"/>
          <w:szCs w:val="24"/>
        </w:rPr>
      </w:pPr>
      <w:r w:rsidRPr="004C4E71">
        <w:rPr>
          <w:rFonts w:cs="Times New Roman"/>
          <w:sz w:val="24"/>
          <w:szCs w:val="24"/>
        </w:rPr>
        <w:t>Supplemental Method</w:t>
      </w:r>
    </w:p>
    <w:p w14:paraId="0AA0113E" w14:textId="77777777" w:rsidR="00F966CF" w:rsidRPr="004C4E71" w:rsidRDefault="00F966CF" w:rsidP="00F966CF">
      <w:pPr>
        <w:jc w:val="center"/>
        <w:rPr>
          <w:rFonts w:cs="Times New Roman"/>
          <w:sz w:val="24"/>
          <w:szCs w:val="24"/>
        </w:rPr>
      </w:pPr>
    </w:p>
    <w:p w14:paraId="0370EFB2" w14:textId="77777777" w:rsidR="00907642" w:rsidRPr="004C4E71" w:rsidRDefault="00907642" w:rsidP="00907642">
      <w:pPr>
        <w:jc w:val="left"/>
        <w:rPr>
          <w:rFonts w:cs="Times New Roman"/>
          <w:sz w:val="24"/>
          <w:szCs w:val="24"/>
        </w:rPr>
      </w:pPr>
      <w:r w:rsidRPr="004C4E71">
        <w:rPr>
          <w:rFonts w:cs="Times New Roman"/>
          <w:b/>
          <w:bCs/>
          <w:sz w:val="24"/>
          <w:szCs w:val="24"/>
        </w:rPr>
        <w:t xml:space="preserve">Method S1: Explanation for correction of the kinematic parameters when leaf growth is in </w:t>
      </w:r>
      <w:proofErr w:type="spellStart"/>
      <w:r w:rsidRPr="004C4E71">
        <w:rPr>
          <w:rFonts w:cs="Times New Roman"/>
          <w:b/>
          <w:bCs/>
          <w:sz w:val="24"/>
          <w:szCs w:val="24"/>
        </w:rPr>
        <w:t>non steady</w:t>
      </w:r>
      <w:proofErr w:type="spellEnd"/>
      <w:r w:rsidRPr="004C4E71">
        <w:rPr>
          <w:rFonts w:cs="Times New Roman"/>
          <w:b/>
          <w:bCs/>
          <w:sz w:val="24"/>
          <w:szCs w:val="24"/>
        </w:rPr>
        <w:t>-</w:t>
      </w:r>
      <w:proofErr w:type="gramStart"/>
      <w:r w:rsidRPr="004C4E71">
        <w:rPr>
          <w:rFonts w:cs="Times New Roman"/>
          <w:b/>
          <w:bCs/>
          <w:sz w:val="24"/>
          <w:szCs w:val="24"/>
        </w:rPr>
        <w:t>state</w:t>
      </w:r>
      <w:proofErr w:type="gramEnd"/>
    </w:p>
    <w:p w14:paraId="1EA83AB6" w14:textId="77777777" w:rsidR="00907642" w:rsidRPr="004C4E71" w:rsidRDefault="00907642" w:rsidP="00907642">
      <w:pPr>
        <w:pStyle w:val="ListParagraph"/>
        <w:numPr>
          <w:ilvl w:val="0"/>
          <w:numId w:val="1"/>
        </w:numPr>
        <w:rPr>
          <w:rFonts w:cs="Times New Roman"/>
          <w:b/>
          <w:bCs/>
          <w:sz w:val="24"/>
          <w:szCs w:val="24"/>
        </w:rPr>
      </w:pPr>
      <w:r w:rsidRPr="004C4E71">
        <w:rPr>
          <w:rFonts w:cs="Times New Roman"/>
          <w:b/>
          <w:bCs/>
          <w:sz w:val="24"/>
          <w:szCs w:val="24"/>
        </w:rPr>
        <w:t xml:space="preserve">Steady-state assumption </w:t>
      </w:r>
    </w:p>
    <w:p w14:paraId="36E110B0" w14:textId="77777777" w:rsidR="00907642" w:rsidRPr="004C4E71" w:rsidRDefault="00907642" w:rsidP="00907642">
      <w:pPr>
        <w:rPr>
          <w:rFonts w:cs="Times New Roman"/>
          <w:sz w:val="24"/>
          <w:szCs w:val="24"/>
        </w:rPr>
      </w:pPr>
      <w:r w:rsidRPr="004C4E71">
        <w:rPr>
          <w:rFonts w:cs="Times New Roman"/>
          <w:sz w:val="24"/>
          <w:szCs w:val="24"/>
        </w:rPr>
        <w:t xml:space="preserve">See kinematic calculation under steady-state assumption in the papers of </w:t>
      </w:r>
      <w:r w:rsidRPr="004C4E71">
        <w:rPr>
          <w:rFonts w:cs="Times New Roman"/>
          <w:sz w:val="24"/>
          <w:szCs w:val="24"/>
        </w:rPr>
        <w:fldChar w:fldCharType="begin"/>
      </w:r>
      <w:r w:rsidRPr="004C4E71">
        <w:rPr>
          <w:rFonts w:cs="Times New Roman"/>
          <w:sz w:val="24"/>
          <w:szCs w:val="24"/>
        </w:rPr>
        <w:instrText xml:space="preserve"> ADDIN ZOTERO_ITEM CSL_CITATION {"citationID":"iH20J16y","properties":{"formattedCitation":"(Sprangers et al., 2016; Bertels and Beemster, 2020)","plainCitation":"(Sprangers et al., 2016; Bertels and Beemster, 2020)","dontUpdate":true,"noteIndex":0},"citationItems":[{"id":37,"uris":["http://zotero.org/users/local/Wolr4PJS/items/XXJLP8X6"],"itemData":{"id":37,"type":"article-journal","abstract":"Growth analyses are often used in plant science to investigate contrasting genotypes and the effect of environmental conditions. The cellular aspect of these analyses is of crucial importance, because growth is driven by cell division and cell elongation. Kinematic analysis represents a methodology to quantify these two processes. Moreover, this technique is easy to use in non-specialized laboratories. Here, we present a protocol for performing a kinematic analysis in monocotyledonous maize (Zea mays) leaves. Two aspects are presented: (1) the quantification of cell division and expansion parameters, and (2) the determination of the location of the developmental zones. This could serve as a basis for sampling design and/or could be useful for data interpretation of biochemical and molecular measurements with high spatial resolution in the leaf growth zone. The growth zone of maize leaves is harvested during steady-state growth. Individual leaves are used for meristem length determination using a DAPI stain and cell-length profiles using DIC microscopy. The protocol is suited for emerged monocotyledonous leaves harvested during steady-state growth, with growth zones spanning at least several centimeters. To improve the understanding of plant growth regulation, data on growth and molecular studies must be combined. Therefore, an important advantage of kinematic analysis is the possibility to correlate changes at the molecular level to well-defined stages of cellular development. Furthermore, it allows for a more focused sampling of specified developmental stages, which is useful in case of limited budget or time.","container-title":"JoVE (Journal of Visualized Experiments)","DOI":"10.3791/54887","ISSN":"1940-087X","issue":"118","note":"number: 118","page":"e54887","source":"www.jove.com","title":"Kinematic Analysis of Cell Division and Expansion: Quantifying the Cellular Basis of Growth and Sampling Developmental Zones in Zea mays Leaves","title-short":"Kinematic Analysis of Cell Division and Expansion","author":[{"family":"Sprangers","given":"Katrien"},{"family":"Avramova","given":"Viktoriya"},{"family":"Beemster","given":"Gerrit T. S."}],"issued":{"date-parts":[["2016",12,2]]}}},{"id":45,"uris":["http://zotero.org/users/local/Wolr4PJS/items/QWVBCV4H"],"itemData":{"id":45,"type":"article-journal","abstract":"Growth is one of the most studied plant responses. At the cellular level, plant growth is driven by cell division and cell expansion. A means to quantify these two cellular processes is through kinematic analysis, a methodology that has been developed and perfected over the past decades, with in-depth descriptions of the methodology available. Unfortunately, after performing the lab work, researchers are required to perform time-consuming, repetitive and error-prone calculations. To lower the barrier towards this final step in the analysis and to aid researchers currently applying this technique, we have created leafkin, an R-package to perform all the calculations involved in the kinematic analysis of monocot leaves using only four functions. These functions support leaf elongation rate calculations, fitting of cell length profiles, extraction of fitted cell lengths and execution of kinematic equations. With the leafkin package, kinematic analysis of monocot leaves becomes more accessible than before.","container-title":"Quantitative Plant Biology","DOI":"10.1017/qpb.2020.3","ISSN":"2632-8828","language":"en","note":"publisher: Cambridge University Press","source":"Cambridge University Press","title":"leafkin—An R package for automated kinematic data analysis of monocot leaves","URL":"https://www.cambridge.org/core/journals/quantitative-plant-biology/article/leafkinan-r-package-for-automated-kinematic-data-analysis-of-monocot-leaves/E3B5C4374F3BF8EEB4E6A0A2CDA4FEF9","volume":"1","author":[{"family":"Bertels","given":"Jonas"},{"family":"Beemster","given":"Gerrit T. S."}],"accessed":{"date-parts":[["2021",2,9]]},"issued":{"date-parts":[["2020"]],"season":"ed"}}}],"schema":"https://github.com/citation-style-language/schema/raw/master/csl-citation.json"} </w:instrText>
      </w:r>
      <w:r w:rsidRPr="004C4E71">
        <w:rPr>
          <w:rFonts w:cs="Times New Roman"/>
          <w:sz w:val="24"/>
          <w:szCs w:val="24"/>
        </w:rPr>
        <w:fldChar w:fldCharType="separate"/>
      </w:r>
      <w:r w:rsidRPr="004C4E71">
        <w:rPr>
          <w:rFonts w:cs="Times New Roman"/>
          <w:sz w:val="24"/>
          <w:szCs w:val="24"/>
        </w:rPr>
        <w:t>Sprangers et al. 2016 and Bertels and Beemster 2020</w:t>
      </w:r>
      <w:r w:rsidRPr="004C4E71">
        <w:rPr>
          <w:rFonts w:cs="Times New Roman"/>
          <w:sz w:val="24"/>
          <w:szCs w:val="24"/>
        </w:rPr>
        <w:fldChar w:fldCharType="end"/>
      </w:r>
      <w:r w:rsidRPr="004C4E71">
        <w:rPr>
          <w:rFonts w:cs="Times New Roman"/>
          <w:sz w:val="24"/>
          <w:szCs w:val="24"/>
        </w:rPr>
        <w:t xml:space="preserve">. The calculated kinematic parameters under steady-state assumption are illustrated by dotted lines in </w:t>
      </w:r>
      <w:r w:rsidRPr="004C4E71">
        <w:rPr>
          <w:rFonts w:cs="Times New Roman"/>
          <w:b/>
          <w:bCs/>
          <w:sz w:val="24"/>
          <w:szCs w:val="24"/>
        </w:rPr>
        <w:t>Figure 8</w:t>
      </w:r>
      <w:r w:rsidRPr="004C4E71">
        <w:rPr>
          <w:rFonts w:cs="Times New Roman"/>
          <w:sz w:val="24"/>
          <w:szCs w:val="24"/>
        </w:rPr>
        <w:t>.</w:t>
      </w:r>
    </w:p>
    <w:p w14:paraId="734A0F18" w14:textId="77777777" w:rsidR="00907642" w:rsidRPr="004C4E71" w:rsidRDefault="00907642" w:rsidP="00907642">
      <w:pPr>
        <w:pStyle w:val="ListParagraph"/>
        <w:numPr>
          <w:ilvl w:val="0"/>
          <w:numId w:val="1"/>
        </w:numPr>
        <w:rPr>
          <w:rFonts w:cs="Times New Roman"/>
          <w:b/>
          <w:bCs/>
          <w:sz w:val="24"/>
          <w:szCs w:val="24"/>
        </w:rPr>
      </w:pPr>
      <w:r w:rsidRPr="004C4E71">
        <w:rPr>
          <w:rFonts w:cs="Times New Roman"/>
          <w:b/>
          <w:bCs/>
          <w:sz w:val="24"/>
          <w:szCs w:val="24"/>
        </w:rPr>
        <w:t xml:space="preserve">Correction for the </w:t>
      </w:r>
      <w:proofErr w:type="spellStart"/>
      <w:r w:rsidRPr="004C4E71">
        <w:rPr>
          <w:rFonts w:cs="Times New Roman"/>
          <w:b/>
          <w:bCs/>
          <w:sz w:val="24"/>
          <w:szCs w:val="24"/>
        </w:rPr>
        <w:t>l</w:t>
      </w:r>
      <w:r w:rsidRPr="004C4E71">
        <w:rPr>
          <w:rFonts w:cs="Times New Roman"/>
          <w:b/>
          <w:bCs/>
          <w:sz w:val="24"/>
          <w:szCs w:val="24"/>
          <w:vertAlign w:val="subscript"/>
        </w:rPr>
        <w:t>mat</w:t>
      </w:r>
      <w:proofErr w:type="spellEnd"/>
      <w:r w:rsidRPr="004C4E71">
        <w:rPr>
          <w:rFonts w:cs="Times New Roman"/>
          <w:b/>
          <w:bCs/>
          <w:sz w:val="24"/>
          <w:szCs w:val="24"/>
        </w:rPr>
        <w:t>: Use mature cell length from the cell length profile to recalculate the kinematic parameters for the 1</w:t>
      </w:r>
      <w:r w:rsidRPr="004C4E71">
        <w:rPr>
          <w:rFonts w:cs="Times New Roman"/>
          <w:b/>
          <w:bCs/>
          <w:sz w:val="24"/>
          <w:szCs w:val="24"/>
          <w:vertAlign w:val="superscript"/>
        </w:rPr>
        <w:t>st</w:t>
      </w:r>
      <w:r w:rsidRPr="004C4E71">
        <w:rPr>
          <w:rFonts w:cs="Times New Roman"/>
          <w:b/>
          <w:bCs/>
          <w:sz w:val="24"/>
          <w:szCs w:val="24"/>
        </w:rPr>
        <w:t xml:space="preserve"> (D1 and D4) and 2</w:t>
      </w:r>
      <w:r w:rsidRPr="004C4E71">
        <w:rPr>
          <w:rFonts w:cs="Times New Roman"/>
          <w:b/>
          <w:bCs/>
          <w:sz w:val="24"/>
          <w:szCs w:val="24"/>
          <w:vertAlign w:val="superscript"/>
        </w:rPr>
        <w:t>nd</w:t>
      </w:r>
      <w:r w:rsidRPr="004C4E71">
        <w:rPr>
          <w:rFonts w:cs="Times New Roman"/>
          <w:b/>
          <w:bCs/>
          <w:sz w:val="24"/>
          <w:szCs w:val="24"/>
        </w:rPr>
        <w:t xml:space="preserve"> day of recovery (D2 and D5)</w:t>
      </w:r>
    </w:p>
    <w:p w14:paraId="7B31FFC8" w14:textId="77777777" w:rsidR="00907642" w:rsidRPr="00A85EEA" w:rsidRDefault="00907642" w:rsidP="00907642">
      <w:pPr>
        <w:rPr>
          <w:rFonts w:cs="Times New Roman"/>
          <w:sz w:val="24"/>
          <w:szCs w:val="24"/>
        </w:rPr>
      </w:pPr>
      <w:r w:rsidRPr="004C4E71">
        <w:rPr>
          <w:rFonts w:cs="Times New Roman"/>
          <w:sz w:val="24"/>
          <w:szCs w:val="24"/>
        </w:rPr>
        <w:t xml:space="preserve">Based on the cell length profile, we realized that the mature cell length after 2-days cold </w:t>
      </w:r>
      <w:r w:rsidRPr="00A85EEA">
        <w:rPr>
          <w:rFonts w:cs="Times New Roman"/>
          <w:sz w:val="24"/>
          <w:szCs w:val="24"/>
        </w:rPr>
        <w:t>recovery (</w:t>
      </w:r>
      <w:proofErr w:type="spellStart"/>
      <w:r w:rsidRPr="00A85EEA">
        <w:rPr>
          <w:rFonts w:cs="Times New Roman"/>
          <w:sz w:val="24"/>
          <w:szCs w:val="24"/>
        </w:rPr>
        <w:t>d</w:t>
      </w:r>
      <w:r w:rsidRPr="00A85EEA">
        <w:rPr>
          <w:rFonts w:cs="Times New Roman"/>
          <w:sz w:val="24"/>
          <w:szCs w:val="24"/>
          <w:vertAlign w:val="subscript"/>
        </w:rPr>
        <w:t>n</w:t>
      </w:r>
      <w:proofErr w:type="spellEnd"/>
      <w:r w:rsidRPr="00A85EEA">
        <w:rPr>
          <w:rFonts w:cs="Times New Roman"/>
          <w:sz w:val="24"/>
          <w:szCs w:val="24"/>
        </w:rPr>
        <w:t>) corresponds to the cells that were still elongating at 1-day cold recovery (d</w:t>
      </w:r>
      <w:r w:rsidRPr="00A85EEA">
        <w:rPr>
          <w:rFonts w:cs="Times New Roman"/>
          <w:sz w:val="24"/>
          <w:szCs w:val="24"/>
          <w:vertAlign w:val="subscript"/>
        </w:rPr>
        <w:t>n-1</w:t>
      </w:r>
      <w:r w:rsidRPr="00A85EEA">
        <w:rPr>
          <w:rFonts w:cs="Times New Roman"/>
          <w:sz w:val="24"/>
          <w:szCs w:val="24"/>
        </w:rPr>
        <w:t xml:space="preserve">) (See the dotted vertical line in </w:t>
      </w:r>
      <w:r w:rsidRPr="00A85EEA">
        <w:rPr>
          <w:rFonts w:cs="Times New Roman"/>
          <w:b/>
          <w:bCs/>
          <w:sz w:val="24"/>
          <w:szCs w:val="24"/>
        </w:rPr>
        <w:t>Fig. 6b, e</w:t>
      </w:r>
      <w:r w:rsidRPr="00A85EEA">
        <w:rPr>
          <w:rFonts w:cs="Times New Roman"/>
          <w:sz w:val="24"/>
          <w:szCs w:val="24"/>
        </w:rPr>
        <w:t xml:space="preserve">). Following this, it is possible to re-calculate cell production (P’) (1) by replacing the length of the mature cell at </w:t>
      </w:r>
      <w:proofErr w:type="spellStart"/>
      <w:r w:rsidRPr="00A85EEA">
        <w:rPr>
          <w:rFonts w:cs="Times New Roman"/>
          <w:sz w:val="24"/>
          <w:szCs w:val="24"/>
        </w:rPr>
        <w:t>d</w:t>
      </w:r>
      <w:r w:rsidRPr="00A85EEA">
        <w:rPr>
          <w:rFonts w:cs="Times New Roman"/>
          <w:sz w:val="24"/>
          <w:szCs w:val="24"/>
          <w:vertAlign w:val="subscript"/>
        </w:rPr>
        <w:t>n</w:t>
      </w:r>
      <w:proofErr w:type="spellEnd"/>
      <w:r w:rsidRPr="00A85EEA">
        <w:rPr>
          <w:rFonts w:cs="Times New Roman"/>
          <w:sz w:val="24"/>
          <w:szCs w:val="24"/>
        </w:rPr>
        <w:t xml:space="preserve"> with the length of the mature cell at d</w:t>
      </w:r>
      <w:r w:rsidRPr="00A85EEA">
        <w:rPr>
          <w:rFonts w:cs="Times New Roman"/>
          <w:sz w:val="24"/>
          <w:szCs w:val="24"/>
          <w:vertAlign w:val="subscript"/>
        </w:rPr>
        <w:t>n+1</w:t>
      </w:r>
      <w:r w:rsidRPr="00A85EEA">
        <w:rPr>
          <w:rFonts w:cs="Times New Roman"/>
          <w:sz w:val="24"/>
          <w:szCs w:val="24"/>
        </w:rPr>
        <w:t xml:space="preserve">: </w:t>
      </w:r>
    </w:p>
    <w:p w14:paraId="482E836F" w14:textId="77777777" w:rsidR="00907642" w:rsidRPr="00A85EEA" w:rsidRDefault="00A85EEA" w:rsidP="00907642">
      <w:pPr>
        <w:rPr>
          <w:rFonts w:eastAsiaTheme="minorEastAsia"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m:t>
            </m:r>
          </m:sup>
        </m:sSup>
        <m:r>
          <w:rPr>
            <w:rFonts w:ascii="Cambria Math" w:hAnsi="Cambria Math" w:cs="Times New Roman"/>
            <w:sz w:val="24"/>
            <w:szCs w:val="24"/>
          </w:rPr>
          <m:t>(</m:t>
        </m:r>
        <m:r>
          <w:rPr>
            <w:rFonts w:ascii="Cambria Math" w:hAnsi="Cambria Math" w:cs="Times New Roman"/>
            <w:sz w:val="24"/>
            <w:szCs w:val="24"/>
          </w:rPr>
          <m:t>dn</m:t>
        </m:r>
        <m:r>
          <w:rPr>
            <w:rFonts w:ascii="Cambria Math" w:hAnsi="Cambria Math" w:cs="Times New Roman"/>
            <w:sz w:val="24"/>
            <w:szCs w:val="24"/>
          </w:rPr>
          <m:t xml:space="preserve">) </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LER</m:t>
            </m:r>
            <m:r>
              <w:rPr>
                <w:rFonts w:ascii="Cambria Math" w:hAnsi="Cambria Math" w:cs="Times New Roman"/>
                <w:sz w:val="24"/>
                <w:szCs w:val="24"/>
              </w:rPr>
              <m:t xml:space="preserve"> (</m:t>
            </m:r>
            <m:r>
              <w:rPr>
                <w:rFonts w:ascii="Cambria Math" w:hAnsi="Cambria Math" w:cs="Times New Roman"/>
                <w:sz w:val="24"/>
                <w:szCs w:val="24"/>
              </w:rPr>
              <m:t>dn</m:t>
            </m:r>
            <m:r>
              <w:rPr>
                <w:rFonts w:ascii="Cambria Math" w:hAnsi="Cambria Math" w:cs="Times New Roman"/>
                <w:sz w:val="24"/>
                <w:szCs w:val="24"/>
              </w:rPr>
              <m:t>)</m:t>
            </m:r>
          </m:num>
          <m:den>
            <m:r>
              <m:rPr>
                <m:sty m:val="p"/>
              </m:rPr>
              <w:rPr>
                <w:rFonts w:ascii="Cambria Math" w:hAnsi="Cambria Math" w:cs="Times New Roman"/>
                <w:sz w:val="24"/>
                <w:szCs w:val="24"/>
              </w:rPr>
              <m:t xml:space="preserve"> l</m:t>
            </m:r>
            <m:r>
              <m:rPr>
                <m:sty m:val="p"/>
              </m:rPr>
              <w:rPr>
                <w:rFonts w:ascii="Cambria Math" w:hAnsi="Cambria Math" w:cs="Times New Roman"/>
                <w:sz w:val="24"/>
                <w:szCs w:val="24"/>
              </w:rPr>
              <m:t xml:space="preserve"> mat' </m:t>
            </m:r>
            <m:r>
              <m:rPr>
                <m:sty m:val="p"/>
              </m:rPr>
              <w:rPr>
                <w:rFonts w:ascii="Cambria Math" w:hAnsi="Cambria Math" w:cs="Times New Roman"/>
                <w:sz w:val="24"/>
                <w:szCs w:val="24"/>
                <w:vertAlign w:val="subscript"/>
              </w:rPr>
              <m:t>dn+1</m:t>
            </m:r>
          </m:den>
        </m:f>
      </m:oMath>
      <w:r w:rsidR="00907642" w:rsidRPr="00A85EEA">
        <w:rPr>
          <w:rFonts w:eastAsiaTheme="minorEastAsia" w:cs="Times New Roman"/>
          <w:sz w:val="24"/>
          <w:szCs w:val="24"/>
        </w:rPr>
        <w:t xml:space="preserve">     (</w:t>
      </w:r>
      <w:proofErr w:type="gramStart"/>
      <w:r w:rsidR="00907642" w:rsidRPr="00A85EEA">
        <w:rPr>
          <w:rFonts w:eastAsiaTheme="minorEastAsia" w:cs="Times New Roman"/>
          <w:sz w:val="24"/>
          <w:szCs w:val="24"/>
        </w:rPr>
        <w:t>eqt</w:t>
      </w:r>
      <w:proofErr w:type="gramEnd"/>
      <w:r w:rsidR="00907642" w:rsidRPr="00A85EEA">
        <w:rPr>
          <w:rFonts w:eastAsiaTheme="minorEastAsia" w:cs="Times New Roman"/>
          <w:sz w:val="24"/>
          <w:szCs w:val="24"/>
        </w:rPr>
        <w:t xml:space="preserve"> 1)        </w:t>
      </w:r>
    </w:p>
    <w:p w14:paraId="3B7502D4" w14:textId="77777777" w:rsidR="00907642" w:rsidRPr="00A85EEA" w:rsidRDefault="00907642" w:rsidP="00907642">
      <w:pPr>
        <w:rPr>
          <w:rFonts w:eastAsiaTheme="minorEastAsia" w:cs="Times New Roman"/>
          <w:sz w:val="24"/>
          <w:szCs w:val="24"/>
        </w:rPr>
      </w:pPr>
      <w:r w:rsidRPr="00A85EEA">
        <w:rPr>
          <w:rFonts w:cs="Times New Roman"/>
          <w:sz w:val="24"/>
          <w:szCs w:val="24"/>
        </w:rPr>
        <w:t xml:space="preserve">Where P’ is the cell production rate per unit leaf length with corrected </w:t>
      </w:r>
      <w:proofErr w:type="spellStart"/>
      <w:r w:rsidRPr="00A85EEA">
        <w:rPr>
          <w:rFonts w:cs="Times New Roman"/>
          <w:sz w:val="24"/>
          <w:szCs w:val="24"/>
        </w:rPr>
        <w:t>l</w:t>
      </w:r>
      <w:r w:rsidRPr="00A85EEA">
        <w:rPr>
          <w:rFonts w:cs="Times New Roman"/>
          <w:sz w:val="24"/>
          <w:szCs w:val="24"/>
          <w:vertAlign w:val="subscript"/>
        </w:rPr>
        <w:t>mat</w:t>
      </w:r>
      <w:proofErr w:type="spellEnd"/>
      <w:r w:rsidRPr="00A85EEA">
        <w:rPr>
          <w:rFonts w:cs="Times New Roman"/>
          <w:sz w:val="24"/>
          <w:szCs w:val="24"/>
        </w:rPr>
        <w:t>, LER is the Leaf Elongation Rate, l mat is the length of the mature cells</w:t>
      </w:r>
      <w:r w:rsidRPr="00A85EEA">
        <w:rPr>
          <w:rFonts w:eastAsiaTheme="minorEastAsia" w:cs="Times New Roman"/>
          <w:sz w:val="24"/>
          <w:szCs w:val="24"/>
        </w:rPr>
        <w:t xml:space="preserve"> and </w:t>
      </w:r>
      <w:proofErr w:type="spellStart"/>
      <w:r w:rsidRPr="00A85EEA">
        <w:rPr>
          <w:rFonts w:cs="Times New Roman"/>
          <w:sz w:val="24"/>
          <w:szCs w:val="24"/>
        </w:rPr>
        <w:t>dn</w:t>
      </w:r>
      <w:proofErr w:type="spellEnd"/>
      <w:r w:rsidRPr="00A85EEA">
        <w:rPr>
          <w:rFonts w:cs="Times New Roman"/>
          <w:sz w:val="24"/>
          <w:szCs w:val="24"/>
        </w:rPr>
        <w:t xml:space="preserve"> and dn+1 correspond to the day at which the kinematic parameters are measured.</w:t>
      </w:r>
      <w:r w:rsidRPr="00A85EEA">
        <w:rPr>
          <w:rFonts w:eastAsiaTheme="minorEastAsia" w:cs="Times New Roman"/>
          <w:sz w:val="24"/>
          <w:szCs w:val="24"/>
        </w:rPr>
        <w:t xml:space="preserve"> From this new equation, it is possible to recalculate cell division rate (D’), cell cycle duration (Tc’), time in the elongation zone (Tel’), Relative cell elongation rate (</w:t>
      </w:r>
      <w:proofErr w:type="spellStart"/>
      <w:r w:rsidRPr="00A85EEA">
        <w:rPr>
          <w:rFonts w:eastAsiaTheme="minorEastAsia" w:cs="Times New Roman"/>
          <w:sz w:val="24"/>
          <w:szCs w:val="24"/>
        </w:rPr>
        <w:t>Rel</w:t>
      </w:r>
      <w:proofErr w:type="spellEnd"/>
      <w:r w:rsidRPr="00A85EEA">
        <w:rPr>
          <w:rFonts w:eastAsiaTheme="minorEastAsia" w:cs="Times New Roman"/>
          <w:sz w:val="24"/>
          <w:szCs w:val="24"/>
        </w:rPr>
        <w:t>’), and time cells spend in the division zone (</w:t>
      </w:r>
      <w:proofErr w:type="spellStart"/>
      <w:r w:rsidRPr="00A85EEA">
        <w:rPr>
          <w:rFonts w:eastAsiaTheme="minorEastAsia" w:cs="Times New Roman"/>
          <w:sz w:val="24"/>
          <w:szCs w:val="24"/>
        </w:rPr>
        <w:t>Tdiv</w:t>
      </w:r>
      <w:proofErr w:type="spellEnd"/>
      <w:r w:rsidRPr="00A85EEA">
        <w:rPr>
          <w:rFonts w:eastAsiaTheme="minorEastAsia" w:cs="Times New Roman"/>
          <w:sz w:val="24"/>
          <w:szCs w:val="24"/>
        </w:rPr>
        <w:t xml:space="preserve">’). </w:t>
      </w:r>
    </w:p>
    <w:p w14:paraId="12FA6020" w14:textId="77777777" w:rsidR="00907642" w:rsidRPr="00A85EEA" w:rsidRDefault="00A85EEA" w:rsidP="00907642">
      <w:pPr>
        <w:rPr>
          <w:rFonts w:eastAsiaTheme="minorEastAsia"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P</m:t>
            </m:r>
            <m:r>
              <w:rPr>
                <w:rFonts w:ascii="Cambria Math" w:hAnsi="Cambria Math" w:cs="Times New Roman"/>
                <w:sz w:val="24"/>
                <w:szCs w:val="24"/>
              </w:rPr>
              <m:t>'</m:t>
            </m:r>
          </m:num>
          <m:den>
            <m:r>
              <m:rPr>
                <m:sty m:val="p"/>
              </m:rPr>
              <w:rPr>
                <w:rFonts w:ascii="Cambria Math" w:hAnsi="Cambria Math" w:cs="Times New Roman"/>
                <w:sz w:val="24"/>
                <w:szCs w:val="24"/>
              </w:rPr>
              <m:t xml:space="preserve"> N mer </m:t>
            </m:r>
          </m:den>
        </m:f>
      </m:oMath>
      <w:r w:rsidR="00907642" w:rsidRPr="00A85EEA">
        <w:rPr>
          <w:rFonts w:eastAsiaTheme="minorEastAsia" w:cs="Times New Roman"/>
          <w:sz w:val="24"/>
          <w:szCs w:val="24"/>
        </w:rPr>
        <w:t xml:space="preserve">  (</w:t>
      </w:r>
      <w:proofErr w:type="gramStart"/>
      <w:r w:rsidR="00907642" w:rsidRPr="00A85EEA">
        <w:rPr>
          <w:rFonts w:eastAsiaTheme="minorEastAsia" w:cs="Times New Roman"/>
          <w:sz w:val="24"/>
          <w:szCs w:val="24"/>
        </w:rPr>
        <w:t>eqt</w:t>
      </w:r>
      <w:proofErr w:type="gramEnd"/>
      <w:r w:rsidR="00907642" w:rsidRPr="00A85EEA">
        <w:rPr>
          <w:rFonts w:eastAsiaTheme="minorEastAsia" w:cs="Times New Roman"/>
          <w:sz w:val="24"/>
          <w:szCs w:val="24"/>
        </w:rPr>
        <w:t xml:space="preserve"> 2)                            </w:t>
      </w:r>
      <m:oMath>
        <m:r>
          <w:rPr>
            <w:rFonts w:ascii="Cambria Math" w:hAnsi="Cambria Math" w:cs="Times New Roman"/>
            <w:sz w:val="24"/>
            <w:szCs w:val="24"/>
          </w:rPr>
          <m:t>Tc</m:t>
        </m:r>
        <m:r>
          <w:rPr>
            <w:rFonts w:ascii="Cambria Math" w:hAnsi="Cambria Math" w:cs="Times New Roman"/>
            <w:sz w:val="24"/>
            <w:szCs w:val="24"/>
          </w:rPr>
          <m:t>'</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ln⁡</m:t>
            </m:r>
            <m:r>
              <w:rPr>
                <w:rFonts w:ascii="Cambria Math" w:hAnsi="Cambria Math" w:cs="Times New Roman"/>
                <w:sz w:val="24"/>
                <w:szCs w:val="24"/>
              </w:rPr>
              <m:t>(2)</m:t>
            </m:r>
          </m:num>
          <m:den>
            <m:r>
              <m:rPr>
                <m:sty m:val="p"/>
              </m:rPr>
              <w:rPr>
                <w:rFonts w:ascii="Cambria Math" w:hAnsi="Cambria Math" w:cs="Times New Roman"/>
                <w:sz w:val="24"/>
                <w:szCs w:val="24"/>
              </w:rPr>
              <m:t xml:space="preserve"> D</m:t>
            </m:r>
            <m:r>
              <m:rPr>
                <m:sty m:val="p"/>
              </m:rPr>
              <w:rPr>
                <w:rFonts w:ascii="Cambria Math" w:hAnsi="Cambria Math" w:cs="Times New Roman"/>
                <w:sz w:val="24"/>
                <w:szCs w:val="24"/>
              </w:rPr>
              <m:t>'</m:t>
            </m:r>
          </m:den>
        </m:f>
      </m:oMath>
      <w:r w:rsidR="00907642" w:rsidRPr="00A85EEA">
        <w:rPr>
          <w:rFonts w:eastAsiaTheme="minorEastAsia" w:cs="Times New Roman"/>
          <w:sz w:val="24"/>
          <w:szCs w:val="24"/>
        </w:rPr>
        <w:t xml:space="preserve"> (eqt 3)                                   </w:t>
      </w:r>
      <w:r w:rsidR="00907642" w:rsidRPr="00A85EEA">
        <w:rPr>
          <w:rFonts w:cs="Times New Roman"/>
          <w:i/>
          <w:sz w:val="24"/>
          <w:szCs w:val="24"/>
        </w:rPr>
        <w:t xml:space="preserve"> </w:t>
      </w:r>
      <m:oMath>
        <m:r>
          <w:rPr>
            <w:rFonts w:ascii="Cambria Math" w:hAnsi="Cambria Math" w:cs="Times New Roman"/>
            <w:sz w:val="24"/>
            <w:szCs w:val="24"/>
          </w:rPr>
          <m:t>Tel</m:t>
        </m:r>
        <m:r>
          <w:rPr>
            <w:rFonts w:ascii="Cambria Math" w:hAnsi="Cambria Math" w:cs="Times New Roman"/>
            <w:sz w:val="24"/>
            <w:szCs w:val="24"/>
          </w:rPr>
          <m:t xml:space="preserve">’ </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Nel</m:t>
            </m:r>
          </m:num>
          <m:den>
            <m:r>
              <w:rPr>
                <w:rFonts w:ascii="Cambria Math" w:hAnsi="Cambria Math" w:cs="Times New Roman"/>
                <w:sz w:val="24"/>
                <w:szCs w:val="24"/>
              </w:rPr>
              <m:t>P</m:t>
            </m:r>
            <m:r>
              <w:rPr>
                <w:rFonts w:ascii="Cambria Math" w:hAnsi="Cambria Math" w:cs="Times New Roman"/>
                <w:sz w:val="24"/>
                <w:szCs w:val="24"/>
              </w:rPr>
              <m:t>'</m:t>
            </m:r>
          </m:den>
        </m:f>
      </m:oMath>
      <w:r w:rsidR="00907642" w:rsidRPr="00A85EEA">
        <w:rPr>
          <w:rFonts w:eastAsiaTheme="minorEastAsia" w:cs="Times New Roman"/>
          <w:sz w:val="24"/>
          <w:szCs w:val="24"/>
        </w:rPr>
        <w:t xml:space="preserve">  (eqt 4)</w:t>
      </w:r>
    </w:p>
    <w:p w14:paraId="2A466EB0" w14:textId="77777777" w:rsidR="00907642" w:rsidRPr="00A85EEA" w:rsidRDefault="00907642" w:rsidP="00907642">
      <w:pPr>
        <w:rPr>
          <w:rFonts w:eastAsiaTheme="minorEastAsia" w:cs="Times New Roman"/>
          <w:sz w:val="24"/>
          <w:szCs w:val="24"/>
        </w:rPr>
      </w:pPr>
      <m:oMath>
        <m:r>
          <w:rPr>
            <w:rFonts w:ascii="Cambria Math" w:hAnsi="Cambria Math" w:cs="Times New Roman"/>
            <w:sz w:val="24"/>
            <w:szCs w:val="24"/>
          </w:rPr>
          <m:t xml:space="preserve">Rel’ = </m:t>
        </m:r>
        <m:f>
          <m:fPr>
            <m:ctrlPr>
              <w:rPr>
                <w:rFonts w:ascii="Cambria Math" w:hAnsi="Cambria Math" w:cs="Times New Roman"/>
                <w:i/>
                <w:sz w:val="24"/>
                <w:szCs w:val="24"/>
              </w:rPr>
            </m:ctrlPr>
          </m:fPr>
          <m:num>
            <m:r>
              <m:rPr>
                <m:sty m:val="p"/>
              </m:rP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lmat'-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ldiv)</m:t>
                    </m:r>
                  </m:e>
                </m:func>
              </m:e>
            </m:func>
          </m:num>
          <m:den>
            <m:r>
              <w:rPr>
                <w:rFonts w:ascii="Cambria Math" w:hAnsi="Cambria Math" w:cs="Times New Roman"/>
                <w:sz w:val="24"/>
                <w:szCs w:val="24"/>
              </w:rPr>
              <m:t>Tel'</m:t>
            </m:r>
          </m:den>
        </m:f>
      </m:oMath>
      <w:r w:rsidRPr="00A85EEA">
        <w:rPr>
          <w:rFonts w:eastAsiaTheme="minorEastAsia" w:cs="Times New Roman"/>
          <w:sz w:val="24"/>
          <w:szCs w:val="24"/>
        </w:rPr>
        <w:t xml:space="preserve">  (eqt 5)                                </w:t>
      </w:r>
      <m:oMath>
        <m:r>
          <w:rPr>
            <w:rFonts w:ascii="Cambria Math" w:hAnsi="Cambria Math" w:cs="Times New Roman"/>
            <w:sz w:val="24"/>
            <w:szCs w:val="24"/>
          </w:rPr>
          <m:t xml:space="preserve">Tdiv' = log2 </m:t>
        </m:r>
        <m:d>
          <m:dPr>
            <m:ctrlPr>
              <w:rPr>
                <w:rFonts w:ascii="Cambria Math" w:hAnsi="Cambria Math" w:cs="Times New Roman"/>
                <w:i/>
                <w:sz w:val="24"/>
                <w:szCs w:val="24"/>
              </w:rPr>
            </m:ctrlPr>
          </m:dPr>
          <m:e>
            <m:r>
              <w:rPr>
                <w:rFonts w:ascii="Cambria Math" w:hAnsi="Cambria Math" w:cs="Times New Roman"/>
                <w:sz w:val="24"/>
                <w:szCs w:val="24"/>
              </w:rPr>
              <m:t>Nmer</m:t>
            </m:r>
          </m:e>
        </m:d>
        <m:r>
          <w:rPr>
            <w:rFonts w:ascii="Cambria Math" w:hAnsi="Cambria Math" w:cs="Times New Roman"/>
            <w:sz w:val="24"/>
            <w:szCs w:val="24"/>
          </w:rPr>
          <m:t>*Tc'</m:t>
        </m:r>
      </m:oMath>
      <w:r w:rsidRPr="00A85EEA">
        <w:rPr>
          <w:rFonts w:eastAsiaTheme="minorEastAsia" w:cs="Times New Roman"/>
          <w:sz w:val="24"/>
          <w:szCs w:val="24"/>
        </w:rPr>
        <w:t xml:space="preserve"> </w:t>
      </w:r>
      <w:proofErr w:type="gramStart"/>
      <w:r w:rsidRPr="00A85EEA">
        <w:rPr>
          <w:rFonts w:eastAsiaTheme="minorEastAsia" w:cs="Times New Roman"/>
          <w:sz w:val="24"/>
          <w:szCs w:val="24"/>
        </w:rPr>
        <w:t xml:space="preserve">   (</w:t>
      </w:r>
      <w:proofErr w:type="spellStart"/>
      <w:proofErr w:type="gramEnd"/>
      <w:r w:rsidRPr="00A85EEA">
        <w:rPr>
          <w:rFonts w:eastAsiaTheme="minorEastAsia" w:cs="Times New Roman"/>
          <w:sz w:val="24"/>
          <w:szCs w:val="24"/>
        </w:rPr>
        <w:t>eqt</w:t>
      </w:r>
      <w:proofErr w:type="spellEnd"/>
      <w:r w:rsidRPr="00A85EEA">
        <w:rPr>
          <w:rFonts w:eastAsiaTheme="minorEastAsia" w:cs="Times New Roman"/>
          <w:sz w:val="24"/>
          <w:szCs w:val="24"/>
        </w:rPr>
        <w:t xml:space="preserve"> 6)      </w:t>
      </w:r>
    </w:p>
    <w:p w14:paraId="308EBCCE" w14:textId="26FAA17C" w:rsidR="00D142E8" w:rsidRPr="004C4E71" w:rsidRDefault="00907642" w:rsidP="00907642">
      <w:pPr>
        <w:rPr>
          <w:rFonts w:cs="Times New Roman"/>
          <w:sz w:val="24"/>
          <w:szCs w:val="24"/>
        </w:rPr>
      </w:pPr>
      <w:r w:rsidRPr="004C4E71">
        <w:rPr>
          <w:rFonts w:cs="Times New Roman"/>
          <w:sz w:val="24"/>
          <w:szCs w:val="24"/>
        </w:rPr>
        <w:lastRenderedPageBreak/>
        <w:t xml:space="preserve">Where </w:t>
      </w:r>
      <w:proofErr w:type="spellStart"/>
      <w:r w:rsidRPr="004C4E71">
        <w:rPr>
          <w:rFonts w:cs="Times New Roman"/>
          <w:sz w:val="24"/>
          <w:szCs w:val="24"/>
        </w:rPr>
        <w:t>N</w:t>
      </w:r>
      <w:r w:rsidRPr="004C4E71">
        <w:rPr>
          <w:rFonts w:cs="Times New Roman"/>
          <w:sz w:val="24"/>
          <w:szCs w:val="24"/>
          <w:vertAlign w:val="subscript"/>
        </w:rPr>
        <w:t>mer</w:t>
      </w:r>
      <w:proofErr w:type="spellEnd"/>
      <w:r w:rsidRPr="004C4E71">
        <w:rPr>
          <w:rFonts w:cs="Times New Roman"/>
          <w:sz w:val="24"/>
          <w:szCs w:val="24"/>
        </w:rPr>
        <w:t xml:space="preserve"> is the number of cells in the meristem, N</w:t>
      </w:r>
      <w:r w:rsidRPr="004C4E71">
        <w:rPr>
          <w:rFonts w:cs="Times New Roman"/>
          <w:sz w:val="24"/>
          <w:szCs w:val="24"/>
          <w:vertAlign w:val="subscript"/>
        </w:rPr>
        <w:t>el</w:t>
      </w:r>
      <w:r w:rsidRPr="004C4E71">
        <w:rPr>
          <w:rFonts w:cs="Times New Roman"/>
          <w:sz w:val="24"/>
          <w:szCs w:val="24"/>
        </w:rPr>
        <w:t xml:space="preserve"> is the number of cells in the elongation zone and </w:t>
      </w:r>
      <w:proofErr w:type="spellStart"/>
      <w:r w:rsidRPr="004C4E71">
        <w:rPr>
          <w:rFonts w:cs="Times New Roman"/>
          <w:sz w:val="24"/>
          <w:szCs w:val="24"/>
        </w:rPr>
        <w:t>l</w:t>
      </w:r>
      <w:r w:rsidRPr="004C4E71">
        <w:rPr>
          <w:rFonts w:cs="Times New Roman"/>
          <w:sz w:val="24"/>
          <w:szCs w:val="24"/>
          <w:vertAlign w:val="subscript"/>
        </w:rPr>
        <w:t>div</w:t>
      </w:r>
      <w:proofErr w:type="spellEnd"/>
      <w:r w:rsidRPr="004C4E71">
        <w:rPr>
          <w:rFonts w:cs="Times New Roman"/>
          <w:sz w:val="24"/>
          <w:szCs w:val="24"/>
        </w:rPr>
        <w:t xml:space="preserve"> is the length of the cells leaving the meristem. The effect of this transformation is illustrated by dashed lines in </w:t>
      </w:r>
      <w:r w:rsidRPr="004C4E71">
        <w:rPr>
          <w:rFonts w:cs="Times New Roman"/>
          <w:b/>
          <w:bCs/>
          <w:sz w:val="24"/>
          <w:szCs w:val="24"/>
        </w:rPr>
        <w:t>Figure 8</w:t>
      </w:r>
      <w:r w:rsidRPr="004C4E71">
        <w:rPr>
          <w:rFonts w:cs="Times New Roman"/>
          <w:sz w:val="24"/>
          <w:szCs w:val="24"/>
        </w:rPr>
        <w:t xml:space="preserve">. </w:t>
      </w:r>
    </w:p>
    <w:p w14:paraId="0AE7738D" w14:textId="77777777" w:rsidR="00907642" w:rsidRPr="004C4E71" w:rsidRDefault="00907642" w:rsidP="00907642">
      <w:pPr>
        <w:pStyle w:val="ListParagraph"/>
        <w:numPr>
          <w:ilvl w:val="0"/>
          <w:numId w:val="1"/>
        </w:numPr>
        <w:rPr>
          <w:rFonts w:cs="Times New Roman"/>
          <w:b/>
          <w:bCs/>
          <w:sz w:val="24"/>
          <w:szCs w:val="24"/>
        </w:rPr>
      </w:pPr>
      <w:proofErr w:type="gramStart"/>
      <w:r w:rsidRPr="004C4E71">
        <w:rPr>
          <w:rFonts w:cs="Times New Roman"/>
          <w:b/>
          <w:bCs/>
          <w:sz w:val="24"/>
          <w:szCs w:val="24"/>
        </w:rPr>
        <w:t>Non steady</w:t>
      </w:r>
      <w:proofErr w:type="gramEnd"/>
      <w:r w:rsidRPr="004C4E71">
        <w:rPr>
          <w:rFonts w:cs="Times New Roman"/>
          <w:b/>
          <w:bCs/>
          <w:sz w:val="24"/>
          <w:szCs w:val="24"/>
        </w:rPr>
        <w:t>-state assumption</w:t>
      </w:r>
    </w:p>
    <w:p w14:paraId="6C48915B" w14:textId="77777777" w:rsidR="00907642" w:rsidRPr="004C4E71" w:rsidRDefault="00907642" w:rsidP="00907642">
      <w:pPr>
        <w:rPr>
          <w:rFonts w:cs="Times New Roman"/>
          <w:sz w:val="24"/>
          <w:szCs w:val="24"/>
        </w:rPr>
      </w:pPr>
      <w:r w:rsidRPr="004C4E71">
        <w:rPr>
          <w:rFonts w:cs="Times New Roman"/>
          <w:sz w:val="24"/>
          <w:szCs w:val="24"/>
        </w:rPr>
        <w:t xml:space="preserve">Under non steady-state conditions, density changes in the division zone need to be taken into account to calculate the cell division rate (D’’) and cell production rate (P’’) </w:t>
      </w:r>
      <w:r w:rsidRPr="004C4E71">
        <w:rPr>
          <w:rFonts w:cs="Times New Roman"/>
          <w:sz w:val="24"/>
          <w:szCs w:val="24"/>
        </w:rPr>
        <w:fldChar w:fldCharType="begin"/>
      </w:r>
      <w:r w:rsidRPr="004C4E71">
        <w:rPr>
          <w:rFonts w:cs="Times New Roman"/>
          <w:sz w:val="24"/>
          <w:szCs w:val="24"/>
        </w:rPr>
        <w:instrText xml:space="preserve"> ADDIN ZOTERO_ITEM CSL_CITATION {"citationID":"Bt5S7Djb","properties":{"formattedCitation":"(Silk, 1992; Fiorani and Beemster, 2006)","plainCitation":"(Silk, 1992; Fiorani and Beemster, 2006)","noteIndex":0},"citationItems":[{"id":1098,"uris":["http://zotero.org/users/local/Wolr4PJS/items/WA9GAXRI"],"itemData":{"id":1098,"type":"article-journal","abstract":"The analysis of longitudinal growth is reviewed in terms of growth trajectories and fields of velocity and relative elemental growth (REG) rate. Then the relationships among cell division rate, cell size, and growth rate are reviewed. A careful distinction is made between spatial (site specific) and material (cellparticle specific) aspects of growth and cell division. The equations indicate the experimental design and numerical analysis needed to assess the physiological importance of gene products recently proposed to regulate cell cycle activity. Effects of temperature and water stress on growth and cell division in seedling roots of maize are described. Temperature changes REG rates and cell production rates in synchrony, so the cell length pattern is unchanged by temperature perturbation between 19 and 29 C. In contrast, water stress has no effect on REG rate in apical regions but shortens the length of the growth zone. Water stress also causes a decrease in the cell production rate. Thus water stress uncouples the synchrony between growth and cell division to produce longer cells at the base of the meristem and shorter cells at the base of the growth zone. The longer cells near the root apex probably facilitate transport of metabolites from the phloem to the dividing cells in stressed roots. In general, patterns of cell size may affect the selection of plants for environmental adaptation.","container-title":"International Journal of Plant Sciences","ISSN":"1058-5893","issue":"3","note":"publisher: University of Chicago Press","page":"S49-S58","source":"JSTOR","title":"Steady Form from Changing Cells","volume":"153","author":[{"family":"Silk","given":"Wendy Kuhn"}],"issued":{"date-parts":[["1992"]]}}},{"id":967,"uris":["http://zotero.org/users/local/Wolr4PJS/items/2KG3KQ5G"],"itemData":{"id":967,"type":"article-journal","abstract":"At the molecular level regulatory interactions between cell cycle genes are being uncovered rapidly, but less progress is made in unravelling how these molecular events regulate growth processes at the level of cells and of the whole organism. The main obstacle is the absence of a set of analytical tools that are powerful enough to determine pertinent parameters and, at the same time, relatively easy to use by non-specialized laboratories. Appropriate methodology to obtain this type of data has been pioneered in the first half of the last century and is now commonly defined as 'kinematic analysis'. Unfortunately, the laborious nature of these analyses and the relatively complex numerical methods used, have limited their use to only a handful of specialized research groups. In this article we attempt to present an accessible entry to this methodology, particularly in terms of the mathematical framework. We start describing the simplest possible system, i.e., a virtually homogenous cell suspension culture. Then, we outline the analysis of dicotyledonous leaves, root tips, monocotyledonous leaves, and finally shoot apical meristems. For each of these systems we discuss the details of the calculation of cell division parameters such as cell cycle duration, size of the meristem and number of cells contained in it, which enables answering fundamental questions about the relative contribution of differences in cell production and cell size to variation in growth. In addition, we discuss the assumptions and limitations of these and alternative methodologies with the aim to facilitate the choice of appropriate analyses depending on the specific research question.","container-title":"PLANT MOLECULAR BIOLOGY","DOI":"10.1007/s11103-005-4065-2","ISSN":"0167-4412","issue":"6","language":"eng","license":"I have transferred the copyright for this publication to the publisher","note":"number: 6","page":"963-979","source":"biblio.ugent.be","title":"Quantitative analyses of cell division in plants","volume":"60","author":[{"family":"Fiorani","given":"Fabio"},{"family":"Beemster","given":"Gerrit"}],"issued":{"date-parts":[["2006"]]}}}],"schema":"https://github.com/citation-style-language/schema/raw/master/csl-citation.json"} </w:instrText>
      </w:r>
      <w:r w:rsidRPr="004C4E71">
        <w:rPr>
          <w:rFonts w:cs="Times New Roman"/>
          <w:sz w:val="24"/>
          <w:szCs w:val="24"/>
        </w:rPr>
        <w:fldChar w:fldCharType="separate"/>
      </w:r>
      <w:r w:rsidRPr="004C4E71">
        <w:rPr>
          <w:rFonts w:cs="Times New Roman"/>
          <w:sz w:val="24"/>
          <w:szCs w:val="24"/>
        </w:rPr>
        <w:t>(Silk, 1992; Fiorani and Beemster, 2006)</w:t>
      </w:r>
      <w:r w:rsidRPr="004C4E71">
        <w:rPr>
          <w:rFonts w:cs="Times New Roman"/>
          <w:sz w:val="24"/>
          <w:szCs w:val="24"/>
        </w:rPr>
        <w:fldChar w:fldCharType="end"/>
      </w:r>
      <w:r w:rsidRPr="004C4E71">
        <w:rPr>
          <w:rFonts w:cs="Times New Roman"/>
          <w:sz w:val="24"/>
          <w:szCs w:val="24"/>
        </w:rPr>
        <w:t>. They represent additional cells that are produced but don’t leave the meristem zone when cell density increases, or excess cells that leave the meristem when cell density decreases in the meristem, respectively.</w:t>
      </w:r>
    </w:p>
    <w:p w14:paraId="36FD458C" w14:textId="77777777" w:rsidR="00907642" w:rsidRPr="004C4E71" w:rsidRDefault="00907642" w:rsidP="00907642">
      <w:pPr>
        <w:rPr>
          <w:rFonts w:cs="Times New Roman"/>
          <w:sz w:val="24"/>
          <w:szCs w:val="24"/>
        </w:rPr>
      </w:pPr>
      <w:r w:rsidRPr="004C4E71">
        <w:rPr>
          <w:rFonts w:cs="Times New Roman"/>
          <w:sz w:val="24"/>
          <w:szCs w:val="24"/>
        </w:rPr>
        <w:t xml:space="preserve">To calculate the rate of density change, we considered a meristem zone of 2 cm for which we determined the number of cells from the cell length profile in function of time (a). </w:t>
      </w:r>
    </w:p>
    <w:p w14:paraId="2D61DE82" w14:textId="77777777" w:rsidR="00907642" w:rsidRPr="004C4E71" w:rsidRDefault="00907642" w:rsidP="00907642">
      <w:pPr>
        <w:ind w:left="360"/>
        <w:rPr>
          <w:rFonts w:cs="Times New Roman"/>
          <w:i/>
          <w:iCs/>
          <w:sz w:val="24"/>
          <w:szCs w:val="24"/>
        </w:rPr>
      </w:pPr>
      <w:r w:rsidRPr="004C4E71">
        <w:rPr>
          <w:rFonts w:cs="Times New Roman"/>
          <w:i/>
          <w:iCs/>
          <w:noProof/>
          <w:sz w:val="24"/>
          <w:szCs w:val="24"/>
        </w:rPr>
        <w:drawing>
          <wp:anchor distT="0" distB="0" distL="114300" distR="114300" simplePos="0" relativeHeight="251659264" behindDoc="0" locked="0" layoutInCell="1" allowOverlap="1" wp14:anchorId="2FA66A06" wp14:editId="1E3E3176">
            <wp:simplePos x="0" y="0"/>
            <wp:positionH relativeFrom="column">
              <wp:posOffset>95250</wp:posOffset>
            </wp:positionH>
            <wp:positionV relativeFrom="paragraph">
              <wp:posOffset>13970</wp:posOffset>
            </wp:positionV>
            <wp:extent cx="2152650" cy="1962150"/>
            <wp:effectExtent l="0" t="0" r="0" b="0"/>
            <wp:wrapThrough wrapText="bothSides">
              <wp:wrapPolygon edited="0">
                <wp:start x="0" y="0"/>
                <wp:lineTo x="0" y="21390"/>
                <wp:lineTo x="21409" y="21390"/>
                <wp:lineTo x="21409" y="0"/>
                <wp:lineTo x="0" y="0"/>
              </wp:wrapPolygon>
            </wp:wrapThrough>
            <wp:docPr id="77" name="Chart 77">
              <a:extLst xmlns:a="http://schemas.openxmlformats.org/drawingml/2006/main">
                <a:ext uri="{FF2B5EF4-FFF2-40B4-BE49-F238E27FC236}">
                  <a16:creationId xmlns:a16="http://schemas.microsoft.com/office/drawing/2014/main" id="{278260B4-057A-4C04-B205-784ED72E7D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4C4E71">
        <w:rPr>
          <w:rFonts w:cs="Times New Roman"/>
          <w:i/>
          <w:iCs/>
          <w:sz w:val="24"/>
          <w:szCs w:val="24"/>
        </w:rPr>
        <w:t xml:space="preserve">Number of cells in the meristem by kinematic analysis (performed with a stable meristem size of 2cm) of the direct effect of cold and its recovery on cell division and expansion. Plants in control condition (green line) were harvested from D0 before leaf emergence to D5 after leaf emergence. Cold-treated plants (blue line) were either placed in the cold at D0 before leaf emergence (light blue) or D3 after leaf emergence (dark blue). Those plants were harvested directly after cold (D0 and D3), 1 day after cold recovery (D1 and D4), and 2 days after cold recovery (D2 and D5). Data are represented as mean </w:t>
      </w:r>
      <w:r w:rsidRPr="004C4E71">
        <w:rPr>
          <w:rStyle w:val="captions"/>
          <w:rFonts w:cs="Times New Roman"/>
          <w:i/>
          <w:iCs/>
          <w:sz w:val="24"/>
          <w:szCs w:val="24"/>
        </w:rPr>
        <w:t>±</w:t>
      </w:r>
      <w:r w:rsidRPr="004C4E71">
        <w:rPr>
          <w:rFonts w:cs="Times New Roman"/>
          <w:i/>
          <w:iCs/>
          <w:sz w:val="24"/>
          <w:szCs w:val="24"/>
        </w:rPr>
        <w:t xml:space="preserve"> SE (n=6-7).  </w:t>
      </w:r>
    </w:p>
    <w:p w14:paraId="1EA1E21E" w14:textId="77777777" w:rsidR="00907642" w:rsidRPr="004C4E71" w:rsidRDefault="00907642" w:rsidP="00907642">
      <w:pPr>
        <w:rPr>
          <w:rFonts w:cs="Times New Roman"/>
          <w:sz w:val="24"/>
          <w:szCs w:val="24"/>
        </w:rPr>
      </w:pPr>
      <w:r w:rsidRPr="004C4E71">
        <w:rPr>
          <w:rFonts w:cs="Times New Roman"/>
          <w:sz w:val="24"/>
          <w:szCs w:val="24"/>
        </w:rPr>
        <w:t>To determine, rate of density change (∆Density) in the meristem we used calculated the derivative of a 3 or 5 points polynomial fitted to the data of cold treated and control plants, respectively:</w:t>
      </w:r>
    </w:p>
    <w:p w14:paraId="436C57EA" w14:textId="77777777" w:rsidR="00907642" w:rsidRPr="004C4E71" w:rsidRDefault="00907642" w:rsidP="00907642">
      <w:pPr>
        <w:rPr>
          <w:rFonts w:eastAsiaTheme="minorEastAsia" w:cs="Times New Roman"/>
          <w:sz w:val="24"/>
          <w:szCs w:val="24"/>
        </w:rPr>
      </w:pPr>
      <w:r w:rsidRPr="004C4E71">
        <w:rPr>
          <w:rFonts w:cs="Times New Roman"/>
          <w:sz w:val="24"/>
          <w:szCs w:val="24"/>
        </w:rPr>
        <w:t xml:space="preserve">  </w:t>
      </w:r>
      <m:oMath>
        <m:r>
          <m:rPr>
            <m:sty m:val="p"/>
          </m:rPr>
          <w:rPr>
            <w:rFonts w:ascii="Cambria Math" w:hAnsi="Cambria Math" w:cs="Times New Roman"/>
            <w:sz w:val="24"/>
            <w:szCs w:val="24"/>
          </w:rPr>
          <m:t>∆</m:t>
        </m:r>
        <m:r>
          <m:rPr>
            <m:sty m:val="p"/>
          </m:rPr>
          <w:rPr>
            <w:rFonts w:ascii="Cambria Math" w:hAnsi="Cambria Math" w:cs="Times New Roman"/>
            <w:sz w:val="24"/>
            <w:szCs w:val="24"/>
            <w:vertAlign w:val="subscript"/>
          </w:rPr>
          <m:t>n</m:t>
        </m:r>
        <m:r>
          <w:rPr>
            <w:rFonts w:ascii="Cambria Math" w:hAnsi="Cambria Math" w:cs="Times New Roman"/>
            <w:sz w:val="24"/>
            <w:szCs w:val="24"/>
          </w:rPr>
          <m:t xml:space="preserve"> = </m:t>
        </m:r>
        <m:f>
          <m:fPr>
            <m:ctrlPr>
              <w:rPr>
                <w:rFonts w:ascii="Cambria Math" w:hAnsi="Cambria Math" w:cs="Times New Roman"/>
                <w:i/>
                <w:sz w:val="24"/>
                <w:szCs w:val="24"/>
              </w:rPr>
            </m:ctrlPr>
          </m:fPr>
          <m:num>
            <m:r>
              <m:rPr>
                <m:sty m:val="p"/>
              </m:rPr>
              <w:rPr>
                <w:rFonts w:ascii="Cambria Math" w:hAnsi="Cambria Math" w:cs="Times New Roman"/>
                <w:sz w:val="24"/>
                <w:szCs w:val="24"/>
              </w:rPr>
              <m:t>y'</m:t>
            </m:r>
            <m:r>
              <m:rPr>
                <m:sty m:val="p"/>
              </m:rPr>
              <w:rPr>
                <w:rFonts w:ascii="Cambria Math" w:hAnsi="Cambria Math" w:cs="Times New Roman"/>
                <w:sz w:val="24"/>
                <w:szCs w:val="24"/>
                <w:vertAlign w:val="subscript"/>
              </w:rPr>
              <m:t xml:space="preserve"> </m:t>
            </m:r>
          </m:num>
          <m:den>
            <m:r>
              <m:rPr>
                <m:sty m:val="p"/>
              </m:rPr>
              <w:rPr>
                <w:rFonts w:ascii="Cambria Math" w:hAnsi="Cambria Math" w:cs="Times New Roman"/>
                <w:sz w:val="24"/>
                <w:szCs w:val="24"/>
              </w:rPr>
              <m:t>24h</m:t>
            </m:r>
          </m:den>
        </m:f>
      </m:oMath>
      <w:r w:rsidRPr="004C4E71">
        <w:rPr>
          <w:rFonts w:eastAsiaTheme="minorEastAsia" w:cs="Times New Roman"/>
          <w:sz w:val="24"/>
          <w:szCs w:val="24"/>
        </w:rPr>
        <w:t xml:space="preserve">            (</w:t>
      </w:r>
      <w:proofErr w:type="gramStart"/>
      <w:r w:rsidRPr="004C4E71">
        <w:rPr>
          <w:rFonts w:eastAsiaTheme="minorEastAsia" w:cs="Times New Roman"/>
          <w:sz w:val="24"/>
          <w:szCs w:val="24"/>
        </w:rPr>
        <w:t>eqt</w:t>
      </w:r>
      <w:proofErr w:type="gramEnd"/>
      <w:r w:rsidRPr="004C4E71">
        <w:rPr>
          <w:rFonts w:eastAsiaTheme="minorEastAsia" w:cs="Times New Roman"/>
          <w:sz w:val="24"/>
          <w:szCs w:val="24"/>
        </w:rPr>
        <w:t xml:space="preserve"> 7)</w:t>
      </w:r>
    </w:p>
    <w:p w14:paraId="2E757CA2" w14:textId="77777777" w:rsidR="00907642" w:rsidRPr="004C4E71" w:rsidRDefault="00907642" w:rsidP="00907642">
      <w:pPr>
        <w:rPr>
          <w:rFonts w:cs="Times New Roman"/>
          <w:sz w:val="24"/>
          <w:szCs w:val="24"/>
        </w:rPr>
      </w:pPr>
      <w:r w:rsidRPr="004C4E71">
        <w:rPr>
          <w:rFonts w:cs="Times New Roman"/>
          <w:noProof/>
          <w:sz w:val="24"/>
          <w:szCs w:val="24"/>
        </w:rPr>
        <w:drawing>
          <wp:anchor distT="0" distB="0" distL="114300" distR="114300" simplePos="0" relativeHeight="251660288" behindDoc="0" locked="0" layoutInCell="1" allowOverlap="1" wp14:anchorId="52FC4812" wp14:editId="3365A9F7">
            <wp:simplePos x="0" y="0"/>
            <wp:positionH relativeFrom="column">
              <wp:posOffset>-44450</wp:posOffset>
            </wp:positionH>
            <wp:positionV relativeFrom="paragraph">
              <wp:posOffset>264160</wp:posOffset>
            </wp:positionV>
            <wp:extent cx="2926080" cy="2484755"/>
            <wp:effectExtent l="0" t="0" r="7620" b="0"/>
            <wp:wrapThrough wrapText="bothSides">
              <wp:wrapPolygon edited="0">
                <wp:start x="0" y="0"/>
                <wp:lineTo x="0" y="21363"/>
                <wp:lineTo x="21516" y="21363"/>
                <wp:lineTo x="21516"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6080" cy="2484755"/>
                    </a:xfrm>
                    <a:prstGeom prst="rect">
                      <a:avLst/>
                    </a:prstGeom>
                  </pic:spPr>
                </pic:pic>
              </a:graphicData>
            </a:graphic>
            <wp14:sizeRelH relativeFrom="page">
              <wp14:pctWidth>0</wp14:pctWidth>
            </wp14:sizeRelH>
            <wp14:sizeRelV relativeFrom="page">
              <wp14:pctHeight>0</wp14:pctHeight>
            </wp14:sizeRelV>
          </wp:anchor>
        </w:drawing>
      </w:r>
      <w:r w:rsidRPr="004C4E71">
        <w:rPr>
          <w:rFonts w:cs="Times New Roman"/>
          <w:sz w:val="24"/>
          <w:szCs w:val="24"/>
        </w:rPr>
        <w:t>Where y’ (y’=2ax+b) is the derivative of the polynomial equation (y=ax</w:t>
      </w:r>
      <w:r w:rsidRPr="004C4E71">
        <w:rPr>
          <w:rFonts w:cs="Times New Roman"/>
          <w:sz w:val="24"/>
          <w:szCs w:val="24"/>
          <w:vertAlign w:val="superscript"/>
        </w:rPr>
        <w:t>2</w:t>
      </w:r>
      <w:r w:rsidRPr="004C4E71">
        <w:rPr>
          <w:rFonts w:cs="Times New Roman"/>
          <w:sz w:val="24"/>
          <w:szCs w:val="24"/>
        </w:rPr>
        <w:t xml:space="preserve">+ </w:t>
      </w:r>
      <w:proofErr w:type="spellStart"/>
      <w:r w:rsidRPr="004C4E71">
        <w:rPr>
          <w:rFonts w:cs="Times New Roman"/>
          <w:sz w:val="24"/>
          <w:szCs w:val="24"/>
        </w:rPr>
        <w:t>bx</w:t>
      </w:r>
      <w:proofErr w:type="spellEnd"/>
      <w:r w:rsidRPr="004C4E71">
        <w:rPr>
          <w:rFonts w:cs="Times New Roman"/>
          <w:sz w:val="24"/>
          <w:szCs w:val="24"/>
        </w:rPr>
        <w:t xml:space="preserve"> +c).   (b)</w:t>
      </w:r>
    </w:p>
    <w:p w14:paraId="6C3B1769" w14:textId="77777777" w:rsidR="00907642" w:rsidRPr="004C4E71" w:rsidRDefault="00907642" w:rsidP="00907642">
      <w:pPr>
        <w:rPr>
          <w:rFonts w:cs="Times New Roman"/>
          <w:sz w:val="24"/>
          <w:szCs w:val="24"/>
        </w:rPr>
      </w:pPr>
      <w:r w:rsidRPr="004C4E71">
        <w:rPr>
          <w:rFonts w:cs="Times New Roman"/>
          <w:noProof/>
          <w:sz w:val="24"/>
          <w:szCs w:val="24"/>
        </w:rPr>
        <mc:AlternateContent>
          <mc:Choice Requires="wps">
            <w:drawing>
              <wp:anchor distT="0" distB="0" distL="114300" distR="114300" simplePos="0" relativeHeight="251661312" behindDoc="0" locked="0" layoutInCell="1" allowOverlap="1" wp14:anchorId="5E3630E3" wp14:editId="5FFE4B3B">
                <wp:simplePos x="0" y="0"/>
                <wp:positionH relativeFrom="column">
                  <wp:posOffset>241478</wp:posOffset>
                </wp:positionH>
                <wp:positionV relativeFrom="paragraph">
                  <wp:posOffset>28956</wp:posOffset>
                </wp:positionV>
                <wp:extent cx="469558" cy="329504"/>
                <wp:effectExtent l="0" t="0" r="0" b="0"/>
                <wp:wrapNone/>
                <wp:docPr id="23" name="Text Box 1"/>
                <wp:cNvGraphicFramePr/>
                <a:graphic xmlns:a="http://schemas.openxmlformats.org/drawingml/2006/main">
                  <a:graphicData uri="http://schemas.microsoft.com/office/word/2010/wordprocessingShape">
                    <wps:wsp>
                      <wps:cNvSpPr txBox="1"/>
                      <wps:spPr>
                        <a:xfrm>
                          <a:off x="0" y="0"/>
                          <a:ext cx="469558" cy="329504"/>
                        </a:xfrm>
                        <a:prstGeom prst="rect">
                          <a:avLst/>
                        </a:prstGeom>
                      </wps:spPr>
                      <wps:txbx>
                        <w:txbxContent>
                          <w:p w14:paraId="1DCAD706" w14:textId="77777777" w:rsidR="00907642" w:rsidRDefault="00907642" w:rsidP="00907642">
                            <w:pPr>
                              <w:rPr>
                                <w:rFonts w:asciiTheme="minorHAnsi" w:hAnsi="Calibri"/>
                              </w:rPr>
                            </w:pPr>
                            <w:r>
                              <w:rPr>
                                <w:rFonts w:asciiTheme="minorHAnsi" w:hAnsi="Calibri"/>
                              </w:rPr>
                              <w:t>(b)</w:t>
                            </w:r>
                          </w:p>
                        </w:txbxContent>
                      </wps:txbx>
                      <wps:bodyPr vertOverflow="clip" wrap="square" rtlCol="0"/>
                    </wps:wsp>
                  </a:graphicData>
                </a:graphic>
              </wp:anchor>
            </w:drawing>
          </mc:Choice>
          <mc:Fallback>
            <w:pict>
              <v:shapetype w14:anchorId="5E3630E3" id="_x0000_t202" coordsize="21600,21600" o:spt="202" path="m,l,21600r21600,l21600,xe">
                <v:stroke joinstyle="miter"/>
                <v:path gradientshapeok="t" o:connecttype="rect"/>
              </v:shapetype>
              <v:shape id="Text Box 1" o:spid="_x0000_s1026" type="#_x0000_t202" style="position:absolute;left:0;text-align:left;margin-left:19pt;margin-top:2.3pt;width:36.95pt;height:25.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" filled="f" stroked="f">
                <v:textbox>
                  <w:txbxContent>
                    <w:p w14:paraId="1DCAD706" w14:textId="77777777" w:rsidR="00907642" w:rsidRDefault="00907642" w:rsidP="00907642">
                      <w:pPr>
                        <w:rPr>
                          <w:rFonts w:asciiTheme="minorHAnsi" w:hAnsi="Calibri"/>
                        </w:rPr>
                      </w:pPr>
                      <w:r>
                        <w:rPr>
                          <w:rFonts w:asciiTheme="minorHAnsi" w:hAnsi="Calibri"/>
                        </w:rPr>
                        <w:t>(b)</w:t>
                      </w:r>
                    </w:p>
                  </w:txbxContent>
                </v:textbox>
              </v:shape>
            </w:pict>
          </mc:Fallback>
        </mc:AlternateContent>
      </w:r>
    </w:p>
    <w:p w14:paraId="31FDF8B4" w14:textId="0CFCB01D" w:rsidR="00907642" w:rsidRPr="004C4E71" w:rsidRDefault="00907642" w:rsidP="00907642">
      <w:pPr>
        <w:rPr>
          <w:rFonts w:cs="Times New Roman"/>
          <w:i/>
          <w:iCs/>
          <w:sz w:val="24"/>
          <w:szCs w:val="24"/>
        </w:rPr>
      </w:pPr>
      <w:r w:rsidRPr="004C4E71">
        <w:rPr>
          <w:rFonts w:cs="Times New Roman"/>
          <w:i/>
          <w:iCs/>
          <w:sz w:val="24"/>
          <w:szCs w:val="24"/>
        </w:rPr>
        <w:t xml:space="preserve">Number of cells in the meristem by kinematic analysis (performed with a stable meristem size of 2cm) with 3 or 5 points second order polynomial fitted to the data of cold treated and control plants, respectively. </w:t>
      </w:r>
      <w:r w:rsidR="00E24F74">
        <w:rPr>
          <w:rFonts w:cs="Times New Roman"/>
          <w:i/>
          <w:iCs/>
          <w:sz w:val="24"/>
          <w:szCs w:val="24"/>
        </w:rPr>
        <w:t>Detailed calculation</w:t>
      </w:r>
      <w:r w:rsidR="00B421C8">
        <w:rPr>
          <w:rFonts w:cs="Times New Roman"/>
          <w:i/>
          <w:iCs/>
          <w:sz w:val="24"/>
          <w:szCs w:val="24"/>
        </w:rPr>
        <w:t xml:space="preserve"> of</w:t>
      </w:r>
      <w:r w:rsidR="00B421C8" w:rsidRPr="00B421C8">
        <w:rPr>
          <w:rFonts w:cs="Times New Roman"/>
          <w:i/>
          <w:iCs/>
          <w:sz w:val="24"/>
          <w:szCs w:val="24"/>
        </w:rPr>
        <w:t xml:space="preserve"> ∆n</w:t>
      </w:r>
      <w:r w:rsidR="00E24F74">
        <w:rPr>
          <w:rFonts w:cs="Times New Roman"/>
          <w:i/>
          <w:iCs/>
          <w:sz w:val="24"/>
          <w:szCs w:val="24"/>
        </w:rPr>
        <w:t xml:space="preserve"> can be found in the table below.</w:t>
      </w:r>
    </w:p>
    <w:p w14:paraId="773AD80C" w14:textId="77777777" w:rsidR="00907642" w:rsidRPr="004C4E71" w:rsidRDefault="00907642" w:rsidP="00907642">
      <w:pPr>
        <w:rPr>
          <w:rFonts w:cs="Times New Roman"/>
          <w:i/>
          <w:iCs/>
          <w:sz w:val="24"/>
          <w:szCs w:val="24"/>
        </w:rPr>
      </w:pPr>
      <w:r w:rsidRPr="004C4E71">
        <w:rPr>
          <w:rFonts w:cs="Times New Roman"/>
          <w:i/>
          <w:iCs/>
          <w:sz w:val="24"/>
          <w:szCs w:val="24"/>
        </w:rPr>
        <w:t xml:space="preserve">y </w:t>
      </w:r>
      <w:r w:rsidRPr="004C4E71">
        <w:rPr>
          <w:rFonts w:cs="Times New Roman"/>
          <w:i/>
          <w:iCs/>
          <w:sz w:val="24"/>
          <w:szCs w:val="24"/>
          <w:vertAlign w:val="subscript"/>
        </w:rPr>
        <w:t xml:space="preserve">Control </w:t>
      </w:r>
      <w:r w:rsidRPr="004C4E71">
        <w:rPr>
          <w:rFonts w:cs="Times New Roman"/>
          <w:i/>
          <w:iCs/>
          <w:sz w:val="24"/>
          <w:szCs w:val="24"/>
        </w:rPr>
        <w:t>= -12,846x</w:t>
      </w:r>
      <w:r w:rsidRPr="004C4E71">
        <w:rPr>
          <w:rFonts w:cs="Times New Roman"/>
          <w:i/>
          <w:iCs/>
          <w:sz w:val="24"/>
          <w:szCs w:val="24"/>
          <w:vertAlign w:val="superscript"/>
        </w:rPr>
        <w:t>2</w:t>
      </w:r>
      <w:r w:rsidRPr="004C4E71">
        <w:rPr>
          <w:rFonts w:cs="Times New Roman"/>
          <w:i/>
          <w:iCs/>
          <w:sz w:val="24"/>
          <w:szCs w:val="24"/>
        </w:rPr>
        <w:t xml:space="preserve"> + 128,42x+640,28</w:t>
      </w:r>
    </w:p>
    <w:p w14:paraId="277F2937" w14:textId="77777777" w:rsidR="00907642" w:rsidRPr="004C4E71" w:rsidRDefault="00907642" w:rsidP="00907642">
      <w:pPr>
        <w:rPr>
          <w:rFonts w:cs="Times New Roman"/>
          <w:i/>
          <w:iCs/>
          <w:sz w:val="24"/>
          <w:szCs w:val="24"/>
        </w:rPr>
      </w:pPr>
      <w:r w:rsidRPr="004C4E71">
        <w:rPr>
          <w:rFonts w:cs="Times New Roman"/>
          <w:i/>
          <w:iCs/>
          <w:sz w:val="24"/>
          <w:szCs w:val="24"/>
        </w:rPr>
        <w:t xml:space="preserve">y </w:t>
      </w:r>
      <w:r w:rsidRPr="004C4E71">
        <w:rPr>
          <w:rFonts w:cs="Times New Roman"/>
          <w:i/>
          <w:iCs/>
          <w:sz w:val="24"/>
          <w:szCs w:val="24"/>
          <w:vertAlign w:val="subscript"/>
        </w:rPr>
        <w:t xml:space="preserve">Cold D0 </w:t>
      </w:r>
      <w:r w:rsidRPr="004C4E71">
        <w:rPr>
          <w:rFonts w:cs="Times New Roman"/>
          <w:i/>
          <w:iCs/>
          <w:sz w:val="24"/>
          <w:szCs w:val="24"/>
        </w:rPr>
        <w:t>= 106x</w:t>
      </w:r>
      <w:r w:rsidRPr="004C4E71">
        <w:rPr>
          <w:rFonts w:cs="Times New Roman"/>
          <w:i/>
          <w:iCs/>
          <w:sz w:val="24"/>
          <w:szCs w:val="24"/>
          <w:vertAlign w:val="superscript"/>
        </w:rPr>
        <w:t>2</w:t>
      </w:r>
      <w:r w:rsidRPr="004C4E71">
        <w:rPr>
          <w:rFonts w:cs="Times New Roman"/>
          <w:i/>
          <w:iCs/>
          <w:sz w:val="24"/>
          <w:szCs w:val="24"/>
        </w:rPr>
        <w:t>-168,92x+765,49</w:t>
      </w:r>
    </w:p>
    <w:p w14:paraId="0B707797" w14:textId="7BFD7D13" w:rsidR="00907642" w:rsidRPr="00B421C8" w:rsidRDefault="00907642" w:rsidP="00907642">
      <w:pPr>
        <w:rPr>
          <w:rFonts w:cs="Times New Roman"/>
          <w:sz w:val="24"/>
          <w:szCs w:val="24"/>
        </w:rPr>
      </w:pPr>
      <w:r w:rsidRPr="004C4E71">
        <w:rPr>
          <w:rFonts w:cs="Times New Roman"/>
          <w:i/>
          <w:iCs/>
          <w:sz w:val="24"/>
          <w:szCs w:val="24"/>
        </w:rPr>
        <w:t xml:space="preserve">y </w:t>
      </w:r>
      <w:r w:rsidRPr="004C4E71">
        <w:rPr>
          <w:rFonts w:cs="Times New Roman"/>
          <w:i/>
          <w:iCs/>
          <w:sz w:val="24"/>
          <w:szCs w:val="24"/>
          <w:vertAlign w:val="subscript"/>
        </w:rPr>
        <w:t xml:space="preserve">Cold D3 </w:t>
      </w:r>
      <w:r w:rsidRPr="004C4E71">
        <w:rPr>
          <w:rFonts w:cs="Times New Roman"/>
          <w:i/>
          <w:iCs/>
          <w:sz w:val="24"/>
          <w:szCs w:val="24"/>
        </w:rPr>
        <w:t>=38,984x</w:t>
      </w:r>
      <w:r w:rsidRPr="004C4E71">
        <w:rPr>
          <w:rFonts w:cs="Times New Roman"/>
          <w:i/>
          <w:iCs/>
          <w:sz w:val="24"/>
          <w:szCs w:val="24"/>
          <w:vertAlign w:val="superscript"/>
        </w:rPr>
        <w:t>2</w:t>
      </w:r>
      <w:r w:rsidRPr="004C4E71">
        <w:rPr>
          <w:rFonts w:cs="Times New Roman"/>
          <w:i/>
          <w:iCs/>
          <w:sz w:val="24"/>
          <w:szCs w:val="24"/>
        </w:rPr>
        <w:t>-354,18x+640,28</w:t>
      </w:r>
    </w:p>
    <w:p w14:paraId="74A88C2E" w14:textId="77777777" w:rsidR="00907642" w:rsidRPr="004C4E71" w:rsidRDefault="00907642" w:rsidP="00907642">
      <w:pPr>
        <w:rPr>
          <w:rFonts w:cs="Times New Roman"/>
        </w:rPr>
      </w:pPr>
    </w:p>
    <w:tbl>
      <w:tblPr>
        <w:tblStyle w:val="GridTable1Light"/>
        <w:tblW w:w="9343" w:type="dxa"/>
        <w:tblLayout w:type="fixed"/>
        <w:tblLook w:val="04A0" w:firstRow="1" w:lastRow="0" w:firstColumn="1" w:lastColumn="0" w:noHBand="0" w:noVBand="1"/>
      </w:tblPr>
      <w:tblGrid>
        <w:gridCol w:w="957"/>
        <w:gridCol w:w="842"/>
        <w:gridCol w:w="1257"/>
        <w:gridCol w:w="1257"/>
        <w:gridCol w:w="1258"/>
        <w:gridCol w:w="1257"/>
        <w:gridCol w:w="1257"/>
        <w:gridCol w:w="1258"/>
      </w:tblGrid>
      <w:tr w:rsidR="00907642" w:rsidRPr="004C4E71" w14:paraId="31FF19C5" w14:textId="77777777" w:rsidTr="00E645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57" w:type="dxa"/>
            <w:tcBorders>
              <w:top w:val="double" w:sz="4" w:space="0" w:color="auto"/>
              <w:left w:val="double" w:sz="4" w:space="0" w:color="auto"/>
            </w:tcBorders>
            <w:noWrap/>
            <w:vAlign w:val="center"/>
            <w:hideMark/>
          </w:tcPr>
          <w:p w14:paraId="0116C6FD" w14:textId="77777777" w:rsidR="00907642" w:rsidRPr="004C4E71" w:rsidRDefault="00907642" w:rsidP="00B421C8">
            <w:pPr>
              <w:rPr>
                <w:rFonts w:cs="Times New Roman"/>
                <w:color w:val="000000"/>
                <w:sz w:val="16"/>
                <w:szCs w:val="16"/>
                <w:lang w:val="en-NL"/>
              </w:rPr>
            </w:pPr>
          </w:p>
        </w:tc>
        <w:tc>
          <w:tcPr>
            <w:tcW w:w="842" w:type="dxa"/>
            <w:tcBorders>
              <w:top w:val="double" w:sz="4" w:space="0" w:color="auto"/>
            </w:tcBorders>
            <w:noWrap/>
            <w:vAlign w:val="center"/>
            <w:hideMark/>
          </w:tcPr>
          <w:p w14:paraId="61DC7834"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p>
        </w:tc>
        <w:tc>
          <w:tcPr>
            <w:tcW w:w="1257" w:type="dxa"/>
            <w:tcBorders>
              <w:top w:val="double" w:sz="4" w:space="0" w:color="auto"/>
            </w:tcBorders>
            <w:noWrap/>
            <w:vAlign w:val="center"/>
            <w:hideMark/>
          </w:tcPr>
          <w:p w14:paraId="61FC47BE"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r w:rsidRPr="004C4E71">
              <w:rPr>
                <w:rFonts w:cs="Times New Roman"/>
                <w:color w:val="000000"/>
                <w:sz w:val="16"/>
                <w:szCs w:val="16"/>
              </w:rPr>
              <w:t>D0</w:t>
            </w:r>
          </w:p>
        </w:tc>
        <w:tc>
          <w:tcPr>
            <w:tcW w:w="1257" w:type="dxa"/>
            <w:tcBorders>
              <w:top w:val="double" w:sz="4" w:space="0" w:color="auto"/>
            </w:tcBorders>
            <w:noWrap/>
            <w:vAlign w:val="center"/>
            <w:hideMark/>
          </w:tcPr>
          <w:p w14:paraId="26593C0F"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r w:rsidRPr="004C4E71">
              <w:rPr>
                <w:rFonts w:cs="Times New Roman"/>
                <w:color w:val="000000"/>
                <w:sz w:val="16"/>
                <w:szCs w:val="16"/>
              </w:rPr>
              <w:t>D1</w:t>
            </w:r>
          </w:p>
        </w:tc>
        <w:tc>
          <w:tcPr>
            <w:tcW w:w="1258" w:type="dxa"/>
            <w:tcBorders>
              <w:top w:val="double" w:sz="4" w:space="0" w:color="auto"/>
            </w:tcBorders>
            <w:noWrap/>
            <w:vAlign w:val="center"/>
            <w:hideMark/>
          </w:tcPr>
          <w:p w14:paraId="4861E4D7"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r w:rsidRPr="004C4E71">
              <w:rPr>
                <w:rFonts w:cs="Times New Roman"/>
                <w:color w:val="000000"/>
                <w:sz w:val="16"/>
                <w:szCs w:val="16"/>
              </w:rPr>
              <w:t>D2</w:t>
            </w:r>
          </w:p>
        </w:tc>
        <w:tc>
          <w:tcPr>
            <w:tcW w:w="1257" w:type="dxa"/>
            <w:tcBorders>
              <w:top w:val="double" w:sz="4" w:space="0" w:color="auto"/>
            </w:tcBorders>
            <w:noWrap/>
            <w:vAlign w:val="center"/>
            <w:hideMark/>
          </w:tcPr>
          <w:p w14:paraId="6E94DA54"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r w:rsidRPr="004C4E71">
              <w:rPr>
                <w:rFonts w:cs="Times New Roman"/>
                <w:color w:val="000000"/>
                <w:sz w:val="16"/>
                <w:szCs w:val="16"/>
              </w:rPr>
              <w:t>D3</w:t>
            </w:r>
          </w:p>
        </w:tc>
        <w:tc>
          <w:tcPr>
            <w:tcW w:w="1257" w:type="dxa"/>
            <w:tcBorders>
              <w:top w:val="double" w:sz="4" w:space="0" w:color="auto"/>
            </w:tcBorders>
            <w:noWrap/>
            <w:vAlign w:val="center"/>
            <w:hideMark/>
          </w:tcPr>
          <w:p w14:paraId="5F88BAA1"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r w:rsidRPr="004C4E71">
              <w:rPr>
                <w:rFonts w:cs="Times New Roman"/>
                <w:color w:val="000000"/>
                <w:sz w:val="16"/>
                <w:szCs w:val="16"/>
              </w:rPr>
              <w:t>D4</w:t>
            </w:r>
          </w:p>
        </w:tc>
        <w:tc>
          <w:tcPr>
            <w:tcW w:w="1258" w:type="dxa"/>
            <w:tcBorders>
              <w:top w:val="double" w:sz="4" w:space="0" w:color="auto"/>
              <w:right w:val="double" w:sz="4" w:space="0" w:color="auto"/>
            </w:tcBorders>
            <w:noWrap/>
            <w:vAlign w:val="center"/>
            <w:hideMark/>
          </w:tcPr>
          <w:p w14:paraId="1B6CA4E8" w14:textId="77777777" w:rsidR="00907642" w:rsidRPr="004C4E71" w:rsidRDefault="00907642" w:rsidP="00E645B6">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16"/>
                <w:szCs w:val="16"/>
              </w:rPr>
            </w:pPr>
            <w:r w:rsidRPr="004C4E71">
              <w:rPr>
                <w:rFonts w:cs="Times New Roman"/>
                <w:color w:val="000000"/>
                <w:sz w:val="16"/>
                <w:szCs w:val="16"/>
              </w:rPr>
              <w:t>D5</w:t>
            </w:r>
          </w:p>
        </w:tc>
      </w:tr>
      <w:tr w:rsidR="00907642" w:rsidRPr="004C4E71" w14:paraId="0C0582B2" w14:textId="77777777" w:rsidTr="00E645B6">
        <w:trPr>
          <w:trHeight w:val="20"/>
        </w:trPr>
        <w:tc>
          <w:tcPr>
            <w:cnfStyle w:val="001000000000" w:firstRow="0" w:lastRow="0" w:firstColumn="1" w:lastColumn="0" w:oddVBand="0" w:evenVBand="0" w:oddHBand="0" w:evenHBand="0" w:firstRowFirstColumn="0" w:firstRowLastColumn="0" w:lastRowFirstColumn="0" w:lastRowLastColumn="0"/>
            <w:tcW w:w="957" w:type="dxa"/>
            <w:vMerge w:val="restart"/>
            <w:tcBorders>
              <w:left w:val="double" w:sz="4" w:space="0" w:color="auto"/>
            </w:tcBorders>
            <w:vAlign w:val="center"/>
            <w:hideMark/>
          </w:tcPr>
          <w:p w14:paraId="228C6AF7" w14:textId="77777777" w:rsidR="00907642" w:rsidRPr="004C4E71" w:rsidRDefault="00907642" w:rsidP="00E645B6">
            <w:pPr>
              <w:jc w:val="center"/>
              <w:rPr>
                <w:rFonts w:cs="Times New Roman"/>
                <w:color w:val="000000"/>
                <w:sz w:val="16"/>
                <w:szCs w:val="16"/>
              </w:rPr>
            </w:pPr>
            <w:r w:rsidRPr="004C4E71">
              <w:rPr>
                <w:rFonts w:cs="Times New Roman"/>
                <w:color w:val="000000"/>
                <w:sz w:val="16"/>
                <w:szCs w:val="16"/>
              </w:rPr>
              <w:t>Calculation ∆n from the derivative</w:t>
            </w:r>
          </w:p>
        </w:tc>
        <w:tc>
          <w:tcPr>
            <w:tcW w:w="842" w:type="dxa"/>
            <w:noWrap/>
            <w:vAlign w:val="center"/>
            <w:hideMark/>
          </w:tcPr>
          <w:p w14:paraId="7FF05BBF"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Control</w:t>
            </w:r>
          </w:p>
        </w:tc>
        <w:tc>
          <w:tcPr>
            <w:tcW w:w="1257" w:type="dxa"/>
            <w:vAlign w:val="center"/>
            <w:hideMark/>
          </w:tcPr>
          <w:p w14:paraId="42FC9C4F"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∆0 = (2*-12,846x0 + 128,42)/24</w:t>
            </w:r>
          </w:p>
        </w:tc>
        <w:tc>
          <w:tcPr>
            <w:tcW w:w="1257" w:type="dxa"/>
            <w:vAlign w:val="center"/>
            <w:hideMark/>
          </w:tcPr>
          <w:p w14:paraId="70054828"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∆1 = (2*-12,846x1 + 128,43)/24</w:t>
            </w:r>
          </w:p>
        </w:tc>
        <w:tc>
          <w:tcPr>
            <w:tcW w:w="1258" w:type="dxa"/>
            <w:vAlign w:val="center"/>
            <w:hideMark/>
          </w:tcPr>
          <w:p w14:paraId="15AE0EFC"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∆2 = (2*-12,846x2 + 128,44)/24</w:t>
            </w:r>
          </w:p>
        </w:tc>
        <w:tc>
          <w:tcPr>
            <w:tcW w:w="1257" w:type="dxa"/>
            <w:vAlign w:val="center"/>
            <w:hideMark/>
          </w:tcPr>
          <w:p w14:paraId="5181951D"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∆3 = (2*-12,846x3 + 128,45)/24</w:t>
            </w:r>
          </w:p>
        </w:tc>
        <w:tc>
          <w:tcPr>
            <w:tcW w:w="1257" w:type="dxa"/>
            <w:vAlign w:val="center"/>
            <w:hideMark/>
          </w:tcPr>
          <w:p w14:paraId="734262E2"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∆4 = (2*-12,846x4 + 128,46)/24</w:t>
            </w:r>
          </w:p>
        </w:tc>
        <w:tc>
          <w:tcPr>
            <w:tcW w:w="1258" w:type="dxa"/>
            <w:tcBorders>
              <w:right w:val="double" w:sz="4" w:space="0" w:color="auto"/>
            </w:tcBorders>
            <w:vAlign w:val="center"/>
            <w:hideMark/>
          </w:tcPr>
          <w:p w14:paraId="54D860C7"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∆5 = (2*-12,846x5 + 128,47)/24</w:t>
            </w:r>
          </w:p>
        </w:tc>
      </w:tr>
      <w:tr w:rsidR="00907642" w:rsidRPr="004C4E71" w14:paraId="62CF4D60" w14:textId="77777777" w:rsidTr="00E645B6">
        <w:trPr>
          <w:trHeight w:val="20"/>
        </w:trPr>
        <w:tc>
          <w:tcPr>
            <w:cnfStyle w:val="001000000000" w:firstRow="0" w:lastRow="0" w:firstColumn="1" w:lastColumn="0" w:oddVBand="0" w:evenVBand="0" w:oddHBand="0" w:evenHBand="0" w:firstRowFirstColumn="0" w:firstRowLastColumn="0" w:lastRowFirstColumn="0" w:lastRowLastColumn="0"/>
            <w:tcW w:w="957" w:type="dxa"/>
            <w:vMerge/>
            <w:tcBorders>
              <w:left w:val="double" w:sz="4" w:space="0" w:color="auto"/>
            </w:tcBorders>
            <w:vAlign w:val="center"/>
            <w:hideMark/>
          </w:tcPr>
          <w:p w14:paraId="4A739651" w14:textId="77777777" w:rsidR="00907642" w:rsidRPr="004C4E71" w:rsidRDefault="00907642" w:rsidP="00E645B6">
            <w:pPr>
              <w:jc w:val="center"/>
              <w:rPr>
                <w:rFonts w:cs="Times New Roman"/>
                <w:color w:val="000000"/>
                <w:sz w:val="16"/>
                <w:szCs w:val="16"/>
              </w:rPr>
            </w:pPr>
          </w:p>
        </w:tc>
        <w:tc>
          <w:tcPr>
            <w:tcW w:w="842" w:type="dxa"/>
            <w:noWrap/>
            <w:vAlign w:val="center"/>
            <w:hideMark/>
          </w:tcPr>
          <w:p w14:paraId="4F5A8F58"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Cold D0</w:t>
            </w:r>
          </w:p>
        </w:tc>
        <w:tc>
          <w:tcPr>
            <w:tcW w:w="1257" w:type="dxa"/>
            <w:vAlign w:val="center"/>
            <w:hideMark/>
          </w:tcPr>
          <w:p w14:paraId="603A0EB7"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∆0 = (2*106x0-168,92)/24</w:t>
            </w:r>
          </w:p>
        </w:tc>
        <w:tc>
          <w:tcPr>
            <w:tcW w:w="1257" w:type="dxa"/>
            <w:vAlign w:val="center"/>
            <w:hideMark/>
          </w:tcPr>
          <w:p w14:paraId="2E5363F7"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∆1 = (2*106x1-168,93)/24</w:t>
            </w:r>
          </w:p>
        </w:tc>
        <w:tc>
          <w:tcPr>
            <w:tcW w:w="1258" w:type="dxa"/>
            <w:vAlign w:val="center"/>
            <w:hideMark/>
          </w:tcPr>
          <w:p w14:paraId="502EBA45"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∆2 = (2*106x2-168,94)24</w:t>
            </w:r>
          </w:p>
        </w:tc>
        <w:tc>
          <w:tcPr>
            <w:tcW w:w="1257" w:type="dxa"/>
            <w:vAlign w:val="center"/>
            <w:hideMark/>
          </w:tcPr>
          <w:p w14:paraId="2BACC41B"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c>
          <w:tcPr>
            <w:tcW w:w="1257" w:type="dxa"/>
            <w:vAlign w:val="center"/>
            <w:hideMark/>
          </w:tcPr>
          <w:p w14:paraId="1DEC0DE3"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c>
          <w:tcPr>
            <w:tcW w:w="1258" w:type="dxa"/>
            <w:tcBorders>
              <w:right w:val="double" w:sz="4" w:space="0" w:color="auto"/>
            </w:tcBorders>
            <w:vAlign w:val="center"/>
            <w:hideMark/>
          </w:tcPr>
          <w:p w14:paraId="03DD7B49"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r>
      <w:tr w:rsidR="00907642" w:rsidRPr="004C4E71" w14:paraId="1C715B89" w14:textId="77777777" w:rsidTr="00E645B6">
        <w:trPr>
          <w:trHeight w:val="20"/>
        </w:trPr>
        <w:tc>
          <w:tcPr>
            <w:cnfStyle w:val="001000000000" w:firstRow="0" w:lastRow="0" w:firstColumn="1" w:lastColumn="0" w:oddVBand="0" w:evenVBand="0" w:oddHBand="0" w:evenHBand="0" w:firstRowFirstColumn="0" w:firstRowLastColumn="0" w:lastRowFirstColumn="0" w:lastRowLastColumn="0"/>
            <w:tcW w:w="957" w:type="dxa"/>
            <w:vMerge/>
            <w:tcBorders>
              <w:left w:val="double" w:sz="4" w:space="0" w:color="auto"/>
              <w:bottom w:val="double" w:sz="4" w:space="0" w:color="auto"/>
            </w:tcBorders>
            <w:vAlign w:val="center"/>
            <w:hideMark/>
          </w:tcPr>
          <w:p w14:paraId="45D83C02" w14:textId="77777777" w:rsidR="00907642" w:rsidRPr="004C4E71" w:rsidRDefault="00907642" w:rsidP="00E645B6">
            <w:pPr>
              <w:jc w:val="center"/>
              <w:rPr>
                <w:rFonts w:cs="Times New Roman"/>
                <w:color w:val="000000"/>
                <w:sz w:val="16"/>
                <w:szCs w:val="16"/>
              </w:rPr>
            </w:pPr>
          </w:p>
        </w:tc>
        <w:tc>
          <w:tcPr>
            <w:tcW w:w="842" w:type="dxa"/>
            <w:tcBorders>
              <w:bottom w:val="double" w:sz="4" w:space="0" w:color="auto"/>
            </w:tcBorders>
            <w:noWrap/>
            <w:vAlign w:val="center"/>
            <w:hideMark/>
          </w:tcPr>
          <w:p w14:paraId="1382F44B"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Cold D3</w:t>
            </w:r>
          </w:p>
        </w:tc>
        <w:tc>
          <w:tcPr>
            <w:tcW w:w="1257" w:type="dxa"/>
            <w:tcBorders>
              <w:bottom w:val="double" w:sz="4" w:space="0" w:color="auto"/>
            </w:tcBorders>
            <w:vAlign w:val="center"/>
            <w:hideMark/>
          </w:tcPr>
          <w:p w14:paraId="21E29360"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c>
          <w:tcPr>
            <w:tcW w:w="1257" w:type="dxa"/>
            <w:tcBorders>
              <w:bottom w:val="double" w:sz="4" w:space="0" w:color="auto"/>
            </w:tcBorders>
            <w:vAlign w:val="center"/>
            <w:hideMark/>
          </w:tcPr>
          <w:p w14:paraId="0C3C9136"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c>
          <w:tcPr>
            <w:tcW w:w="1258" w:type="dxa"/>
            <w:tcBorders>
              <w:bottom w:val="double" w:sz="4" w:space="0" w:color="auto"/>
            </w:tcBorders>
            <w:vAlign w:val="center"/>
            <w:hideMark/>
          </w:tcPr>
          <w:p w14:paraId="0A9B7519"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p>
        </w:tc>
        <w:tc>
          <w:tcPr>
            <w:tcW w:w="1257" w:type="dxa"/>
            <w:tcBorders>
              <w:bottom w:val="double" w:sz="4" w:space="0" w:color="auto"/>
            </w:tcBorders>
            <w:vAlign w:val="center"/>
            <w:hideMark/>
          </w:tcPr>
          <w:p w14:paraId="08E80791"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∆3 = (2*38,984x3-354,18)/24</w:t>
            </w:r>
          </w:p>
        </w:tc>
        <w:tc>
          <w:tcPr>
            <w:tcW w:w="1257" w:type="dxa"/>
            <w:tcBorders>
              <w:bottom w:val="double" w:sz="4" w:space="0" w:color="auto"/>
            </w:tcBorders>
            <w:vAlign w:val="center"/>
            <w:hideMark/>
          </w:tcPr>
          <w:p w14:paraId="48770417"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∆4 = (2*38,984x4-354,19)/24</w:t>
            </w:r>
          </w:p>
        </w:tc>
        <w:tc>
          <w:tcPr>
            <w:tcW w:w="1258" w:type="dxa"/>
            <w:tcBorders>
              <w:bottom w:val="double" w:sz="4" w:space="0" w:color="auto"/>
              <w:right w:val="double" w:sz="4" w:space="0" w:color="auto"/>
            </w:tcBorders>
            <w:vAlign w:val="center"/>
            <w:hideMark/>
          </w:tcPr>
          <w:p w14:paraId="18E4CBF6" w14:textId="77777777" w:rsidR="00907642" w:rsidRPr="004C4E71" w:rsidRDefault="00907642" w:rsidP="00E645B6">
            <w:pPr>
              <w:jc w:val="left"/>
              <w:cnfStyle w:val="000000000000" w:firstRow="0" w:lastRow="0" w:firstColumn="0" w:lastColumn="0" w:oddVBand="0" w:evenVBand="0" w:oddHBand="0" w:evenHBand="0" w:firstRowFirstColumn="0" w:firstRowLastColumn="0" w:lastRowFirstColumn="0" w:lastRowLastColumn="0"/>
              <w:rPr>
                <w:rFonts w:cs="Times New Roman"/>
                <w:sz w:val="14"/>
                <w:szCs w:val="14"/>
              </w:rPr>
            </w:pPr>
            <w:r w:rsidRPr="004C4E71">
              <w:rPr>
                <w:rFonts w:cs="Times New Roman"/>
                <w:sz w:val="14"/>
                <w:szCs w:val="14"/>
              </w:rPr>
              <w:t>∆5 = (2*38,984x5-354,20)/24</w:t>
            </w:r>
          </w:p>
        </w:tc>
      </w:tr>
      <w:tr w:rsidR="00907642" w:rsidRPr="004C4E71" w14:paraId="1B132B50" w14:textId="77777777" w:rsidTr="00E645B6">
        <w:trPr>
          <w:trHeight w:val="20"/>
        </w:trPr>
        <w:tc>
          <w:tcPr>
            <w:cnfStyle w:val="001000000000" w:firstRow="0" w:lastRow="0" w:firstColumn="1" w:lastColumn="0" w:oddVBand="0" w:evenVBand="0" w:oddHBand="0" w:evenHBand="0" w:firstRowFirstColumn="0" w:firstRowLastColumn="0" w:lastRowFirstColumn="0" w:lastRowLastColumn="0"/>
            <w:tcW w:w="957" w:type="dxa"/>
            <w:vMerge w:val="restart"/>
            <w:tcBorders>
              <w:top w:val="double" w:sz="4" w:space="0" w:color="auto"/>
              <w:left w:val="double" w:sz="4" w:space="0" w:color="auto"/>
            </w:tcBorders>
            <w:vAlign w:val="center"/>
            <w:hideMark/>
          </w:tcPr>
          <w:p w14:paraId="43D14EF7" w14:textId="77777777" w:rsidR="00907642" w:rsidRPr="004C4E71" w:rsidRDefault="00907642" w:rsidP="00E645B6">
            <w:pPr>
              <w:jc w:val="center"/>
              <w:rPr>
                <w:rFonts w:cs="Times New Roman"/>
                <w:color w:val="000000"/>
                <w:sz w:val="16"/>
                <w:szCs w:val="16"/>
              </w:rPr>
            </w:pPr>
            <w:r w:rsidRPr="004C4E71">
              <w:rPr>
                <w:rFonts w:cs="Times New Roman"/>
                <w:color w:val="000000"/>
                <w:sz w:val="16"/>
                <w:szCs w:val="16"/>
              </w:rPr>
              <w:t>∆n obtained</w:t>
            </w:r>
          </w:p>
        </w:tc>
        <w:tc>
          <w:tcPr>
            <w:tcW w:w="842" w:type="dxa"/>
            <w:tcBorders>
              <w:top w:val="double" w:sz="4" w:space="0" w:color="auto"/>
            </w:tcBorders>
            <w:noWrap/>
            <w:vAlign w:val="center"/>
            <w:hideMark/>
          </w:tcPr>
          <w:p w14:paraId="4FCF3C69"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Control</w:t>
            </w:r>
          </w:p>
        </w:tc>
        <w:tc>
          <w:tcPr>
            <w:tcW w:w="1257" w:type="dxa"/>
            <w:tcBorders>
              <w:top w:val="double" w:sz="4" w:space="0" w:color="auto"/>
            </w:tcBorders>
            <w:vAlign w:val="center"/>
            <w:hideMark/>
          </w:tcPr>
          <w:p w14:paraId="5C4D6A73"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5,35</w:t>
            </w:r>
          </w:p>
        </w:tc>
        <w:tc>
          <w:tcPr>
            <w:tcW w:w="1257" w:type="dxa"/>
            <w:tcBorders>
              <w:top w:val="double" w:sz="4" w:space="0" w:color="auto"/>
            </w:tcBorders>
            <w:vAlign w:val="center"/>
            <w:hideMark/>
          </w:tcPr>
          <w:p w14:paraId="20F9A39B"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4,28</w:t>
            </w:r>
          </w:p>
        </w:tc>
        <w:tc>
          <w:tcPr>
            <w:tcW w:w="1258" w:type="dxa"/>
            <w:tcBorders>
              <w:top w:val="double" w:sz="4" w:space="0" w:color="auto"/>
            </w:tcBorders>
            <w:vAlign w:val="center"/>
            <w:hideMark/>
          </w:tcPr>
          <w:p w14:paraId="24064561"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3,21</w:t>
            </w:r>
          </w:p>
        </w:tc>
        <w:tc>
          <w:tcPr>
            <w:tcW w:w="1257" w:type="dxa"/>
            <w:tcBorders>
              <w:top w:val="double" w:sz="4" w:space="0" w:color="auto"/>
            </w:tcBorders>
            <w:vAlign w:val="center"/>
            <w:hideMark/>
          </w:tcPr>
          <w:p w14:paraId="1FA06C70"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2,14</w:t>
            </w:r>
          </w:p>
        </w:tc>
        <w:tc>
          <w:tcPr>
            <w:tcW w:w="1257" w:type="dxa"/>
            <w:tcBorders>
              <w:top w:val="double" w:sz="4" w:space="0" w:color="auto"/>
            </w:tcBorders>
            <w:vAlign w:val="center"/>
            <w:hideMark/>
          </w:tcPr>
          <w:p w14:paraId="686CC220"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1,07</w:t>
            </w:r>
          </w:p>
        </w:tc>
        <w:tc>
          <w:tcPr>
            <w:tcW w:w="1258" w:type="dxa"/>
            <w:tcBorders>
              <w:top w:val="double" w:sz="4" w:space="0" w:color="auto"/>
              <w:right w:val="double" w:sz="4" w:space="0" w:color="auto"/>
            </w:tcBorders>
            <w:vAlign w:val="center"/>
            <w:hideMark/>
          </w:tcPr>
          <w:p w14:paraId="2F6043BB"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0,00</w:t>
            </w:r>
          </w:p>
        </w:tc>
      </w:tr>
      <w:tr w:rsidR="00907642" w:rsidRPr="004C4E71" w14:paraId="65AA6E9E" w14:textId="77777777" w:rsidTr="00E645B6">
        <w:trPr>
          <w:trHeight w:val="20"/>
        </w:trPr>
        <w:tc>
          <w:tcPr>
            <w:cnfStyle w:val="001000000000" w:firstRow="0" w:lastRow="0" w:firstColumn="1" w:lastColumn="0" w:oddVBand="0" w:evenVBand="0" w:oddHBand="0" w:evenHBand="0" w:firstRowFirstColumn="0" w:firstRowLastColumn="0" w:lastRowFirstColumn="0" w:lastRowLastColumn="0"/>
            <w:tcW w:w="957" w:type="dxa"/>
            <w:vMerge/>
            <w:tcBorders>
              <w:left w:val="double" w:sz="4" w:space="0" w:color="auto"/>
            </w:tcBorders>
            <w:vAlign w:val="center"/>
            <w:hideMark/>
          </w:tcPr>
          <w:p w14:paraId="49714F63" w14:textId="77777777" w:rsidR="00907642" w:rsidRPr="004C4E71" w:rsidRDefault="00907642" w:rsidP="00E645B6">
            <w:pPr>
              <w:jc w:val="center"/>
              <w:rPr>
                <w:rFonts w:cs="Times New Roman"/>
                <w:color w:val="000000"/>
                <w:sz w:val="16"/>
                <w:szCs w:val="16"/>
              </w:rPr>
            </w:pPr>
          </w:p>
        </w:tc>
        <w:tc>
          <w:tcPr>
            <w:tcW w:w="842" w:type="dxa"/>
            <w:noWrap/>
            <w:vAlign w:val="center"/>
            <w:hideMark/>
          </w:tcPr>
          <w:p w14:paraId="1AFF7311"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Cold D0</w:t>
            </w:r>
          </w:p>
        </w:tc>
        <w:tc>
          <w:tcPr>
            <w:tcW w:w="1257" w:type="dxa"/>
            <w:vAlign w:val="center"/>
            <w:hideMark/>
          </w:tcPr>
          <w:p w14:paraId="54EE0E71"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-7,04</w:t>
            </w:r>
          </w:p>
        </w:tc>
        <w:tc>
          <w:tcPr>
            <w:tcW w:w="1257" w:type="dxa"/>
            <w:vAlign w:val="center"/>
            <w:hideMark/>
          </w:tcPr>
          <w:p w14:paraId="4BACF8E4"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1,80</w:t>
            </w:r>
          </w:p>
        </w:tc>
        <w:tc>
          <w:tcPr>
            <w:tcW w:w="1258" w:type="dxa"/>
            <w:vAlign w:val="center"/>
            <w:hideMark/>
          </w:tcPr>
          <w:p w14:paraId="45D515A0"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10,63</w:t>
            </w:r>
          </w:p>
        </w:tc>
        <w:tc>
          <w:tcPr>
            <w:tcW w:w="1257" w:type="dxa"/>
            <w:vAlign w:val="center"/>
            <w:hideMark/>
          </w:tcPr>
          <w:p w14:paraId="1AAB69F4"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57" w:type="dxa"/>
            <w:vAlign w:val="center"/>
            <w:hideMark/>
          </w:tcPr>
          <w:p w14:paraId="3D0C6C6A"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58" w:type="dxa"/>
            <w:tcBorders>
              <w:right w:val="double" w:sz="4" w:space="0" w:color="auto"/>
            </w:tcBorders>
            <w:vAlign w:val="center"/>
            <w:hideMark/>
          </w:tcPr>
          <w:p w14:paraId="20A7EFE2"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907642" w:rsidRPr="004C4E71" w14:paraId="710E47AB" w14:textId="77777777" w:rsidTr="00E645B6">
        <w:trPr>
          <w:trHeight w:val="20"/>
        </w:trPr>
        <w:tc>
          <w:tcPr>
            <w:cnfStyle w:val="001000000000" w:firstRow="0" w:lastRow="0" w:firstColumn="1" w:lastColumn="0" w:oddVBand="0" w:evenVBand="0" w:oddHBand="0" w:evenHBand="0" w:firstRowFirstColumn="0" w:firstRowLastColumn="0" w:lastRowFirstColumn="0" w:lastRowLastColumn="0"/>
            <w:tcW w:w="957" w:type="dxa"/>
            <w:vMerge/>
            <w:tcBorders>
              <w:left w:val="double" w:sz="4" w:space="0" w:color="auto"/>
              <w:bottom w:val="double" w:sz="4" w:space="0" w:color="auto"/>
            </w:tcBorders>
            <w:vAlign w:val="center"/>
            <w:hideMark/>
          </w:tcPr>
          <w:p w14:paraId="5662821B" w14:textId="77777777" w:rsidR="00907642" w:rsidRPr="004C4E71" w:rsidRDefault="00907642" w:rsidP="00E645B6">
            <w:pPr>
              <w:jc w:val="center"/>
              <w:rPr>
                <w:rFonts w:cs="Times New Roman"/>
                <w:color w:val="000000"/>
                <w:sz w:val="16"/>
                <w:szCs w:val="16"/>
              </w:rPr>
            </w:pPr>
          </w:p>
        </w:tc>
        <w:tc>
          <w:tcPr>
            <w:tcW w:w="842" w:type="dxa"/>
            <w:tcBorders>
              <w:bottom w:val="double" w:sz="4" w:space="0" w:color="auto"/>
            </w:tcBorders>
            <w:noWrap/>
            <w:vAlign w:val="center"/>
            <w:hideMark/>
          </w:tcPr>
          <w:p w14:paraId="1C26366E"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Cold D3</w:t>
            </w:r>
          </w:p>
        </w:tc>
        <w:tc>
          <w:tcPr>
            <w:tcW w:w="1257" w:type="dxa"/>
            <w:tcBorders>
              <w:bottom w:val="double" w:sz="4" w:space="0" w:color="auto"/>
            </w:tcBorders>
            <w:vAlign w:val="center"/>
            <w:hideMark/>
          </w:tcPr>
          <w:p w14:paraId="0102CDAA"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57" w:type="dxa"/>
            <w:tcBorders>
              <w:bottom w:val="double" w:sz="4" w:space="0" w:color="auto"/>
            </w:tcBorders>
            <w:vAlign w:val="center"/>
            <w:hideMark/>
          </w:tcPr>
          <w:p w14:paraId="6398B2F8"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58" w:type="dxa"/>
            <w:tcBorders>
              <w:bottom w:val="double" w:sz="4" w:space="0" w:color="auto"/>
            </w:tcBorders>
            <w:vAlign w:val="center"/>
            <w:hideMark/>
          </w:tcPr>
          <w:p w14:paraId="7416C77B"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tcW w:w="1257" w:type="dxa"/>
            <w:tcBorders>
              <w:bottom w:val="double" w:sz="4" w:space="0" w:color="auto"/>
            </w:tcBorders>
            <w:vAlign w:val="center"/>
            <w:hideMark/>
          </w:tcPr>
          <w:p w14:paraId="28EFBADD"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-5,01</w:t>
            </w:r>
          </w:p>
        </w:tc>
        <w:tc>
          <w:tcPr>
            <w:tcW w:w="1257" w:type="dxa"/>
            <w:tcBorders>
              <w:bottom w:val="double" w:sz="4" w:space="0" w:color="auto"/>
            </w:tcBorders>
            <w:vAlign w:val="center"/>
            <w:hideMark/>
          </w:tcPr>
          <w:p w14:paraId="0FE06975"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-1,76</w:t>
            </w:r>
          </w:p>
        </w:tc>
        <w:tc>
          <w:tcPr>
            <w:tcW w:w="1258" w:type="dxa"/>
            <w:tcBorders>
              <w:bottom w:val="double" w:sz="4" w:space="0" w:color="auto"/>
              <w:right w:val="double" w:sz="4" w:space="0" w:color="auto"/>
            </w:tcBorders>
            <w:vAlign w:val="center"/>
            <w:hideMark/>
          </w:tcPr>
          <w:p w14:paraId="2F3A77AF" w14:textId="77777777" w:rsidR="00907642" w:rsidRPr="004C4E71" w:rsidRDefault="00907642"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4C4E71">
              <w:rPr>
                <w:rFonts w:cs="Times New Roman"/>
                <w:sz w:val="16"/>
                <w:szCs w:val="16"/>
              </w:rPr>
              <w:t>1,49</w:t>
            </w:r>
          </w:p>
        </w:tc>
      </w:tr>
    </w:tbl>
    <w:p w14:paraId="2941616C" w14:textId="77777777" w:rsidR="00907642" w:rsidRPr="004C4E71" w:rsidRDefault="00907642" w:rsidP="00907642">
      <w:pPr>
        <w:rPr>
          <w:rFonts w:cs="Times New Roman"/>
          <w:b/>
          <w:bCs/>
          <w:sz w:val="24"/>
          <w:szCs w:val="24"/>
        </w:rPr>
      </w:pPr>
    </w:p>
    <w:p w14:paraId="4C43422D" w14:textId="77777777" w:rsidR="00907642" w:rsidRPr="00423AA5" w:rsidRDefault="00907642" w:rsidP="00907642">
      <w:pPr>
        <w:rPr>
          <w:rFonts w:eastAsiaTheme="minorEastAsia" w:cs="Times New Roman"/>
          <w:sz w:val="24"/>
          <w:szCs w:val="24"/>
        </w:rPr>
      </w:pPr>
      <w:r w:rsidRPr="00423AA5">
        <w:rPr>
          <w:rFonts w:eastAsiaTheme="minorEastAsia" w:cs="Times New Roman"/>
          <w:sz w:val="24"/>
          <w:szCs w:val="24"/>
        </w:rPr>
        <w:t xml:space="preserve">Once the delta number of extra cells produced each day is obtained, we used it to re-calculate the cell production rate (P’’) and cell division rate (D’’) under non steady-state conditions </w:t>
      </w:r>
      <w:r w:rsidRPr="00423AA5">
        <w:rPr>
          <w:rFonts w:eastAsiaTheme="minorEastAsia" w:cs="Times New Roman"/>
          <w:sz w:val="24"/>
          <w:szCs w:val="24"/>
        </w:rPr>
        <w:fldChar w:fldCharType="begin"/>
      </w:r>
      <w:r w:rsidRPr="00423AA5">
        <w:rPr>
          <w:rFonts w:eastAsiaTheme="minorEastAsia" w:cs="Times New Roman"/>
          <w:sz w:val="24"/>
          <w:szCs w:val="24"/>
        </w:rPr>
        <w:instrText xml:space="preserve"> ADDIN ZOTERO_ITEM CSL_CITATION {"citationID":"PezvuzeS","properties":{"formattedCitation":"(Erickson, 1976; Beemster and Baskin, 1998)","plainCitation":"(Erickson, 1976; Beemster and Baskin, 1998)","noteIndex":0},"citationItems":[{"id":1090,"uris":["http://zotero.org/users/local/Wolr4PJS/items/A5DN28TM"],"itemData":{"id":1090,"type":"article-journal","container-title":"Annual Review of Plant Physiology","DOI":"10.1146/annurev.pp.27.060176.002203","issue":"1","note":"_eprint: https://doi.org/10.1146/annurev.pp.27.060176.002203","page":"407-434","source":"Annual Reviews","title":"Modeling of Plant Growth","volume":"27","author":[{"family":"Erickson","given":"R O"}],"issued":{"date-parts":[["1976"]]}}},{"id":877,"uris":["http://zotero.org/users/local/Wolr4PJS/items/CCV9K2C2"],"itemData":{"id":877,"type":"article-journal","abstract":"To investigate the relation between\n cell division and expansion in the regulation of organ growth rate, we\n used Arabidopsis thaliana primary roots grown vertically\n at 20°C with an elongation rate that increased steadily during the\n first 14 d after germination. We measured spatial profiles of\n longitudinal velocity and cell length and calculated parameters of cell\n expansion and division, including rates of local cell production (cells\n mm−1 h−1) and cell division (cells\n cell−1 h−1). Data were obtained for the root\n cortex and also for the two types of epidermal cell, trichoblasts and\n atrichoblasts. Accelerating root elongation was caused by an\n increasingly longer growth zone, while maximal strain rates remained\n unchanged. The enlargement of the growth zone and, hence, the\n accelerating root elongation rate, were accompanied by a nearly\n proportionally increased cell production. This increased production was\n caused by increasingly numerous dividing cells, whereas their rates of\n division remained approximately constant. Additionally, the spatial\n profile of cell division rate was essentially constant. The meristem\n was longer than generally assumed, extending well into the region where\n cells elongated rapidly. In the two epidermal cell types, meristem\n length and cell division rate were both very similar to that of\n cortical cells, and differences in cell length between the two\n epidermal cell types originated at the apex of the meristem. These\n results highlight the importance of controlling the number of dividing\n cells, both to generate tissues with different cell lengths and to\n regulate the rate of organ enlargement.","container-title":"Plant Physiology","ISSN":"0032-0889","issue":"4","journalAbbreviation":"Plant Physiol","note":"PMID: 9536070\nPMCID: PMC35060","page":"1515-1526","source":"PubMed Central","title":"Analysis of Cell Division and Elongation Underlying the  Developmental Acceleration of Root Growth in Arabidopsis  thaliana","volume":"116","author":[{"family":"Beemster","given":"Gerrit T.S."},{"family":"Baskin","given":"Tobias I."}],"issued":{"date-parts":[["1998",4]]}}}],"schema":"https://github.com/citation-style-language/schema/raw/master/csl-citation.json"} </w:instrText>
      </w:r>
      <w:r w:rsidRPr="00423AA5">
        <w:rPr>
          <w:rFonts w:eastAsiaTheme="minorEastAsia" w:cs="Times New Roman"/>
          <w:sz w:val="24"/>
          <w:szCs w:val="24"/>
        </w:rPr>
        <w:fldChar w:fldCharType="separate"/>
      </w:r>
      <w:r w:rsidRPr="00423AA5">
        <w:rPr>
          <w:rFonts w:cs="Times New Roman"/>
          <w:sz w:val="24"/>
          <w:szCs w:val="24"/>
        </w:rPr>
        <w:t>(Erickson, 1976; Beemster and Baskin, 1998)</w:t>
      </w:r>
      <w:r w:rsidRPr="00423AA5">
        <w:rPr>
          <w:rFonts w:eastAsiaTheme="minorEastAsia" w:cs="Times New Roman"/>
          <w:sz w:val="24"/>
          <w:szCs w:val="24"/>
        </w:rPr>
        <w:fldChar w:fldCharType="end"/>
      </w:r>
      <w:r w:rsidRPr="00423AA5">
        <w:rPr>
          <w:rFonts w:eastAsiaTheme="minorEastAsia" w:cs="Times New Roman"/>
          <w:sz w:val="24"/>
          <w:szCs w:val="24"/>
        </w:rPr>
        <w:t xml:space="preserve">. </w:t>
      </w:r>
    </w:p>
    <w:p w14:paraId="4B4E9F4C" w14:textId="77777777" w:rsidR="00907642" w:rsidRPr="00423AA5" w:rsidRDefault="00907642" w:rsidP="00907642">
      <w:pPr>
        <w:rPr>
          <w:rFonts w:eastAsiaTheme="minorEastAsia" w:cs="Times New Roman"/>
          <w:sz w:val="24"/>
          <w:szCs w:val="24"/>
        </w:rPr>
      </w:pPr>
      <w:r w:rsidRPr="00423AA5">
        <w:rPr>
          <w:rFonts w:eastAsiaTheme="minorEastAsia"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r>
          <m:rPr>
            <m:sty m:val="p"/>
          </m:rPr>
          <w:rPr>
            <w:rFonts w:ascii="Cambria Math" w:hAnsi="Cambria Math" w:cs="Times New Roman"/>
            <w:sz w:val="24"/>
            <w:szCs w:val="24"/>
          </w:rPr>
          <m:t>P' + ∆</m:t>
        </m:r>
        <m:r>
          <m:rPr>
            <m:sty m:val="p"/>
          </m:rPr>
          <w:rPr>
            <w:rFonts w:ascii="Cambria Math" w:hAnsi="Cambria Math" w:cs="Times New Roman"/>
            <w:sz w:val="24"/>
            <w:szCs w:val="24"/>
            <w:vertAlign w:val="subscript"/>
          </w:rPr>
          <m:t>n</m:t>
        </m:r>
      </m:oMath>
      <w:r w:rsidRPr="00423AA5">
        <w:rPr>
          <w:rFonts w:eastAsiaTheme="minorEastAsia" w:cs="Times New Roman"/>
          <w:sz w:val="24"/>
          <w:szCs w:val="24"/>
        </w:rPr>
        <w:t xml:space="preserve">  (</w:t>
      </w:r>
      <w:proofErr w:type="spellStart"/>
      <w:proofErr w:type="gramStart"/>
      <w:r w:rsidRPr="00423AA5">
        <w:rPr>
          <w:rFonts w:eastAsiaTheme="minorEastAsia" w:cs="Times New Roman"/>
          <w:sz w:val="24"/>
          <w:szCs w:val="24"/>
        </w:rPr>
        <w:t>eqt</w:t>
      </w:r>
      <w:proofErr w:type="spellEnd"/>
      <w:proofErr w:type="gramEnd"/>
      <w:r w:rsidRPr="00423AA5">
        <w:rPr>
          <w:rFonts w:eastAsiaTheme="minorEastAsia" w:cs="Times New Roman"/>
          <w:sz w:val="24"/>
          <w:szCs w:val="24"/>
        </w:rPr>
        <w:t xml:space="preserve"> 8)                       </w:t>
      </w:r>
      <m:oMath>
        <m:r>
          <m:rPr>
            <m:sty m:val="p"/>
          </m:rPr>
          <w:rPr>
            <w:rFonts w:ascii="Cambria Math" w:hAnsi="Cambria Math" w:cs="Times New Roman"/>
            <w:sz w:val="24"/>
            <w:szCs w:val="24"/>
          </w:rPr>
          <m:t>D''</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P' + ∆</m:t>
            </m:r>
            <m:r>
              <m:rPr>
                <m:sty m:val="p"/>
              </m:rPr>
              <w:rPr>
                <w:rFonts w:ascii="Cambria Math" w:hAnsi="Cambria Math" w:cs="Times New Roman"/>
                <w:sz w:val="24"/>
                <w:szCs w:val="24"/>
                <w:vertAlign w:val="subscript"/>
              </w:rPr>
              <m:t xml:space="preserve">n </m:t>
            </m:r>
          </m:num>
          <m:den>
            <m:r>
              <m:rPr>
                <m:sty m:val="p"/>
              </m:rPr>
              <w:rPr>
                <w:rFonts w:ascii="Cambria Math" w:hAnsi="Cambria Math" w:cs="Times New Roman"/>
                <w:sz w:val="24"/>
                <w:szCs w:val="24"/>
              </w:rPr>
              <m:t>N</m:t>
            </m:r>
          </m:den>
        </m:f>
      </m:oMath>
      <w:r w:rsidRPr="00423AA5">
        <w:rPr>
          <w:rFonts w:eastAsiaTheme="minorEastAsia" w:cs="Times New Roman"/>
          <w:sz w:val="24"/>
          <w:szCs w:val="24"/>
        </w:rPr>
        <w:t xml:space="preserve">  (eqt 9)   </w:t>
      </w:r>
    </w:p>
    <w:p w14:paraId="2242167B" w14:textId="77777777" w:rsidR="00907642" w:rsidRPr="00423AA5" w:rsidRDefault="00907642" w:rsidP="00907642">
      <w:pPr>
        <w:rPr>
          <w:rFonts w:cs="Times New Roman"/>
          <w:sz w:val="24"/>
          <w:szCs w:val="24"/>
        </w:rPr>
      </w:pPr>
      <w:r w:rsidRPr="00423AA5">
        <w:rPr>
          <w:rFonts w:cs="Times New Roman"/>
          <w:sz w:val="24"/>
          <w:szCs w:val="24"/>
        </w:rPr>
        <w:t>Where P’ is the cell production rate between 2 successive days, ∆</w:t>
      </w:r>
      <w:r w:rsidRPr="00423AA5">
        <w:rPr>
          <w:rFonts w:cs="Times New Roman"/>
          <w:sz w:val="24"/>
          <w:szCs w:val="24"/>
          <w:vertAlign w:val="subscript"/>
        </w:rPr>
        <w:t>n</w:t>
      </w:r>
      <w:r w:rsidRPr="00423AA5">
        <w:rPr>
          <w:rFonts w:cs="Times New Roman"/>
          <w:sz w:val="24"/>
          <w:szCs w:val="24"/>
        </w:rPr>
        <w:t xml:space="preserve"> is the number of cells produced in the meristem per hour and D” is the cell division rate at a </w:t>
      </w:r>
      <w:proofErr w:type="spellStart"/>
      <w:r w:rsidRPr="00423AA5">
        <w:rPr>
          <w:rFonts w:cs="Times New Roman"/>
          <w:sz w:val="24"/>
          <w:szCs w:val="24"/>
        </w:rPr>
        <w:t xml:space="preserve">non </w:t>
      </w:r>
      <w:proofErr w:type="gramStart"/>
      <w:r w:rsidRPr="00423AA5">
        <w:rPr>
          <w:rFonts w:cs="Times New Roman"/>
          <w:sz w:val="24"/>
          <w:szCs w:val="24"/>
        </w:rPr>
        <w:t>steady</w:t>
      </w:r>
      <w:proofErr w:type="spellEnd"/>
      <w:r w:rsidRPr="00423AA5">
        <w:rPr>
          <w:rFonts w:cs="Times New Roman"/>
          <w:sz w:val="24"/>
          <w:szCs w:val="24"/>
        </w:rPr>
        <w:t>-state</w:t>
      </w:r>
      <w:proofErr w:type="gramEnd"/>
      <w:r w:rsidRPr="00423AA5">
        <w:rPr>
          <w:rFonts w:cs="Times New Roman"/>
          <w:sz w:val="24"/>
          <w:szCs w:val="24"/>
        </w:rPr>
        <w:t xml:space="preserve">. This method was tested by comparing its output with the classical method during steady growth. The effect of this transformation is illustrated by full lines in </w:t>
      </w:r>
      <w:r w:rsidRPr="00423AA5">
        <w:rPr>
          <w:rFonts w:cs="Times New Roman"/>
          <w:b/>
          <w:bCs/>
          <w:sz w:val="24"/>
          <w:szCs w:val="24"/>
        </w:rPr>
        <w:t>Figure 8b &amp; d</w:t>
      </w:r>
      <w:r w:rsidRPr="00423AA5">
        <w:rPr>
          <w:rFonts w:cs="Times New Roman"/>
          <w:sz w:val="24"/>
          <w:szCs w:val="24"/>
        </w:rPr>
        <w:t>.</w:t>
      </w:r>
    </w:p>
    <w:p w14:paraId="390D2423" w14:textId="5AE8AF6B" w:rsidR="00CF726E" w:rsidRPr="00423AA5" w:rsidRDefault="00CF726E" w:rsidP="00907642">
      <w:pPr>
        <w:jc w:val="left"/>
        <w:rPr>
          <w:rFonts w:cs="Times New Roman"/>
          <w:b/>
          <w:bCs/>
          <w:sz w:val="24"/>
          <w:szCs w:val="24"/>
        </w:rPr>
      </w:pPr>
    </w:p>
    <w:sectPr w:rsidR="00CF726E" w:rsidRPr="00423A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48FA9" w14:textId="77777777" w:rsidR="00D371E8" w:rsidRDefault="00D371E8" w:rsidP="00D142E8">
      <w:pPr>
        <w:spacing w:after="0" w:line="240" w:lineRule="auto"/>
      </w:pPr>
      <w:r>
        <w:separator/>
      </w:r>
    </w:p>
  </w:endnote>
  <w:endnote w:type="continuationSeparator" w:id="0">
    <w:p w14:paraId="09C0833E" w14:textId="77777777" w:rsidR="00D371E8" w:rsidRDefault="00D371E8" w:rsidP="00D14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989222"/>
      <w:docPartObj>
        <w:docPartGallery w:val="Page Numbers (Bottom of Page)"/>
        <w:docPartUnique/>
      </w:docPartObj>
    </w:sdtPr>
    <w:sdtEndPr>
      <w:rPr>
        <w:noProof/>
      </w:rPr>
    </w:sdtEndPr>
    <w:sdtContent>
      <w:p w14:paraId="31B2E910" w14:textId="31964254" w:rsidR="00D142E8" w:rsidRDefault="00D142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ABBE9B" w14:textId="77777777" w:rsidR="00D142E8" w:rsidRDefault="00D14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72F28" w14:textId="77777777" w:rsidR="00D371E8" w:rsidRDefault="00D371E8" w:rsidP="00D142E8">
      <w:pPr>
        <w:spacing w:after="0" w:line="240" w:lineRule="auto"/>
      </w:pPr>
      <w:r>
        <w:separator/>
      </w:r>
    </w:p>
  </w:footnote>
  <w:footnote w:type="continuationSeparator" w:id="0">
    <w:p w14:paraId="3B123F8C" w14:textId="77777777" w:rsidR="00D371E8" w:rsidRDefault="00D371E8" w:rsidP="00D14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60BA1"/>
    <w:multiLevelType w:val="hybridMultilevel"/>
    <w:tmpl w:val="9B46430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66278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WwNLMwMTU2NDMwNDdT0lEKTi0uzszPAykwqQUAyC/ZaSwAAAA="/>
  </w:docVars>
  <w:rsids>
    <w:rsidRoot w:val="002F7740"/>
    <w:rsid w:val="001364C5"/>
    <w:rsid w:val="002F7740"/>
    <w:rsid w:val="00423AA5"/>
    <w:rsid w:val="004C4E71"/>
    <w:rsid w:val="00580E21"/>
    <w:rsid w:val="00907642"/>
    <w:rsid w:val="00A85EEA"/>
    <w:rsid w:val="00B421C8"/>
    <w:rsid w:val="00C64739"/>
    <w:rsid w:val="00CF726E"/>
    <w:rsid w:val="00D142E8"/>
    <w:rsid w:val="00D371E8"/>
    <w:rsid w:val="00E24F74"/>
    <w:rsid w:val="00F966C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EC17"/>
  <w15:chartTrackingRefBased/>
  <w15:docId w15:val="{A13AE087-0E09-45B0-9827-8AA19BBB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739"/>
    <w:pPr>
      <w:jc w:val="both"/>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642"/>
    <w:pPr>
      <w:ind w:left="720"/>
      <w:contextualSpacing/>
    </w:pPr>
  </w:style>
  <w:style w:type="character" w:customStyle="1" w:styleId="captions">
    <w:name w:val="captions"/>
    <w:basedOn w:val="DefaultParagraphFont"/>
    <w:rsid w:val="00907642"/>
  </w:style>
  <w:style w:type="table" w:styleId="GridTable1Light">
    <w:name w:val="Grid Table 1 Light"/>
    <w:basedOn w:val="TableNormal"/>
    <w:uiPriority w:val="46"/>
    <w:rsid w:val="009076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142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2E8"/>
    <w:rPr>
      <w:rFonts w:ascii="Times New Roman" w:hAnsi="Times New Roman"/>
      <w:lang w:val="en-GB"/>
    </w:rPr>
  </w:style>
  <w:style w:type="paragraph" w:styleId="Footer">
    <w:name w:val="footer"/>
    <w:basedOn w:val="Normal"/>
    <w:link w:val="FooterChar"/>
    <w:uiPriority w:val="99"/>
    <w:unhideWhenUsed/>
    <w:rsid w:val="00D14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2E8"/>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uantwerpen-my.sharepoint.com/personal/claine_ad_ua_ac_be/Documents/Bureaublad/Chapter%202%20Kinematics/2023-06%20Kinematics%20results%20graph%20stat%20+%20non%20steady%20stat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1" i="0" u="none" strike="noStrike" kern="1200" baseline="0">
                <a:solidFill>
                  <a:schemeClr val="tx1"/>
                </a:solidFill>
                <a:latin typeface="+mn-lt"/>
                <a:ea typeface="+mn-ea"/>
                <a:cs typeface="+mn-cs"/>
              </a:defRPr>
            </a:pPr>
            <a:r>
              <a:rPr lang="en-US"/>
              <a:t>Number of cells</a:t>
            </a:r>
          </a:p>
          <a:p>
            <a:pPr>
              <a:defRPr/>
            </a:pPr>
            <a:r>
              <a:rPr lang="en-US"/>
              <a:t> in a 2cm meristem (N)</a:t>
            </a:r>
            <a:endParaRPr lang="en-NL"/>
          </a:p>
        </c:rich>
      </c:tx>
      <c:overlay val="0"/>
      <c:spPr>
        <a:noFill/>
        <a:ln>
          <a:noFill/>
        </a:ln>
        <a:effectLst/>
      </c:spPr>
      <c:txPr>
        <a:bodyPr rot="0" spcFirstLastPara="1" vertOverflow="ellipsis" vert="horz" wrap="square" anchor="ctr" anchorCtr="1"/>
        <a:lstStyle/>
        <a:p>
          <a:pPr>
            <a:defRPr sz="840" b="1" i="0" u="none" strike="noStrike" kern="1200" baseline="0">
              <a:solidFill>
                <a:schemeClr val="tx1"/>
              </a:solidFill>
              <a:latin typeface="+mn-lt"/>
              <a:ea typeface="+mn-ea"/>
              <a:cs typeface="+mn-cs"/>
            </a:defRPr>
          </a:pPr>
          <a:endParaRPr lang="en-NL"/>
        </a:p>
      </c:txPr>
    </c:title>
    <c:autoTitleDeleted val="0"/>
    <c:plotArea>
      <c:layout>
        <c:manualLayout>
          <c:layoutTarget val="inner"/>
          <c:xMode val="edge"/>
          <c:yMode val="edge"/>
          <c:x val="0.19106049548684464"/>
          <c:y val="0.22059262329050969"/>
          <c:w val="0.72472978682542732"/>
          <c:h val="0.62435438991178738"/>
        </c:manualLayout>
      </c:layout>
      <c:scatterChart>
        <c:scatterStyle val="lineMarker"/>
        <c:varyColors val="0"/>
        <c:ser>
          <c:idx val="1"/>
          <c:order val="0"/>
          <c:tx>
            <c:strRef>
              <c:f>'[1]Graph per parameter 2cm'!$AB$29</c:f>
              <c:strCache>
                <c:ptCount val="1"/>
                <c:pt idx="0">
                  <c:v>Cold D3</c:v>
                </c:pt>
              </c:strCache>
            </c:strRef>
          </c:tx>
          <c:spPr>
            <a:ln w="19050" cap="rnd" cmpd="sng" algn="ctr">
              <a:solidFill>
                <a:srgbClr val="0070C0"/>
              </a:solidFill>
              <a:prstDash val="solid"/>
              <a:round/>
            </a:ln>
            <a:effectLst/>
          </c:spPr>
          <c:marker>
            <c:symbol val="none"/>
          </c:marker>
          <c:errBars>
            <c:errDir val="y"/>
            <c:errBarType val="both"/>
            <c:errValType val="cust"/>
            <c:noEndCap val="0"/>
            <c:plus>
              <c:numRef>
                <c:f>'[1]Graph per parameter 2cm'!$AI$29:$AN$29</c:f>
                <c:numCache>
                  <c:formatCode>General</c:formatCode>
                  <c:ptCount val="6"/>
                  <c:pt idx="3">
                    <c:v>22.892960851074502</c:v>
                  </c:pt>
                  <c:pt idx="4">
                    <c:v>10.557399899868612</c:v>
                  </c:pt>
                  <c:pt idx="5">
                    <c:v>26.211592563454907</c:v>
                  </c:pt>
                </c:numCache>
              </c:numRef>
            </c:plus>
            <c:minus>
              <c:numRef>
                <c:f>'[1]Graph per parameter 2cm'!$AI$29:$AN$29</c:f>
                <c:numCache>
                  <c:formatCode>General</c:formatCode>
                  <c:ptCount val="6"/>
                  <c:pt idx="3">
                    <c:v>22.892960851074502</c:v>
                  </c:pt>
                  <c:pt idx="4">
                    <c:v>10.557399899868612</c:v>
                  </c:pt>
                  <c:pt idx="5">
                    <c:v>26.211592563454907</c:v>
                  </c:pt>
                </c:numCache>
              </c:numRef>
            </c:minus>
            <c:spPr>
              <a:solidFill>
                <a:schemeClr val="tx1"/>
              </a:solidFill>
              <a:ln w="6350" cap="flat" cmpd="sng" algn="ctr">
                <a:solidFill>
                  <a:schemeClr val="tx1"/>
                </a:solidFill>
                <a:prstDash val="solid"/>
                <a:round/>
              </a:ln>
              <a:effectLst/>
            </c:spPr>
          </c:errBars>
          <c:xVal>
            <c:numRef>
              <c:f>'[1]Graph per parameter 2cm'!$C$22:$H$22</c:f>
              <c:numCache>
                <c:formatCode>General</c:formatCode>
                <c:ptCount val="6"/>
                <c:pt idx="0">
                  <c:v>0</c:v>
                </c:pt>
                <c:pt idx="1">
                  <c:v>1</c:v>
                </c:pt>
                <c:pt idx="2">
                  <c:v>2</c:v>
                </c:pt>
                <c:pt idx="3">
                  <c:v>3</c:v>
                </c:pt>
                <c:pt idx="4">
                  <c:v>4</c:v>
                </c:pt>
                <c:pt idx="5">
                  <c:v>5</c:v>
                </c:pt>
              </c:numCache>
            </c:numRef>
          </c:xVal>
          <c:yVal>
            <c:numRef>
              <c:f>'[1]Graph per parameter 2cm'!$AC$29:$AH$29</c:f>
              <c:numCache>
                <c:formatCode>General</c:formatCode>
                <c:ptCount val="6"/>
                <c:pt idx="3">
                  <c:v>977.71954301428559</c:v>
                </c:pt>
                <c:pt idx="4">
                  <c:v>896.42376419985396</c:v>
                </c:pt>
                <c:pt idx="5">
                  <c:v>893.09528078059566</c:v>
                </c:pt>
              </c:numCache>
            </c:numRef>
          </c:yVal>
          <c:smooth val="0"/>
          <c:extLst>
            <c:ext xmlns:c16="http://schemas.microsoft.com/office/drawing/2014/chart" uri="{C3380CC4-5D6E-409C-BE32-E72D297353CC}">
              <c16:uniqueId val="{00000000-06CF-4758-8C7F-32688E015B2B}"/>
            </c:ext>
          </c:extLst>
        </c:ser>
        <c:ser>
          <c:idx val="2"/>
          <c:order val="1"/>
          <c:tx>
            <c:strRef>
              <c:f>'[1]Graph per parameter 2cm'!$O$29</c:f>
              <c:strCache>
                <c:ptCount val="1"/>
                <c:pt idx="0">
                  <c:v>Cold D0</c:v>
                </c:pt>
              </c:strCache>
            </c:strRef>
          </c:tx>
          <c:spPr>
            <a:ln w="19050" cap="rnd" cmpd="sng" algn="ctr">
              <a:solidFill>
                <a:srgbClr val="00B0F0"/>
              </a:solidFill>
              <a:prstDash val="solid"/>
              <a:round/>
            </a:ln>
            <a:effectLst/>
          </c:spPr>
          <c:marker>
            <c:symbol val="none"/>
          </c:marker>
          <c:errBars>
            <c:errDir val="y"/>
            <c:errBarType val="both"/>
            <c:errValType val="cust"/>
            <c:noEndCap val="0"/>
            <c:plus>
              <c:numRef>
                <c:f>'[1]Graph per parameter 2cm'!$V$29:$AN$29</c:f>
                <c:numCache>
                  <c:formatCode>General</c:formatCode>
                  <c:ptCount val="19"/>
                  <c:pt idx="0">
                    <c:v>18.075179781274691</c:v>
                  </c:pt>
                  <c:pt idx="1">
                    <c:v>39.492996805199525</c:v>
                  </c:pt>
                  <c:pt idx="2">
                    <c:v>24.002234671705253</c:v>
                  </c:pt>
                  <c:pt idx="6">
                    <c:v>0</c:v>
                  </c:pt>
                  <c:pt idx="10">
                    <c:v>977.71954301428559</c:v>
                  </c:pt>
                  <c:pt idx="11">
                    <c:v>896.42376419985396</c:v>
                  </c:pt>
                  <c:pt idx="12">
                    <c:v>893.09528078059566</c:v>
                  </c:pt>
                  <c:pt idx="16">
                    <c:v>22.892960851074502</c:v>
                  </c:pt>
                  <c:pt idx="17">
                    <c:v>10.557399899868612</c:v>
                  </c:pt>
                  <c:pt idx="18">
                    <c:v>26.211592563454907</c:v>
                  </c:pt>
                </c:numCache>
              </c:numRef>
            </c:plus>
            <c:minus>
              <c:numRef>
                <c:f>'[1]Graph per parameter 2cm'!$V$29:$AN$29</c:f>
                <c:numCache>
                  <c:formatCode>General</c:formatCode>
                  <c:ptCount val="19"/>
                  <c:pt idx="0">
                    <c:v>18.075179781274691</c:v>
                  </c:pt>
                  <c:pt idx="1">
                    <c:v>39.492996805199525</c:v>
                  </c:pt>
                  <c:pt idx="2">
                    <c:v>24.002234671705253</c:v>
                  </c:pt>
                  <c:pt idx="6">
                    <c:v>0</c:v>
                  </c:pt>
                  <c:pt idx="10">
                    <c:v>977.71954301428559</c:v>
                  </c:pt>
                  <c:pt idx="11">
                    <c:v>896.42376419985396</c:v>
                  </c:pt>
                  <c:pt idx="12">
                    <c:v>893.09528078059566</c:v>
                  </c:pt>
                  <c:pt idx="16">
                    <c:v>22.892960851074502</c:v>
                  </c:pt>
                  <c:pt idx="17">
                    <c:v>10.557399899868612</c:v>
                  </c:pt>
                  <c:pt idx="18">
                    <c:v>26.211592563454907</c:v>
                  </c:pt>
                </c:numCache>
              </c:numRef>
            </c:minus>
            <c:spPr>
              <a:noFill/>
              <a:ln w="9525" cap="flat" cmpd="sng" algn="ctr">
                <a:solidFill>
                  <a:schemeClr val="tx1">
                    <a:lumMod val="65000"/>
                    <a:lumOff val="35000"/>
                  </a:schemeClr>
                </a:solidFill>
                <a:prstDash val="solid"/>
                <a:round/>
              </a:ln>
              <a:effectLst/>
            </c:spPr>
          </c:errBars>
          <c:xVal>
            <c:numRef>
              <c:f>'[1]Graph per parameter 2cm'!$C$22:$H$22</c:f>
              <c:numCache>
                <c:formatCode>General</c:formatCode>
                <c:ptCount val="6"/>
                <c:pt idx="0">
                  <c:v>0</c:v>
                </c:pt>
                <c:pt idx="1">
                  <c:v>1</c:v>
                </c:pt>
                <c:pt idx="2">
                  <c:v>2</c:v>
                </c:pt>
                <c:pt idx="3">
                  <c:v>3</c:v>
                </c:pt>
                <c:pt idx="4">
                  <c:v>4</c:v>
                </c:pt>
                <c:pt idx="5">
                  <c:v>5</c:v>
                </c:pt>
              </c:numCache>
            </c:numRef>
          </c:xVal>
          <c:yVal>
            <c:numRef>
              <c:f>'[1]Graph per parameter 2cm'!$P$29:$U$29</c:f>
              <c:numCache>
                <c:formatCode>General</c:formatCode>
                <c:ptCount val="6"/>
                <c:pt idx="0">
                  <c:v>765.49461745011729</c:v>
                </c:pt>
                <c:pt idx="1">
                  <c:v>703.18010226666672</c:v>
                </c:pt>
                <c:pt idx="2">
                  <c:v>854.07791746113787</c:v>
                </c:pt>
              </c:numCache>
            </c:numRef>
          </c:yVal>
          <c:smooth val="0"/>
          <c:extLst>
            <c:ext xmlns:c16="http://schemas.microsoft.com/office/drawing/2014/chart" uri="{C3380CC4-5D6E-409C-BE32-E72D297353CC}">
              <c16:uniqueId val="{00000001-06CF-4758-8C7F-32688E015B2B}"/>
            </c:ext>
          </c:extLst>
        </c:ser>
        <c:ser>
          <c:idx val="0"/>
          <c:order val="2"/>
          <c:tx>
            <c:strRef>
              <c:f>'[1]Graph per parameter 2cm'!$B$29</c:f>
              <c:strCache>
                <c:ptCount val="1"/>
                <c:pt idx="0">
                  <c:v>Control</c:v>
                </c:pt>
              </c:strCache>
            </c:strRef>
          </c:tx>
          <c:spPr>
            <a:ln w="19050" cap="rnd" cmpd="sng" algn="ctr">
              <a:solidFill>
                <a:schemeClr val="accent6"/>
              </a:solidFill>
              <a:prstDash val="solid"/>
              <a:round/>
            </a:ln>
            <a:effectLst/>
          </c:spPr>
          <c:marker>
            <c:symbol val="none"/>
          </c:marker>
          <c:errBars>
            <c:errDir val="y"/>
            <c:errBarType val="both"/>
            <c:errValType val="cust"/>
            <c:noEndCap val="0"/>
            <c:plus>
              <c:numRef>
                <c:f>'[1]Graph per parameter 2cm'!$I$29:$N$29</c:f>
                <c:numCache>
                  <c:formatCode>General</c:formatCode>
                  <c:ptCount val="6"/>
                  <c:pt idx="0">
                    <c:v>20.061120164581084</c:v>
                  </c:pt>
                  <c:pt idx="1">
                    <c:v>19.988508683398376</c:v>
                  </c:pt>
                  <c:pt idx="2">
                    <c:v>23.968742127147269</c:v>
                  </c:pt>
                  <c:pt idx="3">
                    <c:v>39.074888687969995</c:v>
                  </c:pt>
                  <c:pt idx="4">
                    <c:v>29.705485209428247</c:v>
                  </c:pt>
                  <c:pt idx="5">
                    <c:v>54.338384635299875</c:v>
                  </c:pt>
                </c:numCache>
              </c:numRef>
            </c:plus>
            <c:minus>
              <c:numRef>
                <c:f>'[1]Graph per parameter 2cm'!$I$29:$N$29</c:f>
                <c:numCache>
                  <c:formatCode>General</c:formatCode>
                  <c:ptCount val="6"/>
                  <c:pt idx="0">
                    <c:v>20.061120164581084</c:v>
                  </c:pt>
                  <c:pt idx="1">
                    <c:v>19.988508683398376</c:v>
                  </c:pt>
                  <c:pt idx="2">
                    <c:v>23.968742127147269</c:v>
                  </c:pt>
                  <c:pt idx="3">
                    <c:v>39.074888687969995</c:v>
                  </c:pt>
                  <c:pt idx="4">
                    <c:v>29.705485209428247</c:v>
                  </c:pt>
                  <c:pt idx="5">
                    <c:v>54.338384635299875</c:v>
                  </c:pt>
                </c:numCache>
              </c:numRef>
            </c:minus>
            <c:spPr>
              <a:noFill/>
              <a:ln w="9525" cap="flat" cmpd="sng" algn="ctr">
                <a:solidFill>
                  <a:schemeClr val="tx1">
                    <a:lumMod val="65000"/>
                    <a:lumOff val="35000"/>
                  </a:schemeClr>
                </a:solidFill>
                <a:prstDash val="solid"/>
                <a:round/>
              </a:ln>
              <a:effectLst/>
            </c:spPr>
          </c:errBars>
          <c:xVal>
            <c:numRef>
              <c:f>'[1]Graph per parameter 2cm'!$C$22:$H$22</c:f>
              <c:numCache>
                <c:formatCode>General</c:formatCode>
                <c:ptCount val="6"/>
                <c:pt idx="0">
                  <c:v>0</c:v>
                </c:pt>
                <c:pt idx="1">
                  <c:v>1</c:v>
                </c:pt>
                <c:pt idx="2">
                  <c:v>2</c:v>
                </c:pt>
                <c:pt idx="3">
                  <c:v>3</c:v>
                </c:pt>
                <c:pt idx="4">
                  <c:v>4</c:v>
                </c:pt>
                <c:pt idx="5">
                  <c:v>5</c:v>
                </c:pt>
              </c:numCache>
            </c:numRef>
          </c:xVal>
          <c:yVal>
            <c:numRef>
              <c:f>'[1]Graph per parameter 2cm'!$C$29:$H$29</c:f>
              <c:numCache>
                <c:formatCode>General</c:formatCode>
                <c:ptCount val="6"/>
                <c:pt idx="0">
                  <c:v>642.27177724255296</c:v>
                </c:pt>
                <c:pt idx="1">
                  <c:v>761.37153410000008</c:v>
                </c:pt>
                <c:pt idx="2">
                  <c:v>860.63153723606604</c:v>
                </c:pt>
                <c:pt idx="3">
                  <c:v>812.08861469262354</c:v>
                </c:pt>
                <c:pt idx="4">
                  <c:v>1067.2570446325449</c:v>
                </c:pt>
                <c:pt idx="5">
                  <c:v>917.75423255884868</c:v>
                </c:pt>
              </c:numCache>
            </c:numRef>
          </c:yVal>
          <c:smooth val="0"/>
          <c:extLst>
            <c:ext xmlns:c16="http://schemas.microsoft.com/office/drawing/2014/chart" uri="{C3380CC4-5D6E-409C-BE32-E72D297353CC}">
              <c16:uniqueId val="{00000002-06CF-4758-8C7F-32688E015B2B}"/>
            </c:ext>
          </c:extLst>
        </c:ser>
        <c:dLbls>
          <c:showLegendKey val="0"/>
          <c:showVal val="0"/>
          <c:showCatName val="0"/>
          <c:showSerName val="0"/>
          <c:showPercent val="0"/>
          <c:showBubbleSize val="0"/>
        </c:dLbls>
        <c:axId val="78946783"/>
        <c:axId val="78942623"/>
      </c:scatterChart>
      <c:valAx>
        <c:axId val="78946783"/>
        <c:scaling>
          <c:orientation val="minMax"/>
          <c:max val="5"/>
        </c:scaling>
        <c:delete val="0"/>
        <c:axPos val="b"/>
        <c:title>
          <c:tx>
            <c:rich>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r>
                  <a:rPr lang="en-GB"/>
                  <a:t>Day after leaf emergence</a:t>
                </a:r>
              </a:p>
            </c:rich>
          </c:tx>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n-NL"/>
            </a:p>
          </c:tx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NL"/>
          </a:p>
        </c:txPr>
        <c:crossAx val="78942623"/>
        <c:crosses val="autoZero"/>
        <c:crossBetween val="midCat"/>
        <c:majorUnit val="1"/>
      </c:valAx>
      <c:valAx>
        <c:axId val="78942623"/>
        <c:scaling>
          <c:orientation val="minMax"/>
          <c:min val="0"/>
        </c:scaling>
        <c:delete val="0"/>
        <c:axPos val="l"/>
        <c:title>
          <c:tx>
            <c:rich>
              <a:bodyPr rot="-5400000" spcFirstLastPara="1" vertOverflow="ellipsis" vert="horz" wrap="square" anchor="ctr" anchorCtr="1"/>
              <a:lstStyle/>
              <a:p>
                <a:pPr>
                  <a:defRPr sz="700" b="1" i="0" u="none" strike="noStrike" kern="1200" baseline="0">
                    <a:solidFill>
                      <a:schemeClr val="tx1"/>
                    </a:solidFill>
                    <a:latin typeface="+mn-lt"/>
                    <a:ea typeface="+mn-ea"/>
                    <a:cs typeface="+mn-cs"/>
                  </a:defRPr>
                </a:pPr>
                <a:r>
                  <a:rPr lang="en-GB"/>
                  <a:t>Nmer (cells)</a:t>
                </a:r>
              </a:p>
            </c:rich>
          </c:tx>
          <c:layout>
            <c:manualLayout>
              <c:xMode val="edge"/>
              <c:yMode val="edge"/>
              <c:x val="4.3392515713557463E-3"/>
              <c:y val="0.33473210618483529"/>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n-NL"/>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NL"/>
          </a:p>
        </c:txPr>
        <c:crossAx val="78946783"/>
        <c:crosses val="autoZero"/>
        <c:crossBetween val="midCat"/>
      </c:valAx>
      <c:spPr>
        <a:solidFill>
          <a:schemeClr val="bg1"/>
        </a:solidFill>
        <a:ln>
          <a:noFill/>
        </a:ln>
        <a:effectLst/>
      </c:spPr>
    </c:plotArea>
    <c:legend>
      <c:legendPos val="r"/>
      <c:layout>
        <c:manualLayout>
          <c:xMode val="edge"/>
          <c:yMode val="edge"/>
          <c:x val="0.56256567486586295"/>
          <c:y val="0.4939535713375634"/>
          <c:w val="0.30764081480965322"/>
          <c:h val="0.280765996483449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NL"/>
        </a:p>
      </c:txPr>
    </c:legend>
    <c:plotVisOnly val="1"/>
    <c:dispBlanksAs val="gap"/>
    <c:showDLblsOverMax val="0"/>
    <c:extLst/>
  </c:chart>
  <c:spPr>
    <a:solidFill>
      <a:schemeClr val="bg1"/>
    </a:solidFill>
    <a:ln w="6350" cap="flat" cmpd="sng" algn="ctr">
      <a:solidFill>
        <a:schemeClr val="tx1">
          <a:tint val="75000"/>
        </a:schemeClr>
      </a:solidFill>
      <a:prstDash val="solid"/>
      <a:round/>
    </a:ln>
    <a:effectLst/>
  </c:spPr>
  <c:txPr>
    <a:bodyPr/>
    <a:lstStyle/>
    <a:p>
      <a:pPr>
        <a:defRPr sz="700"/>
      </a:pPr>
      <a:endParaRPr lang="en-N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cdr:x>
      <cdr:y>0</cdr:y>
    </cdr:from>
    <cdr:to>
      <cdr:x>0.21813</cdr:x>
      <cdr:y>0.16793</cdr:y>
    </cdr:to>
    <cdr:sp macro="" textlink="">
      <cdr:nvSpPr>
        <cdr:cNvPr id="2" name="Text Box 1"/>
        <cdr:cNvSpPr txBox="1"/>
      </cdr:nvSpPr>
      <cdr:spPr>
        <a:xfrm xmlns:a="http://schemas.openxmlformats.org/drawingml/2006/main">
          <a:off x="-1013254" y="0"/>
          <a:ext cx="469557" cy="3295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t>(a)</a:t>
          </a:r>
          <a:endParaRPr lang="en-NL"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2655</Words>
  <Characters>15136</Characters>
  <Application>Microsoft Office Word</Application>
  <DocSecurity>0</DocSecurity>
  <Lines>126</Lines>
  <Paragraphs>35</Paragraphs>
  <ScaleCrop>false</ScaleCrop>
  <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Lainé</dc:creator>
  <cp:keywords/>
  <dc:description/>
  <cp:lastModifiedBy>Cindy Lainé</cp:lastModifiedBy>
  <cp:revision>12</cp:revision>
  <cp:lastPrinted>2023-07-29T10:08:00Z</cp:lastPrinted>
  <dcterms:created xsi:type="dcterms:W3CDTF">2023-07-29T09:34:00Z</dcterms:created>
  <dcterms:modified xsi:type="dcterms:W3CDTF">2023-09-12T13:18:00Z</dcterms:modified>
</cp:coreProperties>
</file>