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B1836" w14:textId="77777777" w:rsidR="00B8795A" w:rsidRPr="00B8795A" w:rsidRDefault="00B8795A" w:rsidP="00AB0D78">
      <w:pPr>
        <w:snapToGrid w:val="0"/>
        <w:spacing w:line="360" w:lineRule="auto"/>
        <w:rPr>
          <w:rFonts w:cs="Times New Roman"/>
          <w:b/>
          <w:szCs w:val="24"/>
        </w:rPr>
      </w:pPr>
      <w:bookmarkStart w:id="0" w:name="_Hlk93589996"/>
      <w:bookmarkStart w:id="1" w:name="_Hlk109915456"/>
      <w:r w:rsidRPr="00B8795A">
        <w:rPr>
          <w:rFonts w:cs="Times New Roman"/>
          <w:b/>
          <w:szCs w:val="24"/>
        </w:rPr>
        <w:t>Supplementary methods</w:t>
      </w:r>
    </w:p>
    <w:bookmarkEnd w:id="0"/>
    <w:bookmarkEnd w:id="1"/>
    <w:p w14:paraId="17888BF2" w14:textId="77777777" w:rsidR="00B228CA" w:rsidRPr="00A920E0" w:rsidRDefault="00B228CA" w:rsidP="00AB0D78">
      <w:pPr>
        <w:snapToGrid w:val="0"/>
        <w:spacing w:line="480" w:lineRule="auto"/>
        <w:rPr>
          <w:rFonts w:cs="Times New Roman"/>
          <w:szCs w:val="24"/>
        </w:rPr>
      </w:pPr>
    </w:p>
    <w:p w14:paraId="6C6D8D64" w14:textId="7FAE0726" w:rsidR="00B228CA" w:rsidRPr="00A920E0" w:rsidRDefault="0045451E" w:rsidP="00296D63">
      <w:pPr>
        <w:snapToGrid w:val="0"/>
        <w:spacing w:line="360" w:lineRule="auto"/>
        <w:rPr>
          <w:rFonts w:cs="Times New Roman"/>
          <w:b/>
          <w:i/>
          <w:iCs/>
          <w:szCs w:val="24"/>
        </w:rPr>
      </w:pPr>
      <w:r w:rsidRPr="00A920E0">
        <w:rPr>
          <w:rFonts w:cs="Times New Roman"/>
          <w:b/>
          <w:i/>
          <w:iCs/>
          <w:szCs w:val="24"/>
        </w:rPr>
        <w:t>Surgical procedures</w:t>
      </w:r>
    </w:p>
    <w:p w14:paraId="41D6244C" w14:textId="64D6EC66" w:rsidR="00B228CA" w:rsidRDefault="0045451E" w:rsidP="00296D63">
      <w:pPr>
        <w:snapToGrid w:val="0"/>
        <w:spacing w:line="360" w:lineRule="auto"/>
        <w:rPr>
          <w:rFonts w:cs="Times New Roman"/>
          <w:szCs w:val="24"/>
        </w:rPr>
      </w:pPr>
      <w:r w:rsidRPr="00A920E0">
        <w:rPr>
          <w:rFonts w:cs="Times New Roman"/>
          <w:szCs w:val="24"/>
        </w:rPr>
        <w:t xml:space="preserve">We selected the type of pancreatic resection based on tumor location. Open PD with lymph node dissections was usually performed on cases of pancreatic head cancer during this study period. </w:t>
      </w:r>
      <w:r w:rsidR="009D6A8C" w:rsidRPr="00A920E0">
        <w:rPr>
          <w:rFonts w:cs="Times New Roman"/>
          <w:szCs w:val="24"/>
        </w:rPr>
        <w:t xml:space="preserve">Reconstruction was typically performed </w:t>
      </w:r>
      <w:r w:rsidR="00CD0ADE" w:rsidRPr="00A920E0">
        <w:rPr>
          <w:rFonts w:cs="Times New Roman"/>
          <w:szCs w:val="24"/>
        </w:rPr>
        <w:t>using</w:t>
      </w:r>
      <w:r w:rsidR="009D6A8C" w:rsidRPr="00A920E0">
        <w:rPr>
          <w:rFonts w:cs="Times New Roman"/>
          <w:szCs w:val="24"/>
        </w:rPr>
        <w:t xml:space="preserve"> a modified Child’s </w:t>
      </w:r>
      <w:r w:rsidR="00403269" w:rsidRPr="00A920E0">
        <w:rPr>
          <w:rFonts w:cs="Times New Roman"/>
          <w:szCs w:val="24"/>
        </w:rPr>
        <w:t xml:space="preserve">method with an end-to-side </w:t>
      </w:r>
      <w:proofErr w:type="spellStart"/>
      <w:r w:rsidR="00403269" w:rsidRPr="00A920E0">
        <w:rPr>
          <w:rFonts w:cs="Times New Roman"/>
        </w:rPr>
        <w:t>pancreaticojejunostomy</w:t>
      </w:r>
      <w:proofErr w:type="spellEnd"/>
      <w:r w:rsidR="00403269" w:rsidRPr="00A920E0">
        <w:rPr>
          <w:rFonts w:cs="Times New Roman"/>
        </w:rPr>
        <w:t xml:space="preserve"> and an end-to-side </w:t>
      </w:r>
      <w:proofErr w:type="spellStart"/>
      <w:r w:rsidR="00403269" w:rsidRPr="00A920E0">
        <w:rPr>
          <w:rFonts w:cs="Times New Roman"/>
        </w:rPr>
        <w:t>choledochojejunostomy</w:t>
      </w:r>
      <w:proofErr w:type="spellEnd"/>
      <w:r w:rsidR="00403269" w:rsidRPr="00A920E0">
        <w:rPr>
          <w:rFonts w:cs="Times New Roman"/>
        </w:rPr>
        <w:t>.</w:t>
      </w:r>
      <w:r w:rsidR="00403269" w:rsidRPr="00A920E0">
        <w:rPr>
          <w:rFonts w:cs="Times New Roman"/>
          <w:szCs w:val="24"/>
        </w:rPr>
        <w:t xml:space="preserve"> All </w:t>
      </w:r>
      <w:proofErr w:type="spellStart"/>
      <w:r w:rsidR="00403269" w:rsidRPr="00A920E0">
        <w:rPr>
          <w:rFonts w:cs="Times New Roman"/>
        </w:rPr>
        <w:t>pancreaticojejunostomy</w:t>
      </w:r>
      <w:proofErr w:type="spellEnd"/>
      <w:r w:rsidR="00403269" w:rsidRPr="00A920E0">
        <w:rPr>
          <w:rFonts w:cs="Times New Roman"/>
        </w:rPr>
        <w:t xml:space="preserve"> </w:t>
      </w:r>
      <w:r w:rsidR="00403269" w:rsidRPr="00A920E0">
        <w:rPr>
          <w:rFonts w:cs="Times New Roman"/>
          <w:szCs w:val="24"/>
        </w:rPr>
        <w:t>anastomoses were performed using a duct-to-mucosa technique</w:t>
      </w:r>
      <w:r w:rsidR="00EF18B4" w:rsidRPr="00A920E0">
        <w:rPr>
          <w:rFonts w:cs="Times New Roman"/>
          <w:szCs w:val="24"/>
        </w:rPr>
        <w:t xml:space="preserve">. </w:t>
      </w:r>
      <w:r w:rsidRPr="00A920E0">
        <w:rPr>
          <w:rFonts w:cs="Times New Roman"/>
          <w:szCs w:val="24"/>
        </w:rPr>
        <w:t xml:space="preserve">In cases of pancreatic body and tail cancer, open or minimally invasive distal pancreatectomy (DP) was performed with lymph node dissections. If we detected a swelling paraaortic lymph node, we generally performed paraaortic lymph node sampling during </w:t>
      </w:r>
      <w:proofErr w:type="gramStart"/>
      <w:r w:rsidRPr="00A920E0">
        <w:rPr>
          <w:rFonts w:cs="Times New Roman"/>
          <w:szCs w:val="24"/>
        </w:rPr>
        <w:t>PD;</w:t>
      </w:r>
      <w:proofErr w:type="gramEnd"/>
      <w:r w:rsidRPr="00A920E0">
        <w:rPr>
          <w:rFonts w:cs="Times New Roman"/>
          <w:szCs w:val="24"/>
        </w:rPr>
        <w:t xml:space="preserve"> whereas sampling was not routinely performed during DP. We performed a fresh frozen section analysis to confirm </w:t>
      </w:r>
      <w:proofErr w:type="gramStart"/>
      <w:r w:rsidR="00AC78C8" w:rsidRPr="00A920E0">
        <w:rPr>
          <w:rFonts w:cs="Times New Roman"/>
          <w:szCs w:val="24"/>
        </w:rPr>
        <w:t>whether or not</w:t>
      </w:r>
      <w:proofErr w:type="gramEnd"/>
      <w:r w:rsidRPr="00A920E0">
        <w:rPr>
          <w:rFonts w:cs="Times New Roman"/>
          <w:szCs w:val="24"/>
        </w:rPr>
        <w:t xml:space="preserve"> the pancreatic cut-end margin was clear of residual cancer. If residual cancer was present at the pancreatic cut end margin, we cut the pancreas further to reach negative margin status. If necessary, to achieve curative resection, we performed a total pancreatectomy (TP) with lymph node dissections.</w:t>
      </w:r>
    </w:p>
    <w:p w14:paraId="33A6AE35" w14:textId="77777777" w:rsidR="00296D63" w:rsidRPr="00A920E0" w:rsidRDefault="00296D63" w:rsidP="00296D63">
      <w:pPr>
        <w:snapToGrid w:val="0"/>
        <w:spacing w:line="360" w:lineRule="auto"/>
        <w:rPr>
          <w:rFonts w:cs="Times New Roman"/>
          <w:color w:val="FF0000"/>
          <w:szCs w:val="24"/>
        </w:rPr>
      </w:pPr>
    </w:p>
    <w:p w14:paraId="325F9ABE" w14:textId="77777777" w:rsidR="00296D63" w:rsidRPr="00A920E0" w:rsidRDefault="00296D63" w:rsidP="00296D63">
      <w:pPr>
        <w:snapToGrid w:val="0"/>
        <w:spacing w:line="360" w:lineRule="auto"/>
        <w:rPr>
          <w:rFonts w:cs="Times New Roman"/>
          <w:b/>
          <w:i/>
          <w:iCs/>
          <w:szCs w:val="24"/>
        </w:rPr>
      </w:pPr>
      <w:r>
        <w:rPr>
          <w:rFonts w:cs="Times New Roman" w:hint="eastAsia"/>
          <w:b/>
          <w:i/>
          <w:iCs/>
          <w:szCs w:val="24"/>
        </w:rPr>
        <w:t>T</w:t>
      </w:r>
      <w:r w:rsidRPr="00A920E0">
        <w:rPr>
          <w:rFonts w:cs="Times New Roman"/>
          <w:b/>
          <w:i/>
          <w:iCs/>
          <w:szCs w:val="24"/>
        </w:rPr>
        <w:t>ransfusion Protocol</w:t>
      </w:r>
    </w:p>
    <w:p w14:paraId="18C0343B" w14:textId="77777777" w:rsidR="00296D63" w:rsidRPr="00A920E0" w:rsidRDefault="00296D63" w:rsidP="00296D63">
      <w:pPr>
        <w:snapToGrid w:val="0"/>
        <w:spacing w:line="360" w:lineRule="auto"/>
        <w:rPr>
          <w:rFonts w:cs="Times New Roman"/>
          <w:szCs w:val="24"/>
        </w:rPr>
      </w:pPr>
      <w:r w:rsidRPr="00A920E0">
        <w:rPr>
          <w:rFonts w:cs="Times New Roman"/>
          <w:szCs w:val="24"/>
        </w:rPr>
        <w:t>In the current study, intraoperative ABT was defined as the transfusion of red blood cell concentrate during the operation. In our institution, the intraoperative transfusion trigger was set at Hb &lt; 7 g/dL. Additionally, for cases involving an increased risk of ischemia, such as patients with preexisting concomitant pulmonary disease, coronary artery disease, or cerebral vascular disease, and those showing signs of cardiac ischemia based on new electrocardiographic information, the transfusion threshold was set at a Hb level of less than 9 g/dL. For the ANH group, if the trigger was reached, autologous blood was given first. Allogeneic blood was used only after all autologous blood had been reinfused and the Hb remained at less than 7 g/dL.</w:t>
      </w:r>
    </w:p>
    <w:p w14:paraId="048B3180" w14:textId="77777777" w:rsidR="00296D63" w:rsidRDefault="00296D63" w:rsidP="00296D63">
      <w:pPr>
        <w:snapToGrid w:val="0"/>
        <w:spacing w:line="360" w:lineRule="auto"/>
        <w:rPr>
          <w:rFonts w:cs="Times New Roman" w:hint="eastAsia"/>
          <w:szCs w:val="24"/>
        </w:rPr>
      </w:pPr>
    </w:p>
    <w:p w14:paraId="55FCC51C" w14:textId="77777777" w:rsidR="00296D63" w:rsidRPr="00A920E0" w:rsidRDefault="00296D63" w:rsidP="00296D63">
      <w:pPr>
        <w:snapToGrid w:val="0"/>
        <w:spacing w:line="360" w:lineRule="auto"/>
        <w:rPr>
          <w:rFonts w:cs="Times New Roman"/>
          <w:b/>
          <w:i/>
          <w:iCs/>
          <w:szCs w:val="24"/>
        </w:rPr>
      </w:pPr>
      <w:r w:rsidRPr="00A920E0">
        <w:rPr>
          <w:rFonts w:cs="Times New Roman"/>
          <w:b/>
          <w:i/>
          <w:iCs/>
          <w:szCs w:val="24"/>
        </w:rPr>
        <w:t>Definition of intraoperative blood loss</w:t>
      </w:r>
    </w:p>
    <w:p w14:paraId="3AAA8AC9" w14:textId="5D22B55C" w:rsidR="00296D63" w:rsidRDefault="00296D63" w:rsidP="00296D63">
      <w:pPr>
        <w:snapToGrid w:val="0"/>
        <w:spacing w:line="360" w:lineRule="auto"/>
        <w:rPr>
          <w:rFonts w:cs="Times New Roman"/>
          <w:szCs w:val="24"/>
        </w:rPr>
      </w:pPr>
      <w:r w:rsidRPr="00A920E0">
        <w:rPr>
          <w:rFonts w:cs="Times New Roman"/>
          <w:szCs w:val="24"/>
        </w:rPr>
        <w:t xml:space="preserve">The intraoperative blood loss was calculated based on the in/out balance of the operative field. At our institution, any fluid loss from the abdominal cavity including ascites, bile, and lymphatics </w:t>
      </w:r>
      <w:proofErr w:type="gramStart"/>
      <w:r w:rsidRPr="00A920E0">
        <w:rPr>
          <w:rFonts w:cs="Times New Roman"/>
          <w:szCs w:val="24"/>
        </w:rPr>
        <w:t>is considered to be</w:t>
      </w:r>
      <w:proofErr w:type="gramEnd"/>
      <w:r w:rsidRPr="00A920E0">
        <w:rPr>
          <w:rFonts w:cs="Times New Roman"/>
          <w:szCs w:val="24"/>
        </w:rPr>
        <w:t xml:space="preserve"> intraoperative bleeding. In this study, we estimated the circulating blood volume (CBV) using the following </w:t>
      </w:r>
      <w:proofErr w:type="gramStart"/>
      <w:r w:rsidRPr="00A920E0">
        <w:rPr>
          <w:rFonts w:cs="Times New Roman"/>
          <w:szCs w:val="24"/>
        </w:rPr>
        <w:t>formula;</w:t>
      </w:r>
      <w:proofErr w:type="gramEnd"/>
      <w:r w:rsidRPr="00A920E0">
        <w:rPr>
          <w:rFonts w:cs="Times New Roman"/>
          <w:szCs w:val="24"/>
        </w:rPr>
        <w:t xml:space="preserve"> CBV (mL) = 70 x body weight </w:t>
      </w:r>
      <w:r w:rsidRPr="00A920E0">
        <w:rPr>
          <w:rFonts w:cs="Times New Roman"/>
          <w:szCs w:val="24"/>
        </w:rPr>
        <w:lastRenderedPageBreak/>
        <w:t>(kg).</w:t>
      </w:r>
    </w:p>
    <w:p w14:paraId="49762F2E" w14:textId="77777777" w:rsidR="00296D63" w:rsidRDefault="00296D63" w:rsidP="00296D63">
      <w:pPr>
        <w:snapToGrid w:val="0"/>
        <w:spacing w:line="360" w:lineRule="auto"/>
        <w:rPr>
          <w:rFonts w:cs="Times New Roman"/>
          <w:szCs w:val="24"/>
        </w:rPr>
      </w:pPr>
    </w:p>
    <w:p w14:paraId="147B404E" w14:textId="77777777" w:rsidR="00296D63" w:rsidRPr="00296D63" w:rsidRDefault="00296D63" w:rsidP="00296D63">
      <w:pPr>
        <w:snapToGrid w:val="0"/>
        <w:spacing w:line="360" w:lineRule="auto"/>
        <w:rPr>
          <w:rFonts w:cs="Times New Roman" w:hint="eastAsia"/>
          <w:szCs w:val="24"/>
        </w:rPr>
      </w:pPr>
    </w:p>
    <w:p w14:paraId="1CED725A" w14:textId="349540DB" w:rsidR="00B228CA" w:rsidRPr="00A920E0" w:rsidRDefault="00B228CA" w:rsidP="00296D63">
      <w:pPr>
        <w:snapToGrid w:val="0"/>
        <w:spacing w:line="360" w:lineRule="auto"/>
        <w:rPr>
          <w:rFonts w:cs="Times New Roman"/>
          <w:b/>
          <w:i/>
          <w:iCs/>
          <w:szCs w:val="24"/>
        </w:rPr>
      </w:pPr>
      <w:r w:rsidRPr="00A920E0">
        <w:rPr>
          <w:rFonts w:cs="Times New Roman"/>
          <w:b/>
          <w:i/>
          <w:iCs/>
          <w:szCs w:val="24"/>
        </w:rPr>
        <w:t>Statistical analyses</w:t>
      </w:r>
    </w:p>
    <w:p w14:paraId="0171C1C1" w14:textId="53BE7E25" w:rsidR="007C1451" w:rsidRPr="00A920E0" w:rsidRDefault="007C1451" w:rsidP="00296D63">
      <w:pPr>
        <w:snapToGrid w:val="0"/>
        <w:spacing w:line="360" w:lineRule="auto"/>
        <w:rPr>
          <w:rFonts w:cs="Times New Roman"/>
          <w:color w:val="FF0000"/>
          <w:szCs w:val="24"/>
        </w:rPr>
      </w:pPr>
      <w:r w:rsidRPr="00A920E0">
        <w:rPr>
          <w:rFonts w:cs="Times New Roman"/>
          <w:szCs w:val="24"/>
        </w:rPr>
        <w:t xml:space="preserve">Continuous variables were expressed as medians (ranges) and analyzed using nonparametric methods for non-normally distributed data (Mann–Whitney U-test). Categorical variables were reported as numbers (percentages) and analyzed using the chi-squared test or Fisher’s exact test, as appropriate. </w:t>
      </w:r>
      <w:r w:rsidR="008F1E54" w:rsidRPr="00A920E0">
        <w:rPr>
          <w:rFonts w:cs="Times New Roman"/>
          <w:szCs w:val="24"/>
        </w:rPr>
        <w:t xml:space="preserve">Furthermore, Bonferroni correction was applied. </w:t>
      </w:r>
      <w:r w:rsidRPr="00A920E0">
        <w:rPr>
          <w:rFonts w:cs="Times New Roman"/>
          <w:szCs w:val="24"/>
        </w:rPr>
        <w:t xml:space="preserve">Patients in the </w:t>
      </w:r>
      <w:r w:rsidR="004322E0" w:rsidRPr="00A920E0">
        <w:rPr>
          <w:rFonts w:cs="Times New Roman"/>
          <w:szCs w:val="24"/>
        </w:rPr>
        <w:t>STD</w:t>
      </w:r>
      <w:r w:rsidRPr="00A920E0">
        <w:rPr>
          <w:rFonts w:cs="Times New Roman"/>
          <w:szCs w:val="24"/>
        </w:rPr>
        <w:t xml:space="preserve"> and </w:t>
      </w:r>
      <w:r w:rsidR="004322E0" w:rsidRPr="00A920E0">
        <w:rPr>
          <w:rFonts w:cs="Times New Roman"/>
          <w:szCs w:val="24"/>
        </w:rPr>
        <w:t>the ANH</w:t>
      </w:r>
      <w:r w:rsidRPr="00A920E0">
        <w:rPr>
          <w:rFonts w:cs="Times New Roman"/>
          <w:szCs w:val="24"/>
        </w:rPr>
        <w:t xml:space="preserve"> groups were classified using the propensity score matching (PSM) method to minimize the impact of possible selective bias in the survival analysis. </w:t>
      </w:r>
      <w:r w:rsidR="00DB6EC0" w:rsidRPr="00A920E0">
        <w:rPr>
          <w:rFonts w:cs="Times New Roman"/>
          <w:szCs w:val="24"/>
        </w:rPr>
        <w:t>Propensity scores were based on the selected covariates, which were significantly associated with ANH</w:t>
      </w:r>
      <w:r w:rsidR="00B538F7" w:rsidRPr="00A920E0">
        <w:rPr>
          <w:rFonts w:cs="Times New Roman"/>
        </w:rPr>
        <w:t xml:space="preserve"> </w:t>
      </w:r>
      <w:r w:rsidR="00B538F7" w:rsidRPr="00A920E0">
        <w:rPr>
          <w:rFonts w:cs="Times New Roman"/>
          <w:szCs w:val="24"/>
        </w:rPr>
        <w:t>in univariate analysis (P &lt; 0.1)</w:t>
      </w:r>
      <w:r w:rsidR="00DB6EC0" w:rsidRPr="00A920E0">
        <w:rPr>
          <w:rFonts w:cs="Times New Roman"/>
          <w:szCs w:val="24"/>
        </w:rPr>
        <w:t xml:space="preserve">, including sex, age, body weight, C-reactive protein, </w:t>
      </w:r>
      <w:r w:rsidR="00B538F7" w:rsidRPr="00A920E0">
        <w:rPr>
          <w:rFonts w:cs="Times New Roman"/>
          <w:szCs w:val="24"/>
        </w:rPr>
        <w:t xml:space="preserve">and </w:t>
      </w:r>
      <w:r w:rsidR="00DB6EC0" w:rsidRPr="00A920E0">
        <w:rPr>
          <w:rFonts w:cs="Times New Roman"/>
          <w:szCs w:val="24"/>
        </w:rPr>
        <w:t xml:space="preserve">total bilirubin. </w:t>
      </w:r>
      <w:r w:rsidR="00D821DB" w:rsidRPr="00A920E0">
        <w:rPr>
          <w:rFonts w:cs="Times New Roman"/>
          <w:szCs w:val="24"/>
        </w:rPr>
        <w:t>In addition</w:t>
      </w:r>
      <w:r w:rsidR="00DB6EC0" w:rsidRPr="00A920E0">
        <w:rPr>
          <w:rFonts w:cs="Times New Roman"/>
          <w:szCs w:val="24"/>
        </w:rPr>
        <w:t xml:space="preserve">, </w:t>
      </w:r>
      <w:r w:rsidR="00B538F7" w:rsidRPr="00A920E0">
        <w:rPr>
          <w:rFonts w:cs="Times New Roman"/>
          <w:szCs w:val="24"/>
        </w:rPr>
        <w:t xml:space="preserve">based on the consensus </w:t>
      </w:r>
      <w:r w:rsidR="0008244B" w:rsidRPr="00A920E0">
        <w:rPr>
          <w:rFonts w:cs="Times New Roman"/>
          <w:szCs w:val="24"/>
        </w:rPr>
        <w:t>at</w:t>
      </w:r>
      <w:r w:rsidR="00B538F7" w:rsidRPr="00A920E0">
        <w:rPr>
          <w:rFonts w:cs="Times New Roman"/>
          <w:szCs w:val="24"/>
        </w:rPr>
        <w:t xml:space="preserve"> expert meeting</w:t>
      </w:r>
      <w:r w:rsidR="00D821DB" w:rsidRPr="00A920E0">
        <w:rPr>
          <w:rFonts w:cs="Times New Roman"/>
          <w:szCs w:val="24"/>
        </w:rPr>
        <w:t>s</w:t>
      </w:r>
      <w:r w:rsidR="00B538F7" w:rsidRPr="00A920E0">
        <w:rPr>
          <w:rFonts w:cs="Times New Roman"/>
          <w:szCs w:val="24"/>
        </w:rPr>
        <w:t xml:space="preserve"> in this study, </w:t>
      </w:r>
      <w:r w:rsidR="00D821DB" w:rsidRPr="00A920E0">
        <w:rPr>
          <w:rFonts w:cs="Times New Roman"/>
          <w:szCs w:val="24"/>
        </w:rPr>
        <w:t>a surgical p</w:t>
      </w:r>
      <w:r w:rsidR="00D821DB" w:rsidRPr="00A920E0">
        <w:rPr>
          <w:rFonts w:cs="Times New Roman"/>
          <w:kern w:val="24"/>
          <w:szCs w:val="24"/>
        </w:rPr>
        <w:t>rocedure was</w:t>
      </w:r>
      <w:r w:rsidR="00D821DB" w:rsidRPr="00A920E0">
        <w:rPr>
          <w:rFonts w:cs="Times New Roman"/>
          <w:szCs w:val="24"/>
        </w:rPr>
        <w:t xml:space="preserve"> also included in the covariate </w:t>
      </w:r>
      <w:r w:rsidR="0008244B" w:rsidRPr="00A920E0">
        <w:rPr>
          <w:rFonts w:cs="Times New Roman"/>
          <w:szCs w:val="24"/>
        </w:rPr>
        <w:t xml:space="preserve">with </w:t>
      </w:r>
      <w:r w:rsidR="00D821DB" w:rsidRPr="00A920E0">
        <w:rPr>
          <w:rFonts w:cs="Times New Roman"/>
          <w:szCs w:val="24"/>
        </w:rPr>
        <w:t xml:space="preserve">which </w:t>
      </w:r>
      <w:r w:rsidR="00DB6EC0" w:rsidRPr="00A920E0">
        <w:rPr>
          <w:rFonts w:cs="Times New Roman"/>
          <w:szCs w:val="24"/>
        </w:rPr>
        <w:t>propensity scores</w:t>
      </w:r>
      <w:r w:rsidR="0008244B" w:rsidRPr="00A920E0">
        <w:rPr>
          <w:rFonts w:cs="Times New Roman"/>
          <w:szCs w:val="24"/>
        </w:rPr>
        <w:t xml:space="preserve"> were calculated</w:t>
      </w:r>
      <w:r w:rsidR="00D821DB" w:rsidRPr="00A920E0">
        <w:rPr>
          <w:rFonts w:cs="Times New Roman"/>
          <w:szCs w:val="24"/>
        </w:rPr>
        <w:t>. We did not include hemoglobin and hematocrit in the covariate.</w:t>
      </w:r>
      <w:bookmarkStart w:id="2" w:name="_Hlk80783639"/>
      <w:r w:rsidR="00862369" w:rsidRPr="00A920E0">
        <w:rPr>
          <w:rFonts w:cs="Times New Roman"/>
          <w:szCs w:val="24"/>
        </w:rPr>
        <w:t xml:space="preserve"> </w:t>
      </w:r>
      <w:r w:rsidRPr="00A920E0">
        <w:rPr>
          <w:rFonts w:cs="Times New Roman"/>
          <w:szCs w:val="24"/>
        </w:rPr>
        <w:t xml:space="preserve">Nearest neighbor matching was performed in a one-to-one ratio without replacement. </w:t>
      </w:r>
      <w:bookmarkStart w:id="3" w:name="_Hlk80822572"/>
      <w:r w:rsidRPr="00A920E0">
        <w:rPr>
          <w:rFonts w:cs="Times New Roman"/>
          <w:szCs w:val="24"/>
        </w:rPr>
        <w:t>A caliper width of 0.</w:t>
      </w:r>
      <w:r w:rsidR="00D821DB" w:rsidRPr="00A920E0">
        <w:rPr>
          <w:rFonts w:cs="Times New Roman"/>
          <w:szCs w:val="24"/>
        </w:rPr>
        <w:t>08</w:t>
      </w:r>
      <w:r w:rsidRPr="00A920E0">
        <w:rPr>
          <w:rFonts w:cs="Times New Roman"/>
          <w:szCs w:val="24"/>
        </w:rPr>
        <w:t xml:space="preserve"> was used to avoid bad matches.</w:t>
      </w:r>
      <w:r w:rsidRPr="00A920E0">
        <w:rPr>
          <w:rFonts w:cs="Times New Roman"/>
          <w:color w:val="FF0000"/>
          <w:szCs w:val="24"/>
        </w:rPr>
        <w:t xml:space="preserve"> </w:t>
      </w:r>
      <w:bookmarkEnd w:id="2"/>
      <w:bookmarkEnd w:id="3"/>
      <w:r w:rsidRPr="00A920E0">
        <w:rPr>
          <w:rFonts w:cs="Times New Roman"/>
          <w:szCs w:val="24"/>
        </w:rPr>
        <w:t xml:space="preserve">Recurrence-free survival (RFS) and Disease-specific survival (DSS) were calculated using the Kaplan–Meier method, and differences </w:t>
      </w:r>
      <w:r w:rsidR="00132403" w:rsidRPr="00A920E0">
        <w:rPr>
          <w:rFonts w:cs="Times New Roman"/>
          <w:szCs w:val="24"/>
        </w:rPr>
        <w:t>in the survival rates w</w:t>
      </w:r>
      <w:r w:rsidRPr="00A920E0">
        <w:rPr>
          <w:rFonts w:cs="Times New Roman"/>
          <w:szCs w:val="24"/>
        </w:rPr>
        <w:t xml:space="preserve">ere compared using the log-rank test. </w:t>
      </w:r>
      <w:r w:rsidR="00132403" w:rsidRPr="00A920E0">
        <w:rPr>
          <w:rFonts w:cs="Times New Roman"/>
          <w:szCs w:val="24"/>
        </w:rPr>
        <w:t>RFS</w:t>
      </w:r>
      <w:r w:rsidRPr="00A920E0">
        <w:rPr>
          <w:rFonts w:cs="Times New Roman"/>
          <w:szCs w:val="24"/>
        </w:rPr>
        <w:t xml:space="preserve"> was defined as the time from the operation to the date of disease recurrence.</w:t>
      </w:r>
      <w:r w:rsidR="00132403" w:rsidRPr="00A920E0">
        <w:rPr>
          <w:rFonts w:cs="Times New Roman"/>
          <w:szCs w:val="24"/>
        </w:rPr>
        <w:t xml:space="preserve"> DSS </w:t>
      </w:r>
      <w:r w:rsidRPr="00A920E0">
        <w:rPr>
          <w:rFonts w:cs="Times New Roman"/>
          <w:szCs w:val="24"/>
        </w:rPr>
        <w:t xml:space="preserve">was defined as the time from the operation to the time of death due to PDAC, or the last follow-up time. This study was planned with a maximum follow-up period of five years. Variables that were significant in log-rank test were included in a Cox proportional hazards regression model to identify independent predictors of RFS and DSS. In this analysis, we divided continuous variables into two groups according to median values. A difference </w:t>
      </w:r>
      <w:proofErr w:type="gramStart"/>
      <w:r w:rsidRPr="00A920E0">
        <w:rPr>
          <w:rFonts w:cs="Times New Roman"/>
          <w:szCs w:val="24"/>
        </w:rPr>
        <w:t>was considered to be</w:t>
      </w:r>
      <w:proofErr w:type="gramEnd"/>
      <w:r w:rsidRPr="00A920E0">
        <w:rPr>
          <w:rFonts w:cs="Times New Roman"/>
          <w:szCs w:val="24"/>
        </w:rPr>
        <w:t xml:space="preserve"> significant for values of </w:t>
      </w:r>
      <w:r w:rsidR="00132403" w:rsidRPr="00A920E0">
        <w:rPr>
          <w:rFonts w:cs="Times New Roman"/>
          <w:szCs w:val="24"/>
        </w:rPr>
        <w:t>P</w:t>
      </w:r>
      <w:r w:rsidRPr="00A920E0">
        <w:rPr>
          <w:rFonts w:cs="Times New Roman"/>
          <w:szCs w:val="24"/>
        </w:rPr>
        <w:t xml:space="preserve"> &lt; 0.05. The statistical analyses were performed using IBM SPSS Statistics for Windows, Version 26.0 (IBM Corp, Armonk, NY, USA).</w:t>
      </w:r>
    </w:p>
    <w:p w14:paraId="686369F1" w14:textId="48E43C9C" w:rsidR="00B228CA" w:rsidRPr="00A920E0" w:rsidRDefault="00B228CA" w:rsidP="00296D63">
      <w:pPr>
        <w:snapToGrid w:val="0"/>
        <w:spacing w:line="360" w:lineRule="auto"/>
        <w:rPr>
          <w:rFonts w:cs="Times New Roman"/>
          <w:szCs w:val="24"/>
        </w:rPr>
      </w:pPr>
    </w:p>
    <w:sectPr w:rsidR="00B228CA" w:rsidRPr="00A920E0" w:rsidSect="008124DE">
      <w:footerReference w:type="default" r:id="rId7"/>
      <w:pgSz w:w="11906" w:h="16838" w:code="9"/>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DAED2" w14:textId="77777777" w:rsidR="000D5A75" w:rsidRDefault="000D5A75" w:rsidP="00FE070F">
      <w:r>
        <w:separator/>
      </w:r>
    </w:p>
  </w:endnote>
  <w:endnote w:type="continuationSeparator" w:id="0">
    <w:p w14:paraId="2294D496" w14:textId="77777777" w:rsidR="000D5A75" w:rsidRDefault="000D5A75" w:rsidP="00FE0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2657440"/>
      <w:docPartObj>
        <w:docPartGallery w:val="Page Numbers (Bottom of Page)"/>
        <w:docPartUnique/>
      </w:docPartObj>
    </w:sdtPr>
    <w:sdtContent>
      <w:p w14:paraId="3EF569FC" w14:textId="7F3730AD" w:rsidR="008124DE" w:rsidRDefault="008124DE" w:rsidP="008124DE">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ED472" w14:textId="77777777" w:rsidR="000D5A75" w:rsidRDefault="000D5A75" w:rsidP="00FE070F">
      <w:r>
        <w:separator/>
      </w:r>
    </w:p>
  </w:footnote>
  <w:footnote w:type="continuationSeparator" w:id="0">
    <w:p w14:paraId="74F7B82A" w14:textId="77777777" w:rsidR="000D5A75" w:rsidRDefault="000D5A75" w:rsidP="00FE07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zMzYysjQ1szA1NbRU0lEKTi0uzszPAykwN6oFACzLrcwtAAAA"/>
    <w:docVar w:name="EN.InstantFormat" w:val="&lt;ENInstantFormat&gt;&lt;Enabled&gt;1&lt;/Enabled&gt;&lt;ScanUnformatted&gt;1&lt;/ScanUnformatted&gt;&lt;ScanChanges&gt;1&lt;/ScanChanges&gt;&lt;Suspended&gt;0&lt;/Suspended&gt;&lt;/ENInstantFormat&gt;"/>
    <w:docVar w:name="EN.Layout" w:val="&lt;ENLayout&gt;&lt;Style&gt;Annals Surgical Oncology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wf92t0th2dvwme9sebvf5aavd2wfdpaxwe9&quot;&gt;My EndNote Library&lt;record-ids&gt;&lt;item&gt;3763&lt;/item&gt;&lt;item&gt;6121&lt;/item&gt;&lt;item&gt;6122&lt;/item&gt;&lt;item&gt;6123&lt;/item&gt;&lt;item&gt;6124&lt;/item&gt;&lt;item&gt;6125&lt;/item&gt;&lt;item&gt;6128&lt;/item&gt;&lt;item&gt;6140&lt;/item&gt;&lt;item&gt;6141&lt;/item&gt;&lt;item&gt;6142&lt;/item&gt;&lt;item&gt;6143&lt;/item&gt;&lt;item&gt;6144&lt;/item&gt;&lt;item&gt;6146&lt;/item&gt;&lt;item&gt;6450&lt;/item&gt;&lt;item&gt;6452&lt;/item&gt;&lt;item&gt;6453&lt;/item&gt;&lt;item&gt;6850&lt;/item&gt;&lt;item&gt;6869&lt;/item&gt;&lt;item&gt;6876&lt;/item&gt;&lt;item&gt;6946&lt;/item&gt;&lt;item&gt;7241&lt;/item&gt;&lt;item&gt;7243&lt;/item&gt;&lt;item&gt;7301&lt;/item&gt;&lt;item&gt;7302&lt;/item&gt;&lt;item&gt;7303&lt;/item&gt;&lt;item&gt;7306&lt;/item&gt;&lt;item&gt;7307&lt;/item&gt;&lt;item&gt;7308&lt;/item&gt;&lt;item&gt;7310&lt;/item&gt;&lt;item&gt;7313&lt;/item&gt;&lt;item&gt;7323&lt;/item&gt;&lt;item&gt;7325&lt;/item&gt;&lt;item&gt;7326&lt;/item&gt;&lt;item&gt;7328&lt;/item&gt;&lt;item&gt;7331&lt;/item&gt;&lt;item&gt;7332&lt;/item&gt;&lt;item&gt;7384&lt;/item&gt;&lt;/record-ids&gt;&lt;/item&gt;&lt;/Libraries&gt;"/>
  </w:docVars>
  <w:rsids>
    <w:rsidRoot w:val="00655CD5"/>
    <w:rsid w:val="00001EBD"/>
    <w:rsid w:val="00002BF4"/>
    <w:rsid w:val="000056D7"/>
    <w:rsid w:val="00007094"/>
    <w:rsid w:val="00013070"/>
    <w:rsid w:val="000130A8"/>
    <w:rsid w:val="0002243E"/>
    <w:rsid w:val="0002467E"/>
    <w:rsid w:val="0002523D"/>
    <w:rsid w:val="000261E7"/>
    <w:rsid w:val="000329E1"/>
    <w:rsid w:val="000331D9"/>
    <w:rsid w:val="000337AA"/>
    <w:rsid w:val="00040314"/>
    <w:rsid w:val="00040750"/>
    <w:rsid w:val="00041452"/>
    <w:rsid w:val="000443C0"/>
    <w:rsid w:val="0005237F"/>
    <w:rsid w:val="00052E6B"/>
    <w:rsid w:val="000535ED"/>
    <w:rsid w:val="00056509"/>
    <w:rsid w:val="00060FF4"/>
    <w:rsid w:val="000637F2"/>
    <w:rsid w:val="00072FE8"/>
    <w:rsid w:val="00077F75"/>
    <w:rsid w:val="00080367"/>
    <w:rsid w:val="0008244B"/>
    <w:rsid w:val="000825C9"/>
    <w:rsid w:val="0008682F"/>
    <w:rsid w:val="00092757"/>
    <w:rsid w:val="000966F4"/>
    <w:rsid w:val="000A02E4"/>
    <w:rsid w:val="000A046A"/>
    <w:rsid w:val="000A08BF"/>
    <w:rsid w:val="000A2124"/>
    <w:rsid w:val="000A30C8"/>
    <w:rsid w:val="000A3DA0"/>
    <w:rsid w:val="000A5DF9"/>
    <w:rsid w:val="000B2D77"/>
    <w:rsid w:val="000B30DD"/>
    <w:rsid w:val="000B5120"/>
    <w:rsid w:val="000B6846"/>
    <w:rsid w:val="000C49AB"/>
    <w:rsid w:val="000C4C40"/>
    <w:rsid w:val="000D433A"/>
    <w:rsid w:val="000D5A75"/>
    <w:rsid w:val="000D6257"/>
    <w:rsid w:val="000E0172"/>
    <w:rsid w:val="000E0178"/>
    <w:rsid w:val="000E3E98"/>
    <w:rsid w:val="000E3F08"/>
    <w:rsid w:val="000E749D"/>
    <w:rsid w:val="000F0F1A"/>
    <w:rsid w:val="000F30D1"/>
    <w:rsid w:val="000F505A"/>
    <w:rsid w:val="000F77D5"/>
    <w:rsid w:val="00105F0C"/>
    <w:rsid w:val="00132403"/>
    <w:rsid w:val="00132DC9"/>
    <w:rsid w:val="00143DFC"/>
    <w:rsid w:val="001442CE"/>
    <w:rsid w:val="001443B7"/>
    <w:rsid w:val="0014623C"/>
    <w:rsid w:val="00165B57"/>
    <w:rsid w:val="00173100"/>
    <w:rsid w:val="001769B6"/>
    <w:rsid w:val="0018002F"/>
    <w:rsid w:val="001855B2"/>
    <w:rsid w:val="0019061E"/>
    <w:rsid w:val="00193950"/>
    <w:rsid w:val="001A48C4"/>
    <w:rsid w:val="001A5E22"/>
    <w:rsid w:val="001A6D23"/>
    <w:rsid w:val="001A7BCF"/>
    <w:rsid w:val="001B2392"/>
    <w:rsid w:val="001B44B1"/>
    <w:rsid w:val="001C1D90"/>
    <w:rsid w:val="001C2BA0"/>
    <w:rsid w:val="001C3740"/>
    <w:rsid w:val="001C4679"/>
    <w:rsid w:val="001C6A60"/>
    <w:rsid w:val="001E5022"/>
    <w:rsid w:val="001F30B5"/>
    <w:rsid w:val="001F44BF"/>
    <w:rsid w:val="001F509F"/>
    <w:rsid w:val="001F50C8"/>
    <w:rsid w:val="0020185F"/>
    <w:rsid w:val="00201B6F"/>
    <w:rsid w:val="0020294C"/>
    <w:rsid w:val="00202F6B"/>
    <w:rsid w:val="002208B1"/>
    <w:rsid w:val="002211C9"/>
    <w:rsid w:val="00221203"/>
    <w:rsid w:val="002225AF"/>
    <w:rsid w:val="00223026"/>
    <w:rsid w:val="00236CDD"/>
    <w:rsid w:val="002402C8"/>
    <w:rsid w:val="00241A2D"/>
    <w:rsid w:val="00242500"/>
    <w:rsid w:val="002503FA"/>
    <w:rsid w:val="00261047"/>
    <w:rsid w:val="00267014"/>
    <w:rsid w:val="00267BC0"/>
    <w:rsid w:val="0027432B"/>
    <w:rsid w:val="00274B00"/>
    <w:rsid w:val="00277B3E"/>
    <w:rsid w:val="00277F80"/>
    <w:rsid w:val="00281372"/>
    <w:rsid w:val="002830FD"/>
    <w:rsid w:val="00284CDF"/>
    <w:rsid w:val="00285B0F"/>
    <w:rsid w:val="00294B0C"/>
    <w:rsid w:val="00296D63"/>
    <w:rsid w:val="00297208"/>
    <w:rsid w:val="002972B7"/>
    <w:rsid w:val="002A19B6"/>
    <w:rsid w:val="002B248D"/>
    <w:rsid w:val="002B3C1E"/>
    <w:rsid w:val="002C33B8"/>
    <w:rsid w:val="002C6D44"/>
    <w:rsid w:val="002D631B"/>
    <w:rsid w:val="002D6D61"/>
    <w:rsid w:val="002E4C9E"/>
    <w:rsid w:val="002F12A9"/>
    <w:rsid w:val="002F208B"/>
    <w:rsid w:val="00301704"/>
    <w:rsid w:val="003041CD"/>
    <w:rsid w:val="0030600D"/>
    <w:rsid w:val="003138D1"/>
    <w:rsid w:val="00317173"/>
    <w:rsid w:val="0032003F"/>
    <w:rsid w:val="00324449"/>
    <w:rsid w:val="00326E39"/>
    <w:rsid w:val="00342E73"/>
    <w:rsid w:val="0034587B"/>
    <w:rsid w:val="0035088A"/>
    <w:rsid w:val="00356D15"/>
    <w:rsid w:val="0036121A"/>
    <w:rsid w:val="00361DEB"/>
    <w:rsid w:val="003637F0"/>
    <w:rsid w:val="00366244"/>
    <w:rsid w:val="003674AE"/>
    <w:rsid w:val="00367CC6"/>
    <w:rsid w:val="0037122D"/>
    <w:rsid w:val="00372F95"/>
    <w:rsid w:val="003730BB"/>
    <w:rsid w:val="00383ED4"/>
    <w:rsid w:val="0038627A"/>
    <w:rsid w:val="003A2CAD"/>
    <w:rsid w:val="003A494A"/>
    <w:rsid w:val="003B566F"/>
    <w:rsid w:val="003B5FE7"/>
    <w:rsid w:val="003B6EFA"/>
    <w:rsid w:val="003B75B5"/>
    <w:rsid w:val="003C0AA1"/>
    <w:rsid w:val="003C1980"/>
    <w:rsid w:val="003C3AE5"/>
    <w:rsid w:val="003E04BD"/>
    <w:rsid w:val="003E0C69"/>
    <w:rsid w:val="003E42FC"/>
    <w:rsid w:val="003F0624"/>
    <w:rsid w:val="003F3EF9"/>
    <w:rsid w:val="0040018F"/>
    <w:rsid w:val="00403269"/>
    <w:rsid w:val="00403E72"/>
    <w:rsid w:val="00406065"/>
    <w:rsid w:val="004064D0"/>
    <w:rsid w:val="004148C5"/>
    <w:rsid w:val="00415731"/>
    <w:rsid w:val="00420808"/>
    <w:rsid w:val="004238DA"/>
    <w:rsid w:val="0042663F"/>
    <w:rsid w:val="004322E0"/>
    <w:rsid w:val="0043279B"/>
    <w:rsid w:val="0043491D"/>
    <w:rsid w:val="00435621"/>
    <w:rsid w:val="004412D6"/>
    <w:rsid w:val="00441AF6"/>
    <w:rsid w:val="004426D2"/>
    <w:rsid w:val="004477EC"/>
    <w:rsid w:val="0045030A"/>
    <w:rsid w:val="0045184F"/>
    <w:rsid w:val="004523EF"/>
    <w:rsid w:val="00454456"/>
    <w:rsid w:val="0045451E"/>
    <w:rsid w:val="00455D8F"/>
    <w:rsid w:val="00455DF5"/>
    <w:rsid w:val="004627D3"/>
    <w:rsid w:val="00462B6A"/>
    <w:rsid w:val="00462D38"/>
    <w:rsid w:val="0047123B"/>
    <w:rsid w:val="0047358A"/>
    <w:rsid w:val="00473BA0"/>
    <w:rsid w:val="0048363B"/>
    <w:rsid w:val="00484EA6"/>
    <w:rsid w:val="00487EAC"/>
    <w:rsid w:val="00494EA9"/>
    <w:rsid w:val="004A0D11"/>
    <w:rsid w:val="004A16A2"/>
    <w:rsid w:val="004A7F65"/>
    <w:rsid w:val="004B0EE3"/>
    <w:rsid w:val="004B6816"/>
    <w:rsid w:val="004C052F"/>
    <w:rsid w:val="004C0579"/>
    <w:rsid w:val="004D31AF"/>
    <w:rsid w:val="004E0B9B"/>
    <w:rsid w:val="004E1DB4"/>
    <w:rsid w:val="004E4944"/>
    <w:rsid w:val="004E5219"/>
    <w:rsid w:val="004E799D"/>
    <w:rsid w:val="004F3434"/>
    <w:rsid w:val="00505503"/>
    <w:rsid w:val="0050735D"/>
    <w:rsid w:val="005113D2"/>
    <w:rsid w:val="00513711"/>
    <w:rsid w:val="00516AE6"/>
    <w:rsid w:val="00516E21"/>
    <w:rsid w:val="00532CEE"/>
    <w:rsid w:val="00533124"/>
    <w:rsid w:val="00533EE2"/>
    <w:rsid w:val="00540B35"/>
    <w:rsid w:val="0054200D"/>
    <w:rsid w:val="00544AC7"/>
    <w:rsid w:val="00544F1C"/>
    <w:rsid w:val="00547743"/>
    <w:rsid w:val="0055294D"/>
    <w:rsid w:val="00554BEB"/>
    <w:rsid w:val="0055669E"/>
    <w:rsid w:val="00561BE3"/>
    <w:rsid w:val="00561FA1"/>
    <w:rsid w:val="00563C51"/>
    <w:rsid w:val="005650CE"/>
    <w:rsid w:val="005653B4"/>
    <w:rsid w:val="00570EB8"/>
    <w:rsid w:val="00572172"/>
    <w:rsid w:val="005731E0"/>
    <w:rsid w:val="00574123"/>
    <w:rsid w:val="00575F05"/>
    <w:rsid w:val="005772C5"/>
    <w:rsid w:val="00580411"/>
    <w:rsid w:val="00584965"/>
    <w:rsid w:val="0058554D"/>
    <w:rsid w:val="00593B58"/>
    <w:rsid w:val="005958EA"/>
    <w:rsid w:val="005A0E94"/>
    <w:rsid w:val="005A1C96"/>
    <w:rsid w:val="005A7FEF"/>
    <w:rsid w:val="005C0924"/>
    <w:rsid w:val="005C181D"/>
    <w:rsid w:val="005C320D"/>
    <w:rsid w:val="005C7EC1"/>
    <w:rsid w:val="005D4FAC"/>
    <w:rsid w:val="005E0E67"/>
    <w:rsid w:val="005E1003"/>
    <w:rsid w:val="005E1933"/>
    <w:rsid w:val="005E33A7"/>
    <w:rsid w:val="005E604B"/>
    <w:rsid w:val="005E6844"/>
    <w:rsid w:val="00600BF0"/>
    <w:rsid w:val="00602F74"/>
    <w:rsid w:val="0060377C"/>
    <w:rsid w:val="00605C7B"/>
    <w:rsid w:val="00612E13"/>
    <w:rsid w:val="00621FA0"/>
    <w:rsid w:val="0063036A"/>
    <w:rsid w:val="00632399"/>
    <w:rsid w:val="00634993"/>
    <w:rsid w:val="00641C33"/>
    <w:rsid w:val="00646099"/>
    <w:rsid w:val="0064711B"/>
    <w:rsid w:val="006501FF"/>
    <w:rsid w:val="00650B9F"/>
    <w:rsid w:val="00653608"/>
    <w:rsid w:val="00655CD5"/>
    <w:rsid w:val="00661711"/>
    <w:rsid w:val="00664294"/>
    <w:rsid w:val="006662BA"/>
    <w:rsid w:val="00671D8F"/>
    <w:rsid w:val="00680653"/>
    <w:rsid w:val="00681157"/>
    <w:rsid w:val="006826CE"/>
    <w:rsid w:val="00682F96"/>
    <w:rsid w:val="00685BB5"/>
    <w:rsid w:val="006866B2"/>
    <w:rsid w:val="00690F30"/>
    <w:rsid w:val="00695C5E"/>
    <w:rsid w:val="00695DA7"/>
    <w:rsid w:val="006965F6"/>
    <w:rsid w:val="006A10CF"/>
    <w:rsid w:val="006A158F"/>
    <w:rsid w:val="006A17E5"/>
    <w:rsid w:val="006A1D29"/>
    <w:rsid w:val="006A37AE"/>
    <w:rsid w:val="006A392B"/>
    <w:rsid w:val="006A5AFF"/>
    <w:rsid w:val="006A693C"/>
    <w:rsid w:val="006B4F5F"/>
    <w:rsid w:val="006B62A3"/>
    <w:rsid w:val="006B7038"/>
    <w:rsid w:val="006C01A0"/>
    <w:rsid w:val="006C5956"/>
    <w:rsid w:val="006C779F"/>
    <w:rsid w:val="006D07AD"/>
    <w:rsid w:val="006D5EF2"/>
    <w:rsid w:val="006D6159"/>
    <w:rsid w:val="006D767F"/>
    <w:rsid w:val="006E1CA3"/>
    <w:rsid w:val="006E3918"/>
    <w:rsid w:val="006E6208"/>
    <w:rsid w:val="006E6E1E"/>
    <w:rsid w:val="006F5A9E"/>
    <w:rsid w:val="006F66C1"/>
    <w:rsid w:val="0070030D"/>
    <w:rsid w:val="00714AF7"/>
    <w:rsid w:val="007210C6"/>
    <w:rsid w:val="007219C7"/>
    <w:rsid w:val="00722C08"/>
    <w:rsid w:val="0072348F"/>
    <w:rsid w:val="007243B8"/>
    <w:rsid w:val="00724806"/>
    <w:rsid w:val="00725206"/>
    <w:rsid w:val="0073121C"/>
    <w:rsid w:val="007351AE"/>
    <w:rsid w:val="00735F64"/>
    <w:rsid w:val="00753874"/>
    <w:rsid w:val="0075389C"/>
    <w:rsid w:val="00766B70"/>
    <w:rsid w:val="00771289"/>
    <w:rsid w:val="00772954"/>
    <w:rsid w:val="007805D3"/>
    <w:rsid w:val="00794985"/>
    <w:rsid w:val="0079525E"/>
    <w:rsid w:val="007A4822"/>
    <w:rsid w:val="007A6A0A"/>
    <w:rsid w:val="007A6B6B"/>
    <w:rsid w:val="007B000F"/>
    <w:rsid w:val="007B3E3B"/>
    <w:rsid w:val="007B705D"/>
    <w:rsid w:val="007B7482"/>
    <w:rsid w:val="007B7AC6"/>
    <w:rsid w:val="007C1451"/>
    <w:rsid w:val="007C320B"/>
    <w:rsid w:val="007C56E9"/>
    <w:rsid w:val="007C60E1"/>
    <w:rsid w:val="007E3048"/>
    <w:rsid w:val="007E5806"/>
    <w:rsid w:val="007F4053"/>
    <w:rsid w:val="008015E9"/>
    <w:rsid w:val="00801BEB"/>
    <w:rsid w:val="00804265"/>
    <w:rsid w:val="0080564F"/>
    <w:rsid w:val="00805A3D"/>
    <w:rsid w:val="00810E65"/>
    <w:rsid w:val="008111BE"/>
    <w:rsid w:val="008124DE"/>
    <w:rsid w:val="008126E7"/>
    <w:rsid w:val="008179F7"/>
    <w:rsid w:val="00823098"/>
    <w:rsid w:val="00823C45"/>
    <w:rsid w:val="00823FAF"/>
    <w:rsid w:val="00830398"/>
    <w:rsid w:val="00831637"/>
    <w:rsid w:val="00831CF7"/>
    <w:rsid w:val="008329CB"/>
    <w:rsid w:val="00834159"/>
    <w:rsid w:val="00836BE9"/>
    <w:rsid w:val="00844804"/>
    <w:rsid w:val="00844E00"/>
    <w:rsid w:val="00846F83"/>
    <w:rsid w:val="0084736E"/>
    <w:rsid w:val="00852043"/>
    <w:rsid w:val="00852359"/>
    <w:rsid w:val="00862247"/>
    <w:rsid w:val="00862369"/>
    <w:rsid w:val="0086319F"/>
    <w:rsid w:val="00866BC7"/>
    <w:rsid w:val="008672AA"/>
    <w:rsid w:val="008678E1"/>
    <w:rsid w:val="00874F80"/>
    <w:rsid w:val="0087722C"/>
    <w:rsid w:val="0088229A"/>
    <w:rsid w:val="00891571"/>
    <w:rsid w:val="008A1EB5"/>
    <w:rsid w:val="008A270F"/>
    <w:rsid w:val="008A6594"/>
    <w:rsid w:val="008B08AD"/>
    <w:rsid w:val="008C6015"/>
    <w:rsid w:val="008D6522"/>
    <w:rsid w:val="008D68D4"/>
    <w:rsid w:val="008D79DE"/>
    <w:rsid w:val="008E5EA4"/>
    <w:rsid w:val="008F1E54"/>
    <w:rsid w:val="0091492E"/>
    <w:rsid w:val="00920B2B"/>
    <w:rsid w:val="009239E7"/>
    <w:rsid w:val="00926D0C"/>
    <w:rsid w:val="009311C7"/>
    <w:rsid w:val="009317AB"/>
    <w:rsid w:val="00932C05"/>
    <w:rsid w:val="009417F7"/>
    <w:rsid w:val="009420F4"/>
    <w:rsid w:val="009430B2"/>
    <w:rsid w:val="009441CB"/>
    <w:rsid w:val="009446E0"/>
    <w:rsid w:val="00946D0B"/>
    <w:rsid w:val="009544F7"/>
    <w:rsid w:val="00954B20"/>
    <w:rsid w:val="00954CF9"/>
    <w:rsid w:val="00955642"/>
    <w:rsid w:val="009558B2"/>
    <w:rsid w:val="00956A8D"/>
    <w:rsid w:val="009604F4"/>
    <w:rsid w:val="00962D65"/>
    <w:rsid w:val="009636AF"/>
    <w:rsid w:val="0096652B"/>
    <w:rsid w:val="00970737"/>
    <w:rsid w:val="00970DCA"/>
    <w:rsid w:val="0097739B"/>
    <w:rsid w:val="00983AEB"/>
    <w:rsid w:val="00987776"/>
    <w:rsid w:val="00997137"/>
    <w:rsid w:val="009A48DF"/>
    <w:rsid w:val="009C2C9B"/>
    <w:rsid w:val="009C6F29"/>
    <w:rsid w:val="009D2960"/>
    <w:rsid w:val="009D6A8C"/>
    <w:rsid w:val="009E26CE"/>
    <w:rsid w:val="009E26F8"/>
    <w:rsid w:val="009E2DAD"/>
    <w:rsid w:val="009E650D"/>
    <w:rsid w:val="009F029C"/>
    <w:rsid w:val="009F410B"/>
    <w:rsid w:val="009F62EB"/>
    <w:rsid w:val="00A0203E"/>
    <w:rsid w:val="00A04756"/>
    <w:rsid w:val="00A052D1"/>
    <w:rsid w:val="00A07BD5"/>
    <w:rsid w:val="00A07C88"/>
    <w:rsid w:val="00A111DB"/>
    <w:rsid w:val="00A127EE"/>
    <w:rsid w:val="00A13C05"/>
    <w:rsid w:val="00A16EE1"/>
    <w:rsid w:val="00A258E5"/>
    <w:rsid w:val="00A316DD"/>
    <w:rsid w:val="00A41702"/>
    <w:rsid w:val="00A42656"/>
    <w:rsid w:val="00A43812"/>
    <w:rsid w:val="00A45B6E"/>
    <w:rsid w:val="00A465EE"/>
    <w:rsid w:val="00A507D7"/>
    <w:rsid w:val="00A50FA9"/>
    <w:rsid w:val="00A51360"/>
    <w:rsid w:val="00A51F4C"/>
    <w:rsid w:val="00A53230"/>
    <w:rsid w:val="00A5465E"/>
    <w:rsid w:val="00A606DA"/>
    <w:rsid w:val="00A6550B"/>
    <w:rsid w:val="00A659C7"/>
    <w:rsid w:val="00A6620B"/>
    <w:rsid w:val="00A66BC8"/>
    <w:rsid w:val="00A70347"/>
    <w:rsid w:val="00A7702D"/>
    <w:rsid w:val="00A920E0"/>
    <w:rsid w:val="00A94388"/>
    <w:rsid w:val="00AB0D78"/>
    <w:rsid w:val="00AB27A1"/>
    <w:rsid w:val="00AB3254"/>
    <w:rsid w:val="00AB50B7"/>
    <w:rsid w:val="00AB587A"/>
    <w:rsid w:val="00AB690F"/>
    <w:rsid w:val="00AC0240"/>
    <w:rsid w:val="00AC78C8"/>
    <w:rsid w:val="00AC7DBC"/>
    <w:rsid w:val="00AD768F"/>
    <w:rsid w:val="00AD7A3D"/>
    <w:rsid w:val="00AE1398"/>
    <w:rsid w:val="00AE2C54"/>
    <w:rsid w:val="00AF3B7B"/>
    <w:rsid w:val="00AF559E"/>
    <w:rsid w:val="00AF6F9F"/>
    <w:rsid w:val="00B013AA"/>
    <w:rsid w:val="00B018AA"/>
    <w:rsid w:val="00B0489E"/>
    <w:rsid w:val="00B06336"/>
    <w:rsid w:val="00B06C49"/>
    <w:rsid w:val="00B074C6"/>
    <w:rsid w:val="00B12DE0"/>
    <w:rsid w:val="00B17390"/>
    <w:rsid w:val="00B17613"/>
    <w:rsid w:val="00B21CFD"/>
    <w:rsid w:val="00B228CA"/>
    <w:rsid w:val="00B23C06"/>
    <w:rsid w:val="00B31906"/>
    <w:rsid w:val="00B3587D"/>
    <w:rsid w:val="00B35E90"/>
    <w:rsid w:val="00B42FBB"/>
    <w:rsid w:val="00B455CA"/>
    <w:rsid w:val="00B538F7"/>
    <w:rsid w:val="00B53BE5"/>
    <w:rsid w:val="00B5525D"/>
    <w:rsid w:val="00B60E96"/>
    <w:rsid w:val="00B61781"/>
    <w:rsid w:val="00B6563E"/>
    <w:rsid w:val="00B75C76"/>
    <w:rsid w:val="00B83611"/>
    <w:rsid w:val="00B84FD3"/>
    <w:rsid w:val="00B8795A"/>
    <w:rsid w:val="00B87E10"/>
    <w:rsid w:val="00B9457F"/>
    <w:rsid w:val="00BA0093"/>
    <w:rsid w:val="00BA39F0"/>
    <w:rsid w:val="00BB26D3"/>
    <w:rsid w:val="00BB2BAA"/>
    <w:rsid w:val="00BB4883"/>
    <w:rsid w:val="00BB55D1"/>
    <w:rsid w:val="00BB566B"/>
    <w:rsid w:val="00BC2AE3"/>
    <w:rsid w:val="00BC6BD2"/>
    <w:rsid w:val="00BD1F2B"/>
    <w:rsid w:val="00BD3CEF"/>
    <w:rsid w:val="00BE2AA0"/>
    <w:rsid w:val="00BE36A9"/>
    <w:rsid w:val="00BE615F"/>
    <w:rsid w:val="00BF376B"/>
    <w:rsid w:val="00BF3983"/>
    <w:rsid w:val="00BF4116"/>
    <w:rsid w:val="00BF65D8"/>
    <w:rsid w:val="00C05EE9"/>
    <w:rsid w:val="00C06073"/>
    <w:rsid w:val="00C07E54"/>
    <w:rsid w:val="00C16FD2"/>
    <w:rsid w:val="00C26634"/>
    <w:rsid w:val="00C33DFC"/>
    <w:rsid w:val="00C34E20"/>
    <w:rsid w:val="00C35DF5"/>
    <w:rsid w:val="00C4404F"/>
    <w:rsid w:val="00C45E8B"/>
    <w:rsid w:val="00C57E4C"/>
    <w:rsid w:val="00C62FAF"/>
    <w:rsid w:val="00C71366"/>
    <w:rsid w:val="00C729EF"/>
    <w:rsid w:val="00C73D4B"/>
    <w:rsid w:val="00C77E4C"/>
    <w:rsid w:val="00C80E18"/>
    <w:rsid w:val="00C85529"/>
    <w:rsid w:val="00C90081"/>
    <w:rsid w:val="00C929B4"/>
    <w:rsid w:val="00C95767"/>
    <w:rsid w:val="00CA219D"/>
    <w:rsid w:val="00CB2332"/>
    <w:rsid w:val="00CB3203"/>
    <w:rsid w:val="00CC0A19"/>
    <w:rsid w:val="00CC70C9"/>
    <w:rsid w:val="00CD0ADE"/>
    <w:rsid w:val="00CD147C"/>
    <w:rsid w:val="00CD1557"/>
    <w:rsid w:val="00CD3ACC"/>
    <w:rsid w:val="00CE2AF5"/>
    <w:rsid w:val="00CF6ABD"/>
    <w:rsid w:val="00D026BC"/>
    <w:rsid w:val="00D07757"/>
    <w:rsid w:val="00D1200D"/>
    <w:rsid w:val="00D14D61"/>
    <w:rsid w:val="00D1651C"/>
    <w:rsid w:val="00D30923"/>
    <w:rsid w:val="00D328C0"/>
    <w:rsid w:val="00D32D00"/>
    <w:rsid w:val="00D35F50"/>
    <w:rsid w:val="00D4128B"/>
    <w:rsid w:val="00D45F02"/>
    <w:rsid w:val="00D51B05"/>
    <w:rsid w:val="00D602F4"/>
    <w:rsid w:val="00D61EC8"/>
    <w:rsid w:val="00D63400"/>
    <w:rsid w:val="00D63AFE"/>
    <w:rsid w:val="00D67D3F"/>
    <w:rsid w:val="00D67D88"/>
    <w:rsid w:val="00D71443"/>
    <w:rsid w:val="00D7657D"/>
    <w:rsid w:val="00D821DB"/>
    <w:rsid w:val="00D864E4"/>
    <w:rsid w:val="00DA10BF"/>
    <w:rsid w:val="00DA18A2"/>
    <w:rsid w:val="00DA2337"/>
    <w:rsid w:val="00DA2F53"/>
    <w:rsid w:val="00DB3FDE"/>
    <w:rsid w:val="00DB6EC0"/>
    <w:rsid w:val="00DC1353"/>
    <w:rsid w:val="00DC177D"/>
    <w:rsid w:val="00DC4B57"/>
    <w:rsid w:val="00DC586F"/>
    <w:rsid w:val="00DE71C1"/>
    <w:rsid w:val="00DE7F5F"/>
    <w:rsid w:val="00DF22B5"/>
    <w:rsid w:val="00DF27D3"/>
    <w:rsid w:val="00DF2D78"/>
    <w:rsid w:val="00E00F6D"/>
    <w:rsid w:val="00E06E02"/>
    <w:rsid w:val="00E06E44"/>
    <w:rsid w:val="00E06F49"/>
    <w:rsid w:val="00E077F8"/>
    <w:rsid w:val="00E10B23"/>
    <w:rsid w:val="00E12258"/>
    <w:rsid w:val="00E17DEB"/>
    <w:rsid w:val="00E17F99"/>
    <w:rsid w:val="00E22E63"/>
    <w:rsid w:val="00E309D7"/>
    <w:rsid w:val="00E30BFD"/>
    <w:rsid w:val="00E312CF"/>
    <w:rsid w:val="00E3133B"/>
    <w:rsid w:val="00E332F4"/>
    <w:rsid w:val="00E34C70"/>
    <w:rsid w:val="00E35DA9"/>
    <w:rsid w:val="00E37AE4"/>
    <w:rsid w:val="00E43F8B"/>
    <w:rsid w:val="00E46093"/>
    <w:rsid w:val="00E50E6E"/>
    <w:rsid w:val="00E52E42"/>
    <w:rsid w:val="00E56F9C"/>
    <w:rsid w:val="00E62515"/>
    <w:rsid w:val="00E625CA"/>
    <w:rsid w:val="00E627C5"/>
    <w:rsid w:val="00E63405"/>
    <w:rsid w:val="00E66840"/>
    <w:rsid w:val="00E7047A"/>
    <w:rsid w:val="00E7193A"/>
    <w:rsid w:val="00E71B6E"/>
    <w:rsid w:val="00E71EC7"/>
    <w:rsid w:val="00E758AA"/>
    <w:rsid w:val="00E76DA0"/>
    <w:rsid w:val="00E77268"/>
    <w:rsid w:val="00E81554"/>
    <w:rsid w:val="00E84DAC"/>
    <w:rsid w:val="00E865D8"/>
    <w:rsid w:val="00E86BF6"/>
    <w:rsid w:val="00E87B95"/>
    <w:rsid w:val="00E90768"/>
    <w:rsid w:val="00E92D7F"/>
    <w:rsid w:val="00E93621"/>
    <w:rsid w:val="00E96758"/>
    <w:rsid w:val="00EA015D"/>
    <w:rsid w:val="00EA1398"/>
    <w:rsid w:val="00EA3059"/>
    <w:rsid w:val="00EA3F87"/>
    <w:rsid w:val="00EA637A"/>
    <w:rsid w:val="00EB51D0"/>
    <w:rsid w:val="00EC2BBE"/>
    <w:rsid w:val="00EC6D09"/>
    <w:rsid w:val="00EC784F"/>
    <w:rsid w:val="00ED0E49"/>
    <w:rsid w:val="00ED17BA"/>
    <w:rsid w:val="00ED191B"/>
    <w:rsid w:val="00ED1EB6"/>
    <w:rsid w:val="00ED3538"/>
    <w:rsid w:val="00ED38EB"/>
    <w:rsid w:val="00ED459D"/>
    <w:rsid w:val="00EE2C3F"/>
    <w:rsid w:val="00EE51F4"/>
    <w:rsid w:val="00EF1073"/>
    <w:rsid w:val="00EF18B4"/>
    <w:rsid w:val="00EF361B"/>
    <w:rsid w:val="00EF7480"/>
    <w:rsid w:val="00F03B3D"/>
    <w:rsid w:val="00F05F24"/>
    <w:rsid w:val="00F07692"/>
    <w:rsid w:val="00F119C4"/>
    <w:rsid w:val="00F12A84"/>
    <w:rsid w:val="00F220A8"/>
    <w:rsid w:val="00F235B8"/>
    <w:rsid w:val="00F250DB"/>
    <w:rsid w:val="00F31934"/>
    <w:rsid w:val="00F33EA1"/>
    <w:rsid w:val="00F35C01"/>
    <w:rsid w:val="00F40220"/>
    <w:rsid w:val="00F44291"/>
    <w:rsid w:val="00F44463"/>
    <w:rsid w:val="00F4587C"/>
    <w:rsid w:val="00F51902"/>
    <w:rsid w:val="00F56886"/>
    <w:rsid w:val="00F63651"/>
    <w:rsid w:val="00F64FAB"/>
    <w:rsid w:val="00F67450"/>
    <w:rsid w:val="00F71EC2"/>
    <w:rsid w:val="00F73D2D"/>
    <w:rsid w:val="00F745BB"/>
    <w:rsid w:val="00F74B0C"/>
    <w:rsid w:val="00F817E1"/>
    <w:rsid w:val="00F82CA2"/>
    <w:rsid w:val="00F83960"/>
    <w:rsid w:val="00F85E5E"/>
    <w:rsid w:val="00F861D5"/>
    <w:rsid w:val="00F862FB"/>
    <w:rsid w:val="00F865B5"/>
    <w:rsid w:val="00FC3B61"/>
    <w:rsid w:val="00FC72ED"/>
    <w:rsid w:val="00FD0428"/>
    <w:rsid w:val="00FD08DA"/>
    <w:rsid w:val="00FD2DD5"/>
    <w:rsid w:val="00FD3AAE"/>
    <w:rsid w:val="00FE0400"/>
    <w:rsid w:val="00FE070F"/>
    <w:rsid w:val="00FE0CD5"/>
    <w:rsid w:val="00FE4B4B"/>
    <w:rsid w:val="00FE7DB6"/>
    <w:rsid w:val="00FF7E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4D3BC9"/>
  <w15:chartTrackingRefBased/>
  <w15:docId w15:val="{FC7327C5-CD17-4D41-82FC-09248586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70F"/>
    <w:pPr>
      <w:tabs>
        <w:tab w:val="center" w:pos="4252"/>
        <w:tab w:val="right" w:pos="8504"/>
      </w:tabs>
      <w:snapToGrid w:val="0"/>
    </w:pPr>
  </w:style>
  <w:style w:type="character" w:customStyle="1" w:styleId="a4">
    <w:name w:val="ヘッダー (文字)"/>
    <w:basedOn w:val="a0"/>
    <w:link w:val="a3"/>
    <w:uiPriority w:val="99"/>
    <w:rsid w:val="00FE070F"/>
  </w:style>
  <w:style w:type="paragraph" w:styleId="a5">
    <w:name w:val="footer"/>
    <w:basedOn w:val="a"/>
    <w:link w:val="a6"/>
    <w:uiPriority w:val="99"/>
    <w:unhideWhenUsed/>
    <w:rsid w:val="00FE070F"/>
    <w:pPr>
      <w:tabs>
        <w:tab w:val="center" w:pos="4252"/>
        <w:tab w:val="right" w:pos="8504"/>
      </w:tabs>
      <w:snapToGrid w:val="0"/>
    </w:pPr>
  </w:style>
  <w:style w:type="character" w:customStyle="1" w:styleId="a6">
    <w:name w:val="フッター (文字)"/>
    <w:basedOn w:val="a0"/>
    <w:link w:val="a5"/>
    <w:uiPriority w:val="99"/>
    <w:rsid w:val="00FE070F"/>
  </w:style>
  <w:style w:type="character" w:styleId="a7">
    <w:name w:val="Hyperlink"/>
    <w:basedOn w:val="a0"/>
    <w:uiPriority w:val="99"/>
    <w:unhideWhenUsed/>
    <w:rsid w:val="00297208"/>
    <w:rPr>
      <w:color w:val="0000FF"/>
      <w:u w:val="single"/>
    </w:rPr>
  </w:style>
  <w:style w:type="paragraph" w:customStyle="1" w:styleId="EndNoteBibliographyTitle">
    <w:name w:val="EndNote Bibliography Title"/>
    <w:basedOn w:val="a"/>
    <w:link w:val="EndNoteBibliographyTitle0"/>
    <w:rsid w:val="005D4FAC"/>
    <w:pPr>
      <w:jc w:val="center"/>
    </w:pPr>
    <w:rPr>
      <w:rFonts w:cs="Times New Roman"/>
      <w:noProof/>
    </w:rPr>
  </w:style>
  <w:style w:type="character" w:customStyle="1" w:styleId="EndNoteBibliographyTitle0">
    <w:name w:val="EndNote Bibliography Title (文字)"/>
    <w:basedOn w:val="a0"/>
    <w:link w:val="EndNoteBibliographyTitle"/>
    <w:rsid w:val="005D4FAC"/>
    <w:rPr>
      <w:rFonts w:cs="Times New Roman"/>
      <w:noProof/>
    </w:rPr>
  </w:style>
  <w:style w:type="paragraph" w:customStyle="1" w:styleId="EndNoteBibliography">
    <w:name w:val="EndNote Bibliography"/>
    <w:basedOn w:val="a"/>
    <w:link w:val="EndNoteBibliography0"/>
    <w:rsid w:val="005D4FAC"/>
    <w:rPr>
      <w:rFonts w:cs="Times New Roman"/>
      <w:noProof/>
    </w:rPr>
  </w:style>
  <w:style w:type="character" w:customStyle="1" w:styleId="EndNoteBibliography0">
    <w:name w:val="EndNote Bibliography (文字)"/>
    <w:basedOn w:val="a0"/>
    <w:link w:val="EndNoteBibliography"/>
    <w:rsid w:val="005D4FAC"/>
    <w:rPr>
      <w:rFonts w:cs="Times New Roman"/>
      <w:noProof/>
    </w:rPr>
  </w:style>
  <w:style w:type="character" w:styleId="a8">
    <w:name w:val="Unresolved Mention"/>
    <w:basedOn w:val="a0"/>
    <w:uiPriority w:val="99"/>
    <w:semiHidden/>
    <w:unhideWhenUsed/>
    <w:rsid w:val="00BB55D1"/>
    <w:rPr>
      <w:color w:val="605E5C"/>
      <w:shd w:val="clear" w:color="auto" w:fill="E1DFDD"/>
    </w:rPr>
  </w:style>
  <w:style w:type="character" w:styleId="a9">
    <w:name w:val="line number"/>
    <w:basedOn w:val="a0"/>
    <w:uiPriority w:val="99"/>
    <w:semiHidden/>
    <w:unhideWhenUsed/>
    <w:rsid w:val="0038627A"/>
  </w:style>
  <w:style w:type="character" w:styleId="aa">
    <w:name w:val="Emphasis"/>
    <w:basedOn w:val="a0"/>
    <w:uiPriority w:val="20"/>
    <w:qFormat/>
    <w:rsid w:val="0038627A"/>
    <w:rPr>
      <w:i/>
      <w:iCs/>
    </w:rPr>
  </w:style>
  <w:style w:type="paragraph" w:styleId="Web">
    <w:name w:val="Normal (Web)"/>
    <w:basedOn w:val="a"/>
    <w:uiPriority w:val="99"/>
    <w:semiHidden/>
    <w:unhideWhenUsed/>
    <w:rsid w:val="0038627A"/>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styleId="ab">
    <w:name w:val="Table Grid"/>
    <w:basedOn w:val="a1"/>
    <w:uiPriority w:val="39"/>
    <w:rsid w:val="00FD3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FD3AA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
    <w:name w:val="Plain Table 2"/>
    <w:basedOn w:val="a1"/>
    <w:uiPriority w:val="42"/>
    <w:rsid w:val="00FD3A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556317">
      <w:bodyDiv w:val="1"/>
      <w:marLeft w:val="0"/>
      <w:marRight w:val="0"/>
      <w:marTop w:val="0"/>
      <w:marBottom w:val="0"/>
      <w:divBdr>
        <w:top w:val="none" w:sz="0" w:space="0" w:color="auto"/>
        <w:left w:val="none" w:sz="0" w:space="0" w:color="auto"/>
        <w:bottom w:val="none" w:sz="0" w:space="0" w:color="auto"/>
        <w:right w:val="none" w:sz="0" w:space="0" w:color="auto"/>
      </w:divBdr>
    </w:div>
    <w:div w:id="388504634">
      <w:bodyDiv w:val="1"/>
      <w:marLeft w:val="0"/>
      <w:marRight w:val="0"/>
      <w:marTop w:val="0"/>
      <w:marBottom w:val="0"/>
      <w:divBdr>
        <w:top w:val="none" w:sz="0" w:space="0" w:color="auto"/>
        <w:left w:val="none" w:sz="0" w:space="0" w:color="auto"/>
        <w:bottom w:val="none" w:sz="0" w:space="0" w:color="auto"/>
        <w:right w:val="none" w:sz="0" w:space="0" w:color="auto"/>
      </w:divBdr>
      <w:divsChild>
        <w:div w:id="539049095">
          <w:marLeft w:val="0"/>
          <w:marRight w:val="0"/>
          <w:marTop w:val="0"/>
          <w:marBottom w:val="0"/>
          <w:divBdr>
            <w:top w:val="none" w:sz="0" w:space="0" w:color="auto"/>
            <w:left w:val="none" w:sz="0" w:space="0" w:color="auto"/>
            <w:bottom w:val="none" w:sz="0" w:space="0" w:color="auto"/>
            <w:right w:val="none" w:sz="0" w:space="0" w:color="auto"/>
          </w:divBdr>
        </w:div>
      </w:divsChild>
    </w:div>
    <w:div w:id="668751882">
      <w:bodyDiv w:val="1"/>
      <w:marLeft w:val="0"/>
      <w:marRight w:val="0"/>
      <w:marTop w:val="0"/>
      <w:marBottom w:val="0"/>
      <w:divBdr>
        <w:top w:val="none" w:sz="0" w:space="0" w:color="auto"/>
        <w:left w:val="none" w:sz="0" w:space="0" w:color="auto"/>
        <w:bottom w:val="none" w:sz="0" w:space="0" w:color="auto"/>
        <w:right w:val="none" w:sz="0" w:space="0" w:color="auto"/>
      </w:divBdr>
    </w:div>
    <w:div w:id="907230119">
      <w:bodyDiv w:val="1"/>
      <w:marLeft w:val="0"/>
      <w:marRight w:val="0"/>
      <w:marTop w:val="0"/>
      <w:marBottom w:val="0"/>
      <w:divBdr>
        <w:top w:val="none" w:sz="0" w:space="0" w:color="auto"/>
        <w:left w:val="none" w:sz="0" w:space="0" w:color="auto"/>
        <w:bottom w:val="none" w:sz="0" w:space="0" w:color="auto"/>
        <w:right w:val="none" w:sz="0" w:space="0" w:color="auto"/>
      </w:divBdr>
    </w:div>
    <w:div w:id="1029797469">
      <w:bodyDiv w:val="1"/>
      <w:marLeft w:val="0"/>
      <w:marRight w:val="0"/>
      <w:marTop w:val="0"/>
      <w:marBottom w:val="0"/>
      <w:divBdr>
        <w:top w:val="none" w:sz="0" w:space="0" w:color="auto"/>
        <w:left w:val="none" w:sz="0" w:space="0" w:color="auto"/>
        <w:bottom w:val="none" w:sz="0" w:space="0" w:color="auto"/>
        <w:right w:val="none" w:sz="0" w:space="0" w:color="auto"/>
      </w:divBdr>
    </w:div>
    <w:div w:id="1182086198">
      <w:bodyDiv w:val="1"/>
      <w:marLeft w:val="0"/>
      <w:marRight w:val="0"/>
      <w:marTop w:val="0"/>
      <w:marBottom w:val="0"/>
      <w:divBdr>
        <w:top w:val="none" w:sz="0" w:space="0" w:color="auto"/>
        <w:left w:val="none" w:sz="0" w:space="0" w:color="auto"/>
        <w:bottom w:val="none" w:sz="0" w:space="0" w:color="auto"/>
        <w:right w:val="none" w:sz="0" w:space="0" w:color="auto"/>
      </w:divBdr>
    </w:div>
    <w:div w:id="1731422915">
      <w:bodyDiv w:val="1"/>
      <w:marLeft w:val="0"/>
      <w:marRight w:val="0"/>
      <w:marTop w:val="0"/>
      <w:marBottom w:val="0"/>
      <w:divBdr>
        <w:top w:val="none" w:sz="0" w:space="0" w:color="auto"/>
        <w:left w:val="none" w:sz="0" w:space="0" w:color="auto"/>
        <w:bottom w:val="none" w:sz="0" w:space="0" w:color="auto"/>
        <w:right w:val="none" w:sz="0" w:space="0" w:color="auto"/>
      </w:divBdr>
    </w:div>
    <w:div w:id="179767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157E1-4791-45CF-AE74-F715EE17A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14246</TotalTime>
  <Pages>2</Pages>
  <Words>652</Words>
  <Characters>3719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脇屋 太一</dc:creator>
  <cp:keywords/>
  <dc:description/>
  <cp:lastModifiedBy>太一</cp:lastModifiedBy>
  <cp:revision>501</cp:revision>
  <cp:lastPrinted>2022-04-08T03:29:00Z</cp:lastPrinted>
  <dcterms:created xsi:type="dcterms:W3CDTF">2022-02-08T07:13:00Z</dcterms:created>
  <dcterms:modified xsi:type="dcterms:W3CDTF">2023-07-20T04:02:00Z</dcterms:modified>
</cp:coreProperties>
</file>