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1D6F4" w14:textId="77777777" w:rsidR="00E83D2F" w:rsidRPr="00171465" w:rsidRDefault="00E83D2F" w:rsidP="00E83D2F">
      <w:pPr>
        <w:rPr>
          <w:b/>
        </w:rPr>
      </w:pPr>
      <w:r w:rsidRPr="00171465">
        <w:rPr>
          <w:b/>
        </w:rPr>
        <w:t>Supplementary Information S1:</w:t>
      </w:r>
    </w:p>
    <w:p w14:paraId="48C0209D" w14:textId="77777777" w:rsidR="00E83D2F" w:rsidRDefault="00E83D2F" w:rsidP="00E83D2F">
      <w:r>
        <w:t>Case definition of mortality due to newborn jaundice:</w:t>
      </w:r>
    </w:p>
    <w:p w14:paraId="0DAFF5F0" w14:textId="77777777" w:rsidR="00E83D2F" w:rsidRDefault="00E83D2F" w:rsidP="00E83D2F">
      <w:r>
        <w:t xml:space="preserve">The case definition used for estimating the burden of </w:t>
      </w:r>
      <w:proofErr w:type="spellStart"/>
      <w:r>
        <w:t>haemolytic</w:t>
      </w:r>
      <w:proofErr w:type="spellEnd"/>
      <w:r>
        <w:t xml:space="preserve"> disease of the newborn and neonatal jaundice include the conditions that are characterized by extreme hyperbilirubinemia in infants (ICD 10 codes P55-59), which can lead to kernicterus, a bilirubin-induced brain injury. Jaundice is defined as a serum bilirubin level exceeding 5 mg/dl, while extreme hyperbilirubinemia is defined as a level exceeding 25 mg/dl in the neonatal period. Kernicterus is a clinical diagnosis resulting from an episode of extreme hyperbilirubinemia. </w:t>
      </w:r>
    </w:p>
    <w:p w14:paraId="327AB5EE" w14:textId="77777777" w:rsidR="00E83D2F" w:rsidRDefault="00E83D2F" w:rsidP="00E83D2F">
      <w:r>
        <w:t>The Global Burden of Disease (GBD) estimates are limited to the incidence, prevalence, and years lived with disability (YLDs) caused by extreme hyperbilirubinemia and kernicterus. GBD  2019 classified cases of extreme hyperbilirubinemia that do not progress to kernicterus as mild impairment, while those that do progress to kernicterus are classified as moderate/severe impairment. The etiologies considered in estimates include Rhesus (Rh) disease, preterm birth, glucose-6-phosphate dehydrogenase deficiency (G6PD), and other causes. Model estimates were derived from three steps.</w:t>
      </w:r>
    </w:p>
    <w:p w14:paraId="28A238B7" w14:textId="77777777" w:rsidR="00E83D2F" w:rsidRPr="00E83D2F" w:rsidRDefault="00E83D2F" w:rsidP="00E83D2F">
      <w:pPr>
        <w:rPr>
          <w:i/>
        </w:rPr>
      </w:pPr>
      <w:r w:rsidRPr="00E83D2F">
        <w:rPr>
          <w:i/>
        </w:rPr>
        <w:t>Step 1: Estimating EHB due to Rh Disease</w:t>
      </w:r>
    </w:p>
    <w:p w14:paraId="7266825E" w14:textId="77777777" w:rsidR="00E83D2F" w:rsidRDefault="00E83D2F" w:rsidP="00E83D2F">
      <w:r>
        <w:t>To estimate the birth prevalence of EHB (extreme hyperbilirubinemia) due to Rh disease, the following equation is used:</w:t>
      </w:r>
    </w:p>
    <w:p w14:paraId="61A451B3" w14:textId="77777777" w:rsidR="00E83D2F" w:rsidRDefault="00E83D2F" w:rsidP="00E83D2F">
      <w:r>
        <w:t>EHB Prevalence = Rh negative prevalence * (1 – Rh negative prevalence) * (2010 Rhogam doses / 2010 Rh incompatible babies) * (not-firstborn prevalence) * 0.15</w:t>
      </w:r>
    </w:p>
    <w:p w14:paraId="77DF1C1C" w14:textId="77777777" w:rsidR="00E83D2F" w:rsidRDefault="00E83D2F" w:rsidP="00E83D2F">
      <w:r>
        <w:t>The inputs and approach for each component of the equation are as follows:</w:t>
      </w:r>
    </w:p>
    <w:p w14:paraId="45466771" w14:textId="77777777" w:rsidR="00E83D2F" w:rsidRDefault="00E83D2F" w:rsidP="00E83D2F">
      <w:r>
        <w:t>Birth prevalence data: Rh negativity prevalence was obtained from literature through a systematic review for GBD 2010 and updated for GBD 2019. The PubMed database was searched using a specific string, and studies that did not meet certain exclusion criteria were included in the analysis.</w:t>
      </w:r>
    </w:p>
    <w:p w14:paraId="38FB2AE6" w14:textId="77777777" w:rsidR="00E83D2F" w:rsidRDefault="00E83D2F" w:rsidP="00E83D2F">
      <w:r>
        <w:t>EHB proportion: The 0.15 multiplier used in the EHB prevalence formula was also from literature and represents the proportion of babies at risk for Rh disease who develop EHB. However, there is no corresponding information on the proportion of babies who only develop jaundice (and not EHB).</w:t>
      </w:r>
    </w:p>
    <w:p w14:paraId="16A99306" w14:textId="77777777" w:rsidR="00E83D2F" w:rsidRDefault="00E83D2F" w:rsidP="00E83D2F">
      <w:r>
        <w:t xml:space="preserve">Modelling strategy: A single-parameter </w:t>
      </w:r>
      <w:proofErr w:type="spellStart"/>
      <w:r>
        <w:t>DisMod</w:t>
      </w:r>
      <w:proofErr w:type="spellEnd"/>
      <w:r>
        <w:t>-MR 2.1 model was used to estimate Rh negativity prevalence, and a mixed-effect regression was used to estimate the prevalence of birth order greater than one for every location-year. The assumption was made that Rh negativity did not vary by age, the proportion of Rhogam doses to Rh-incompatible children stayed constant over time, and that countries with NMR&lt;5 had complete Rhogam coverage based on assumptions made in the literature.</w:t>
      </w:r>
    </w:p>
    <w:p w14:paraId="0279FC04" w14:textId="77777777" w:rsidR="00171465" w:rsidRDefault="00171465" w:rsidP="00E83D2F"/>
    <w:p w14:paraId="1CC5C6B9" w14:textId="77777777" w:rsidR="00171465" w:rsidRDefault="00171465" w:rsidP="00E83D2F"/>
    <w:p w14:paraId="6A65738F" w14:textId="77777777" w:rsidR="00171465" w:rsidRDefault="00171465" w:rsidP="00E83D2F"/>
    <w:p w14:paraId="510F2950" w14:textId="77777777" w:rsidR="00171465" w:rsidRDefault="00171465" w:rsidP="00E83D2F"/>
    <w:p w14:paraId="4DB0BF46" w14:textId="77777777" w:rsidR="00171465" w:rsidRDefault="00171465" w:rsidP="00E83D2F"/>
    <w:p w14:paraId="10A6B8C6" w14:textId="77777777" w:rsidR="00E83D2F" w:rsidRPr="00E83D2F" w:rsidRDefault="00E83D2F" w:rsidP="00E83D2F">
      <w:pPr>
        <w:rPr>
          <w:i/>
        </w:rPr>
      </w:pPr>
      <w:r w:rsidRPr="00E83D2F">
        <w:rPr>
          <w:i/>
        </w:rPr>
        <w:lastRenderedPageBreak/>
        <w:t>Step 2: Estimating EHB due to G6PD Deficiency, Neonatal Preterm Birth, and Other Causes</w:t>
      </w:r>
    </w:p>
    <w:p w14:paraId="670B3D53" w14:textId="77777777" w:rsidR="00E83D2F" w:rsidRDefault="00E83D2F" w:rsidP="00E83D2F">
      <w:r>
        <w:t>To estimate the birth prevalence of EHB due to non-Rh disease, the following inputs and approach were used:</w:t>
      </w:r>
    </w:p>
    <w:p w14:paraId="353C783D" w14:textId="77777777" w:rsidR="00E83D2F" w:rsidRDefault="00E83D2F" w:rsidP="00E83D2F">
      <w:r>
        <w:t>Input data: The data used were the prevalence of neonatal preterm birth, prevalence of G6PD deficiency, and the proportion of cases who develop EHB. The proportion who develop EHB was derived from Bhutani et al 2013.</w:t>
      </w:r>
    </w:p>
    <w:p w14:paraId="6BDD82E4" w14:textId="77777777" w:rsidR="00E83D2F" w:rsidRDefault="00E83D2F" w:rsidP="00E83D2F">
      <w:r>
        <w:t>Modelling strategy: The birth prevalence estimates for G6PD deficiency and neonatal preterm birth came from the corresponding GBD 2019 models of those two conditions. The birth prevalence of other causes was based on the assumption that all babies who don't have any of the three modelled conditions (Rh, G6PD deficiency, and preterm birth) still have some probability of developing EHB. The birth prevalence of Rh disease, G6PD deficiency, and preterm births (as calculated in previous steps) were summed, and this value was subtracted from 1 to obtain the birth prevalence of all other causes.</w:t>
      </w:r>
    </w:p>
    <w:p w14:paraId="2BF350A7" w14:textId="77777777" w:rsidR="00E83D2F" w:rsidRDefault="00E83D2F" w:rsidP="00E83D2F"/>
    <w:p w14:paraId="3069D8D5" w14:textId="77777777" w:rsidR="00E83D2F" w:rsidRPr="00E83D2F" w:rsidRDefault="00E83D2F" w:rsidP="00E83D2F">
      <w:pPr>
        <w:rPr>
          <w:i/>
        </w:rPr>
      </w:pPr>
      <w:r w:rsidRPr="00E83D2F">
        <w:rPr>
          <w:i/>
        </w:rPr>
        <w:t>Step 3: Estimating Kernicterus Prevalence</w:t>
      </w:r>
    </w:p>
    <w:p w14:paraId="67B025C3" w14:textId="77777777" w:rsidR="00E83D2F" w:rsidRDefault="00E83D2F" w:rsidP="00E83D2F">
      <w:r>
        <w:t>To estimate the birth prevalence of kernicterus, the following inputs and approach were used:</w:t>
      </w:r>
    </w:p>
    <w:p w14:paraId="6BA5A77E" w14:textId="77777777" w:rsidR="00E83D2F" w:rsidRDefault="00E83D2F" w:rsidP="00E83D2F">
      <w:r>
        <w:t>Input data: Data on the probability of kernicterus was extracted from literature through a systematic review for GBD 2019, along with the probability of EHB and prevalence of neonatal jaundice as a whole. Studies that did not meet certain exclusion criteria were included in the analysis.</w:t>
      </w:r>
    </w:p>
    <w:p w14:paraId="4D177E11" w14:textId="77777777" w:rsidR="00E83D2F" w:rsidRDefault="00E83D2F" w:rsidP="00E83D2F">
      <w:r>
        <w:t>Modelling strategy: Kernicterus probability was modelled as a function of HAQI and initial total serum bilirubin level (TSB) in GBD 2019, and location-year-specific kernicterus proportions were generated. These proportions were used to calculate kernicterus from non-Rh EHB. However, a pooled value from literature of 0.072 (0.038, 0.112) was used for the proportion of cases of EHB due to Rh disease who develop kernicterus.</w:t>
      </w:r>
    </w:p>
    <w:p w14:paraId="194C1E3B" w14:textId="77777777" w:rsidR="00E83D2F" w:rsidRDefault="00E83D2F" w:rsidP="00E83D2F"/>
    <w:p w14:paraId="18307EEC" w14:textId="77777777" w:rsidR="00171465" w:rsidRDefault="00171465" w:rsidP="00E83D2F"/>
    <w:p w14:paraId="1781F423" w14:textId="77777777" w:rsidR="00171465" w:rsidRDefault="00171465" w:rsidP="00E83D2F"/>
    <w:p w14:paraId="6F7F925E" w14:textId="77777777" w:rsidR="00171465" w:rsidRDefault="00171465" w:rsidP="00E83D2F"/>
    <w:p w14:paraId="0C1F0E12" w14:textId="77777777" w:rsidR="00171465" w:rsidRDefault="00171465" w:rsidP="00E83D2F"/>
    <w:p w14:paraId="1E6B8E00" w14:textId="77777777" w:rsidR="00171465" w:rsidRDefault="00171465" w:rsidP="00E83D2F"/>
    <w:p w14:paraId="1F335817" w14:textId="77777777" w:rsidR="00171465" w:rsidRDefault="00171465" w:rsidP="00E83D2F"/>
    <w:p w14:paraId="0FC725C7" w14:textId="77777777" w:rsidR="00A00198" w:rsidRDefault="00E83D2F" w:rsidP="00E83D2F">
      <w:r w:rsidRPr="00171465">
        <w:rPr>
          <w:i/>
        </w:rPr>
        <w:t>Reference:</w:t>
      </w:r>
      <w:r>
        <w:t xml:space="preserve"> GBD 2019 Diseases and Injuries Collaborators. Global burden of 369 diseases and injuries in 204 countries and territories, 1990–2019: a systematic analysis for the Global Burden of Disease Study 2019. Lancet 2020; 396: 1204–22. Supplement Appendix 1</w:t>
      </w:r>
    </w:p>
    <w:p w14:paraId="08D28859" w14:textId="28B529B9" w:rsidR="00C66DDE" w:rsidRPr="00B94F97" w:rsidRDefault="00C66DDE" w:rsidP="00B94F97"/>
    <w:sectPr w:rsidR="00C66DDE" w:rsidRPr="00B94F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24EF3"/>
    <w:multiLevelType w:val="hybridMultilevel"/>
    <w:tmpl w:val="D856F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6445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D2F"/>
    <w:rsid w:val="00007D5D"/>
    <w:rsid w:val="00171465"/>
    <w:rsid w:val="001A09C0"/>
    <w:rsid w:val="001B050B"/>
    <w:rsid w:val="003D5444"/>
    <w:rsid w:val="004C74B0"/>
    <w:rsid w:val="00523EE6"/>
    <w:rsid w:val="005E71DD"/>
    <w:rsid w:val="005F79F3"/>
    <w:rsid w:val="008601E0"/>
    <w:rsid w:val="00875A75"/>
    <w:rsid w:val="008D476F"/>
    <w:rsid w:val="008E1DF8"/>
    <w:rsid w:val="00976467"/>
    <w:rsid w:val="00A00198"/>
    <w:rsid w:val="00B24409"/>
    <w:rsid w:val="00B507F6"/>
    <w:rsid w:val="00B94F97"/>
    <w:rsid w:val="00C25A74"/>
    <w:rsid w:val="00C66DDE"/>
    <w:rsid w:val="00DA01F6"/>
    <w:rsid w:val="00DF6D5B"/>
    <w:rsid w:val="00E83D2F"/>
    <w:rsid w:val="00EA1D7C"/>
    <w:rsid w:val="00F95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97D85"/>
  <w15:chartTrackingRefBased/>
  <w15:docId w15:val="{233C1AF6-08F9-4680-BE8D-8CAD9F9B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D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10320">
      <w:bodyDiv w:val="1"/>
      <w:marLeft w:val="0"/>
      <w:marRight w:val="0"/>
      <w:marTop w:val="0"/>
      <w:marBottom w:val="0"/>
      <w:divBdr>
        <w:top w:val="none" w:sz="0" w:space="0" w:color="auto"/>
        <w:left w:val="none" w:sz="0" w:space="0" w:color="auto"/>
        <w:bottom w:val="none" w:sz="0" w:space="0" w:color="auto"/>
        <w:right w:val="none" w:sz="0" w:space="0" w:color="auto"/>
      </w:divBdr>
    </w:div>
    <w:div w:id="666442880">
      <w:bodyDiv w:val="1"/>
      <w:marLeft w:val="0"/>
      <w:marRight w:val="0"/>
      <w:marTop w:val="0"/>
      <w:marBottom w:val="0"/>
      <w:divBdr>
        <w:top w:val="none" w:sz="0" w:space="0" w:color="auto"/>
        <w:left w:val="none" w:sz="0" w:space="0" w:color="auto"/>
        <w:bottom w:val="none" w:sz="0" w:space="0" w:color="auto"/>
        <w:right w:val="none" w:sz="0" w:space="0" w:color="auto"/>
      </w:divBdr>
    </w:div>
    <w:div w:id="1384333101">
      <w:bodyDiv w:val="1"/>
      <w:marLeft w:val="0"/>
      <w:marRight w:val="0"/>
      <w:marTop w:val="0"/>
      <w:marBottom w:val="0"/>
      <w:divBdr>
        <w:top w:val="none" w:sz="0" w:space="0" w:color="auto"/>
        <w:left w:val="none" w:sz="0" w:space="0" w:color="auto"/>
        <w:bottom w:val="none" w:sz="0" w:space="0" w:color="auto"/>
        <w:right w:val="none" w:sz="0" w:space="0" w:color="auto"/>
      </w:divBdr>
    </w:div>
    <w:div w:id="1872837063">
      <w:bodyDiv w:val="1"/>
      <w:marLeft w:val="0"/>
      <w:marRight w:val="0"/>
      <w:marTop w:val="0"/>
      <w:marBottom w:val="0"/>
      <w:divBdr>
        <w:top w:val="none" w:sz="0" w:space="0" w:color="auto"/>
        <w:left w:val="none" w:sz="0" w:space="0" w:color="auto"/>
        <w:bottom w:val="none" w:sz="0" w:space="0" w:color="auto"/>
        <w:right w:val="none" w:sz="0" w:space="0" w:color="auto"/>
      </w:divBdr>
    </w:div>
    <w:div w:id="1937054211">
      <w:bodyDiv w:val="1"/>
      <w:marLeft w:val="0"/>
      <w:marRight w:val="0"/>
      <w:marTop w:val="0"/>
      <w:marBottom w:val="0"/>
      <w:divBdr>
        <w:top w:val="none" w:sz="0" w:space="0" w:color="auto"/>
        <w:left w:val="none" w:sz="0" w:space="0" w:color="auto"/>
        <w:bottom w:val="none" w:sz="0" w:space="0" w:color="auto"/>
        <w:right w:val="none" w:sz="0" w:space="0" w:color="auto"/>
      </w:divBdr>
    </w:div>
    <w:div w:id="1959557093">
      <w:bodyDiv w:val="1"/>
      <w:marLeft w:val="0"/>
      <w:marRight w:val="0"/>
      <w:marTop w:val="0"/>
      <w:marBottom w:val="0"/>
      <w:divBdr>
        <w:top w:val="none" w:sz="0" w:space="0" w:color="auto"/>
        <w:left w:val="none" w:sz="0" w:space="0" w:color="auto"/>
        <w:bottom w:val="none" w:sz="0" w:space="0" w:color="auto"/>
        <w:right w:val="none" w:sz="0" w:space="0" w:color="auto"/>
      </w:divBdr>
    </w:div>
    <w:div w:id="205935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699</Words>
  <Characters>4107</Characters>
  <Application>Microsoft Office Word</Application>
  <DocSecurity>0</DocSecurity>
  <Lines>100</Lines>
  <Paragraphs>39</Paragraphs>
  <ScaleCrop>false</ScaleCrop>
  <HeadingPairs>
    <vt:vector size="2" baseType="variant">
      <vt:variant>
        <vt:lpstr>Title</vt:lpstr>
      </vt:variant>
      <vt:variant>
        <vt:i4>1</vt:i4>
      </vt:variant>
    </vt:vector>
  </HeadingPairs>
  <TitlesOfParts>
    <vt:vector size="1" baseType="lpstr">
      <vt:lpstr/>
    </vt:vector>
  </TitlesOfParts>
  <Company>Cayuga Medical Center</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Vidavalur, Ramesh MD</dc:creator>
  <cp:keywords/>
  <dc:description/>
  <cp:lastModifiedBy>Vinod Bhutani</cp:lastModifiedBy>
  <cp:revision>2</cp:revision>
  <dcterms:created xsi:type="dcterms:W3CDTF">2023-08-07T22:31:00Z</dcterms:created>
  <dcterms:modified xsi:type="dcterms:W3CDTF">2023-08-07T22:31:00Z</dcterms:modified>
</cp:coreProperties>
</file>