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cs="Times New Roman" w:eastAsiaTheme="minorEastAsia"/>
          <w:b/>
          <w:bCs w:val="0"/>
          <w:sz w:val="32"/>
          <w:szCs w:val="32"/>
          <w:lang w:val="en-US" w:eastAsia="zh-C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 w:val="0"/>
          <w:sz w:val="32"/>
          <w:szCs w:val="32"/>
          <w:lang w:val="en-US" w:eastAsia="zh-CN"/>
        </w:rPr>
        <w:t>Enhanced lipid biosynthesis in OSCC cancer associated fibroblasts contributes to tumor progression: role of IL8/AKT/p-ACLY axis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cs="Times New Roman"/>
          <w:i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en-US" w:eastAsia="zh-CN"/>
        </w:rPr>
        <w:t>Pan Liu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i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Yue Wang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Xiang Li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Zhenan Liu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Yunqing Sun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Hanzhe Liu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Zhe Shao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vertAlign w:val="superscript"/>
          <w:lang w:val="en-US" w:eastAsia="zh-CN"/>
        </w:rPr>
        <w:t>,2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Erhui Jiang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vertAlign w:val="superscript"/>
          <w:lang w:val="en-US" w:eastAsia="zh-CN"/>
        </w:rPr>
        <w:t>,2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Xiaocheng Zhou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vertAlign w:val="superscript"/>
          <w:lang w:val="en-US" w:eastAsia="zh-CN"/>
        </w:rPr>
        <w:t>, 3</w:t>
      </w:r>
      <w:r>
        <w:rPr>
          <w:i/>
          <w:sz w:val="24"/>
          <w:szCs w:val="24"/>
        </w:rPr>
        <w:t>*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>, Zhengjun Shang</w:t>
      </w:r>
      <w:r>
        <w:rPr>
          <w:rFonts w:hint="default"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i/>
          <w:sz w:val="24"/>
          <w:szCs w:val="24"/>
          <w:vertAlign w:val="superscript"/>
          <w:lang w:val="en-US" w:eastAsia="zh-CN"/>
        </w:rPr>
        <w:t>, 2</w:t>
      </w:r>
      <w:r>
        <w:rPr>
          <w:i/>
          <w:sz w:val="24"/>
          <w:szCs w:val="24"/>
        </w:rPr>
        <w:t>*</w:t>
      </w:r>
    </w:p>
    <w:p>
      <w:pPr>
        <w:spacing w:line="480" w:lineRule="auto"/>
        <w:rPr>
          <w:rFonts w:ascii="Times New Roman" w:hAnsi="Times New Roman"/>
          <w:szCs w:val="24"/>
          <w:vertAlign w:val="superscript"/>
        </w:rPr>
      </w:pPr>
    </w:p>
    <w:p>
      <w:pPr>
        <w:spacing w:line="480" w:lineRule="auto"/>
        <w:rPr>
          <w:rFonts w:hint="eastAsia" w:ascii="Times New Roman" w:hAnsi="Times New Roman" w:eastAsiaTheme="minorEastAsia" w:cstheme="minorBidi"/>
          <w:i/>
          <w:iCs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eastAsiaTheme="minorEastAsia" w:cstheme="minorBidi"/>
          <w:i/>
          <w:iCs/>
          <w:kern w:val="2"/>
          <w:sz w:val="24"/>
          <w:szCs w:val="24"/>
          <w:lang w:val="en-US" w:eastAsia="zh-CN" w:bidi="ar-SA"/>
        </w:rPr>
        <w:t>State Key Laboratory of Oral &amp; Maxillofacial Reconstruction and Regeneration, Key Laboratory of Oral Biomedicine Ministry of Education, Hubei Key Laboratory of Stomatology, School &amp; Hospital of Stomatology, Wuhan University, Wuhan 430079, P. R. China</w:t>
      </w:r>
    </w:p>
    <w:p>
      <w:pPr>
        <w:pStyle w:val="4"/>
        <w:ind w:firstLine="0"/>
        <w:rPr>
          <w:rFonts w:ascii="Times New Roman" w:hAnsi="Times New Roman"/>
          <w:i/>
          <w:iCs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/>
          <w:i/>
          <w:iCs/>
          <w:sz w:val="24"/>
          <w:szCs w:val="24"/>
          <w:lang w:val="en-US" w:eastAsia="zh-CN"/>
        </w:rPr>
        <w:t xml:space="preserve">Department of oral and Maxillofacial Head and Neck Oncology, </w:t>
      </w:r>
      <w:r>
        <w:rPr>
          <w:rFonts w:ascii="Times New Roman" w:hAnsi="Times New Roman"/>
          <w:i/>
          <w:iCs/>
          <w:sz w:val="24"/>
          <w:szCs w:val="24"/>
        </w:rPr>
        <w:t>School &amp; Hospital of Stomatology, Wuhan University, Wuhan 430079, P. R. China</w:t>
      </w:r>
    </w:p>
    <w:p>
      <w:pPr>
        <w:pStyle w:val="4"/>
        <w:ind w:firstLine="0"/>
        <w:rPr>
          <w:rFonts w:ascii="Times New Roman" w:hAnsi="Times New Roman"/>
          <w:i/>
          <w:iCs/>
          <w:szCs w:val="24"/>
        </w:rPr>
      </w:pPr>
      <w:r>
        <w:rPr>
          <w:rFonts w:hint="eastAsia" w:ascii="Times New Roman" w:hAnsi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/>
          <w:i/>
          <w:iCs/>
          <w:sz w:val="24"/>
          <w:szCs w:val="24"/>
          <w:lang w:val="en-US" w:eastAsia="zh-CN"/>
        </w:rPr>
        <w:t xml:space="preserve">Department of oral and Maxillofacial Surgery, </w:t>
      </w:r>
      <w:r>
        <w:rPr>
          <w:rFonts w:ascii="Times New Roman" w:hAnsi="Times New Roman"/>
          <w:i/>
          <w:iCs/>
          <w:sz w:val="24"/>
          <w:szCs w:val="24"/>
        </w:rPr>
        <w:t>School &amp; Hospital of Stomatology, Wuhan University, Wuhan 430079, P. R. China</w:t>
      </w: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pStyle w:val="5"/>
        <w:adjustRightInd w:val="0"/>
        <w:snapToGrid w:val="0"/>
        <w:spacing w:line="480" w:lineRule="auto"/>
        <w:ind w:left="142" w:hanging="123" w:hangingChars="59"/>
        <w:rPr>
          <w:sz w:val="24"/>
          <w:szCs w:val="24"/>
        </w:rPr>
      </w:pPr>
      <w:r>
        <w:t>*</w:t>
      </w:r>
      <w:r>
        <w:rPr>
          <w:sz w:val="24"/>
          <w:szCs w:val="24"/>
        </w:rPr>
        <w:t>Corresponding authors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.</w:t>
      </w:r>
      <w:r>
        <w:rPr>
          <w:rFonts w:asciiTheme="minorEastAsia" w:hAnsiTheme="minorEastAsia" w:eastAsiaTheme="minorEastAsia"/>
          <w:sz w:val="24"/>
          <w:szCs w:val="24"/>
          <w:lang w:eastAsia="zh-CN"/>
        </w:rPr>
        <w:t xml:space="preserve"> </w:t>
      </w:r>
      <w:r>
        <w:rPr>
          <w:sz w:val="24"/>
          <w:szCs w:val="24"/>
        </w:rPr>
        <w:t>E-mail addresses:</w:t>
      </w:r>
      <w:r>
        <w:rPr>
          <w:rFonts w:hint="eastAsia" w:eastAsia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"mailto:Zhou@whu.edu.cn"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zhouxiaocheng@whu.edu.cn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sz w:val="24"/>
          <w:szCs w:val="24"/>
        </w:rPr>
        <w:t xml:space="preserve"> (</w:t>
      </w:r>
      <w:r>
        <w:rPr>
          <w:rFonts w:hint="eastAsia"/>
          <w:sz w:val="24"/>
          <w:szCs w:val="24"/>
          <w:lang w:val="en-US" w:eastAsia="zh-CN"/>
        </w:rPr>
        <w:t>X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  <w:lang w:val="en-US" w:eastAsia="zh-CN"/>
        </w:rPr>
        <w:t>C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  <w:lang w:val="en-US" w:eastAsia="zh-CN"/>
        </w:rPr>
        <w:t>Zhou</w:t>
      </w:r>
      <w:r>
        <w:rPr>
          <w:sz w:val="24"/>
          <w:szCs w:val="24"/>
        </w:rPr>
        <w:t>); shangzhengjun@whu.edu.cn (Z. Shang).</w:t>
      </w: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rPr>
          <w:rFonts w:hint="eastAsia" w:ascii="Times New Roman" w:hAnsi="Times New Roman" w:eastAsia="宋体"/>
          <w:b/>
          <w:sz w:val="24"/>
          <w:szCs w:val="24"/>
          <w:lang w:eastAsia="zh-CN"/>
        </w:rPr>
      </w:pP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              </w:t>
      </w:r>
      <w:r>
        <w:rPr>
          <w:rFonts w:hint="eastAsia" w:ascii="Times New Roman" w:hAnsi="Times New Roman" w:eastAsia="宋体"/>
          <w:b/>
          <w:sz w:val="24"/>
          <w:szCs w:val="24"/>
          <w:lang w:eastAsia="zh-CN"/>
        </w:rPr>
        <w:drawing>
          <wp:inline distT="0" distB="0" distL="114300" distR="114300">
            <wp:extent cx="3230880" cy="2252980"/>
            <wp:effectExtent l="0" t="0" r="0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Fig. S1 IHC scores of p-ACLY and ACLY expression in epithelial region of normal mucosa and OSCC tissues.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IHC score of p-ACLY. 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IHC score of ACLY.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Data are presented as means ± SD. 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 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&lt;0 .05, 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 0.01, and ***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&lt;0 .001.</w:t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/>
          <w:b/>
          <w:sz w:val="24"/>
          <w:szCs w:val="24"/>
        </w:rPr>
      </w:pPr>
    </w:p>
    <w:p>
      <w:pPr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00095" cy="2275205"/>
            <wp:effectExtent l="0" t="0" r="6985" b="1079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Fig. S2 Lipid synthesis blockade in CAFs reduced </w:t>
      </w:r>
      <w:r>
        <w:rPr>
          <w:rFonts w:hint="eastAsia" w:ascii="Times New Roman" w:hAnsi="Times New Roman" w:cs="Times New Roman" w:eastAsiaTheme="minorEastAsia"/>
          <w:b/>
          <w:bCs w:val="0"/>
          <w:kern w:val="2"/>
          <w:sz w:val="24"/>
          <w:szCs w:val="24"/>
          <w:lang w:val="en-US" w:eastAsia="zh-CN" w:bidi="ar-SA"/>
        </w:rPr>
        <w:t xml:space="preserve">CAF tumor-promoting effect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on OSCC cell migration.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A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C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Cell migration abilities of OSCC cells were analyzed by Wound healing assay. The cells were treated with indicated CM.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B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D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Quantitative analysis for the migration area of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 and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C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. Data are presented as means ± SD. 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&lt;0 .05, 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 0.01, and ***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&lt;0 .001.</w:t>
      </w:r>
    </w:p>
    <w:p>
      <w:pPr>
        <w:rPr>
          <w:rFonts w:hint="default" w:cstheme="minorBidi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</w:rPr>
      </w:pPr>
    </w:p>
    <w:p>
      <w:pPr>
        <w:ind w:firstLine="2100" w:firstLineChars="100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24860" cy="3358515"/>
            <wp:effectExtent l="0" t="0" r="12700" b="952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Fig. S3 CD36 in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hibition in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OSCC cells reduced </w:t>
      </w:r>
      <w:r>
        <w:rPr>
          <w:rFonts w:hint="eastAsia" w:ascii="Times New Roman" w:hAnsi="Times New Roman" w:cs="Times New Roman" w:eastAsiaTheme="minorEastAsia"/>
          <w:b/>
          <w:bCs w:val="0"/>
          <w:kern w:val="2"/>
          <w:sz w:val="24"/>
          <w:szCs w:val="24"/>
          <w:lang w:val="en-US" w:eastAsia="zh-CN" w:bidi="ar-SA"/>
        </w:rPr>
        <w:t xml:space="preserve">CAF tumor-promoting effect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on OSCC cell migration.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A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C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Cell migration abilities of OSCC cells were analyzed by Wound healing assay. The cells were treated with indicated CM.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B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D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Quantitative analysis for the migration area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of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A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C.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Data are presented as means ± SD. 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 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&lt;0 .05, 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 0.01, and ***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&lt;0 .001.</w:t>
      </w:r>
    </w:p>
    <w:p>
      <w:pPr>
        <w:rPr>
          <w:rFonts w:hint="default"/>
          <w:lang w:val="en-US"/>
        </w:rPr>
      </w:pPr>
    </w:p>
    <w:p>
      <w:pPr>
        <w:ind w:firstLine="2625" w:firstLineChars="1250"/>
      </w:pPr>
      <w:r>
        <w:t xml:space="preserve">                </w:t>
      </w:r>
    </w:p>
    <w:p/>
    <w:p>
      <w:pPr>
        <w:ind w:firstLine="2100" w:firstLineChars="1000"/>
      </w:pPr>
    </w:p>
    <w:p>
      <w:pPr>
        <w:jc w:val="center"/>
        <w:rPr>
          <w:rFonts w:hint="eastAsia"/>
        </w:rPr>
      </w:pPr>
      <w:r>
        <w:rPr>
          <w:rFonts w:hint="eastAsia" w:ascii="Times New Roman" w:hAnsi="Times New Roman" w:eastAsia="宋体"/>
          <w:bCs/>
          <w:sz w:val="24"/>
          <w:szCs w:val="24"/>
          <w:lang w:eastAsia="zh-CN"/>
        </w:rPr>
        <w:drawing>
          <wp:inline distT="0" distB="0" distL="114300" distR="114300">
            <wp:extent cx="3355340" cy="2571115"/>
            <wp:effectExtent l="0" t="0" r="0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Fig. S4 AKT signaling blockade in CAFs reduced </w:t>
      </w:r>
      <w:r>
        <w:rPr>
          <w:rFonts w:hint="eastAsia" w:ascii="Times New Roman" w:hAnsi="Times New Roman" w:cs="Times New Roman" w:eastAsiaTheme="minorEastAsia"/>
          <w:b/>
          <w:bCs w:val="0"/>
          <w:kern w:val="2"/>
          <w:sz w:val="24"/>
          <w:szCs w:val="24"/>
          <w:lang w:val="en-US" w:eastAsia="zh-CN" w:bidi="ar-SA"/>
        </w:rPr>
        <w:t xml:space="preserve">CAF tumor-promoting effect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on OSCC cell migration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.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A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C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Cell migration abilities of OSCC cells were analyzed by Wound healing assay. The cells were treated with indicated CM.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B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D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Quantitative analysis for the migration area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of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A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and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C.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Data are presented as means ± SD. 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&lt;0 .05, 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 0.01, and ***</w:t>
      </w:r>
      <w:r>
        <w:rPr>
          <w:rFonts w:hint="default" w:ascii="Times New Roman" w:hAnsi="Times New Roman" w:cs="Times New Roman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 &lt;0 .001.</w:t>
      </w: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928620" cy="3804285"/>
            <wp:effectExtent l="0" t="0" r="0" b="0"/>
            <wp:docPr id="6" name="图片 6" descr="图片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Fig. S5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IHC scores of p-ACLY, ACLY, p-AKT and AKT in stromal region of xenograft tumors.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 IHC score of p-ACLY.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eastAsia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 IHC score of ACLY.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C</w:t>
      </w:r>
      <w:r>
        <w:rPr>
          <w:rFonts w:hint="eastAsia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 IHC score of p-AKT.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D</w:t>
      </w:r>
      <w:r>
        <w:rPr>
          <w:rFonts w:hint="eastAsia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 xml:space="preserve"> IHC score of AKT. 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val="en-US" w:eastAsia="zh-CN" w:bidi="ar-SA"/>
        </w:rPr>
        <w:t>Data are presented as means ± SD.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24"/>
          <w:lang w:eastAsia="zh-CN" w:bidi="ar-SA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>*</w:t>
      </w:r>
      <w:r>
        <w:rPr>
          <w:rFonts w:hint="default" w:ascii="Times New Roman" w:hAnsi="Times New Roman" w:cs="Times New Roman" w:eastAsiaTheme="minorEastAsia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> &lt;0 .05, **</w:t>
      </w:r>
      <w:r>
        <w:rPr>
          <w:rFonts w:hint="default" w:ascii="Times New Roman" w:hAnsi="Times New Roman" w:cs="Times New Roman" w:eastAsiaTheme="minorEastAsia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 </w:t>
      </w: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>&lt; 0.01, and ***</w:t>
      </w:r>
      <w:r>
        <w:rPr>
          <w:rFonts w:hint="default" w:ascii="Times New Roman" w:hAnsi="Times New Roman" w:cs="Times New Roman" w:eastAsiaTheme="minorEastAsia"/>
          <w:b w:val="0"/>
          <w:bCs w:val="0"/>
          <w:i/>
          <w:iCs/>
          <w:kern w:val="2"/>
          <w:sz w:val="24"/>
          <w:szCs w:val="24"/>
          <w:lang w:val="en-US" w:eastAsia="zh-CN" w:bidi="ar-SA"/>
        </w:rPr>
        <w:t>p </w:t>
      </w: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>&lt;0 .001.</w:t>
      </w: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0627C9"/>
    <w:rsid w:val="000627C9"/>
    <w:rsid w:val="000B59AC"/>
    <w:rsid w:val="0018026E"/>
    <w:rsid w:val="005C5B1A"/>
    <w:rsid w:val="00FE3D83"/>
    <w:rsid w:val="04473600"/>
    <w:rsid w:val="16115801"/>
    <w:rsid w:val="28BC74A3"/>
    <w:rsid w:val="40D553D5"/>
    <w:rsid w:val="57F50D18"/>
    <w:rsid w:val="60DA481C"/>
    <w:rsid w:val="62443C49"/>
    <w:rsid w:val="711653B7"/>
    <w:rsid w:val="74602D6B"/>
    <w:rsid w:val="7B1F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_Main_Text"/>
    <w:basedOn w:val="1"/>
    <w:qFormat/>
    <w:uiPriority w:val="0"/>
    <w:pPr>
      <w:spacing w:after="0" w:line="480" w:lineRule="auto"/>
      <w:ind w:firstLine="202"/>
    </w:pPr>
  </w:style>
  <w:style w:type="paragraph" w:customStyle="1" w:styleId="5">
    <w:name w:val="Addresses"/>
    <w:basedOn w:val="1"/>
    <w:qFormat/>
    <w:uiPriority w:val="0"/>
    <w:pPr>
      <w:spacing w:after="0"/>
      <w:jc w:val="left"/>
    </w:pPr>
    <w:rPr>
      <w:rFonts w:ascii="Times New Roman" w:hAnsi="Times New Roman" w:eastAsia="MS Mincho"/>
      <w:szCs w:val="24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46</Words>
  <Characters>268</Characters>
  <Lines>2</Lines>
  <Paragraphs>1</Paragraphs>
  <TotalTime>2</TotalTime>
  <ScaleCrop>false</ScaleCrop>
  <LinksUpToDate>false</LinksUpToDate>
  <CharactersWithSpaces>313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2023-09-20T06:22:00Z</dcterms:created>
  <dc:creator>a2370</dc:creator>
  <cp:lastModifiedBy>fire</cp:lastModifiedBy>
  <dcterms:modified xsi:type="dcterms:W3CDTF">2023-09-22T04:49:40Z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A3667E14667E45DC81ACEF2C57F81A72_12</vt:lpwstr>
  </property>
</Properties>
</file>