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0" distR="0">
            <wp:extent cx="5194300" cy="2163445"/>
            <wp:effectExtent l="0" t="0" r="6350" b="825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94300" cy="2163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ascii="Times New Roman" w:hAnsi="Times New Roman" w:cs="Times New Roman"/>
        </w:rPr>
        <w:t>Supplemantry Figure 1</w:t>
      </w:r>
      <w:r>
        <w:rPr>
          <w:rFonts w:hint="eastAsia" w:ascii="Times New Roman" w:hAnsi="Times New Roman" w:cs="Times New Roman"/>
        </w:rPr>
        <w:t xml:space="preserve"> </w:t>
      </w:r>
      <w:r>
        <w:rPr>
          <w:rFonts w:ascii="Times New Roman" w:hAnsi="Times New Roman" w:eastAsia="宋体" w:cs="Times New Roman"/>
          <w:bCs/>
          <w:color w:val="000000"/>
          <w:szCs w:val="21"/>
          <w:shd w:val="clear" w:color="auto" w:fill="FFFFFF"/>
          <w:lang w:bidi="ar"/>
        </w:rPr>
        <w:t>The top ten orders among the published plant genomes from 2000 to 2020, and the recent two years.</w:t>
      </w:r>
    </w:p>
    <w:p/>
    <w:p>
      <w:r>
        <w:rPr>
          <w:rFonts w:ascii="Times New Roman" w:hAnsi="Times New Roman" w:cs="Times New Roman"/>
        </w:rPr>
        <w:drawing>
          <wp:inline distT="0" distB="0" distL="114300" distR="114300">
            <wp:extent cx="2575560" cy="1669415"/>
            <wp:effectExtent l="0" t="0" r="0" b="6985"/>
            <wp:docPr id="5" name="图片 5" descr="国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国家"/>
                    <pic:cNvPicPr>
                      <a:picLocks noChangeAspect="1"/>
                    </pic:cNvPicPr>
                  </pic:nvPicPr>
                  <pic:blipFill>
                    <a:blip r:embed="rId5"/>
                    <a:srcRect l="11058" t="15695" r="8864" b="15095"/>
                    <a:stretch>
                      <a:fillRect/>
                    </a:stretch>
                  </pic:blipFill>
                  <pic:spPr>
                    <a:xfrm>
                      <a:off x="0" y="0"/>
                      <a:ext cx="2608506" cy="1690971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</w:rPr>
        <w:drawing>
          <wp:inline distT="0" distB="0" distL="114300" distR="114300">
            <wp:extent cx="2596515" cy="1589405"/>
            <wp:effectExtent l="0" t="0" r="0" b="0"/>
            <wp:docPr id="2" name="图片 2" descr="期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期刊"/>
                    <pic:cNvPicPr>
                      <a:picLocks noChangeAspect="1"/>
                    </pic:cNvPicPr>
                  </pic:nvPicPr>
                  <pic:blipFill>
                    <a:blip r:embed="rId6"/>
                    <a:srcRect l="11359" t="10296" r="8005" b="11104"/>
                    <a:stretch>
                      <a:fillRect/>
                    </a:stretch>
                  </pic:blipFill>
                  <pic:spPr>
                    <a:xfrm>
                      <a:off x="0" y="0"/>
                      <a:ext cx="2622738" cy="160595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73675" cy="1564640"/>
            <wp:effectExtent l="0" t="0" r="3175" b="165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564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bCs/>
          <w:color w:val="000000"/>
          <w:szCs w:val="21"/>
          <w:shd w:val="clear" w:color="auto" w:fill="FFFFFF"/>
        </w:rPr>
      </w:pPr>
      <w:r>
        <w:rPr>
          <w:rFonts w:ascii="Times New Roman" w:hAnsi="Times New Roman" w:cs="Times New Roman"/>
        </w:rPr>
        <w:t xml:space="preserve">Supplemantry Figure </w:t>
      </w:r>
      <w:r>
        <w:rPr>
          <w:rFonts w:hint="eastAsia" w:ascii="Times New Roman" w:hAnsi="Times New Roman" w:cs="Times New Roman"/>
        </w:rPr>
        <w:t xml:space="preserve">2 </w:t>
      </w:r>
      <w:r>
        <w:rPr>
          <w:rFonts w:ascii="Times New Roman" w:hAnsi="Times New Roman" w:cs="Times New Roman"/>
          <w:bCs/>
          <w:color w:val="000000"/>
          <w:szCs w:val="21"/>
          <w:shd w:val="clear" w:color="auto" w:fill="FFFFFF"/>
        </w:rPr>
        <w:t xml:space="preserve">The contribution of different countries and journals for the </w:t>
      </w:r>
      <w:r>
        <w:rPr>
          <w:rFonts w:hint="eastAsia" w:ascii="Times New Roman" w:hAnsi="Times New Roman" w:cs="Times New Roman"/>
          <w:bCs/>
          <w:color w:val="000000"/>
          <w:szCs w:val="21"/>
          <w:shd w:val="clear" w:color="auto" w:fill="FFFFFF"/>
        </w:rPr>
        <w:t xml:space="preserve">published </w:t>
      </w:r>
      <w:r>
        <w:rPr>
          <w:rFonts w:ascii="Times New Roman" w:hAnsi="Times New Roman" w:cs="Times New Roman"/>
          <w:bCs/>
          <w:color w:val="000000"/>
          <w:szCs w:val="21"/>
          <w:shd w:val="clear" w:color="auto" w:fill="FFFFFF"/>
        </w:rPr>
        <w:t>plant genomes in the first twenty years (top) and in the last two years</w:t>
      </w:r>
      <w:r>
        <w:rPr>
          <w:rFonts w:hint="eastAsia" w:ascii="Times New Roman" w:hAnsi="Times New Roman" w:cs="Times New Roman"/>
          <w:bCs/>
          <w:color w:val="000000"/>
          <w:szCs w:val="21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color w:val="000000"/>
          <w:szCs w:val="21"/>
          <w:shd w:val="clear" w:color="auto" w:fill="FFFFFF"/>
        </w:rPr>
        <w:t xml:space="preserve">(bottom) </w:t>
      </w:r>
      <w:r>
        <w:rPr>
          <w:rFonts w:hint="eastAsia" w:ascii="Times New Roman" w:hAnsi="Times New Roman" w:cs="Times New Roman"/>
          <w:bCs/>
          <w:color w:val="000000"/>
          <w:szCs w:val="21"/>
          <w:shd w:val="clear" w:color="auto" w:fill="FFFFFF"/>
        </w:rPr>
        <w:t>(the country of the first author or the international institutions were collected)</w:t>
      </w:r>
      <w:r>
        <w:rPr>
          <w:rFonts w:ascii="Times New Roman" w:hAnsi="Times New Roman" w:cs="Times New Roman"/>
          <w:bCs/>
          <w:color w:val="000000"/>
          <w:szCs w:val="21"/>
          <w:shd w:val="clear" w:color="auto" w:fill="FFFFFF"/>
        </w:rPr>
        <w:t>.</w:t>
      </w:r>
    </w:p>
    <w:p>
      <w:pPr>
        <w:rPr>
          <w:rFonts w:ascii="Times New Roman" w:hAnsi="Times New Roman" w:cs="Times New Roman"/>
          <w:bCs/>
          <w:color w:val="000000"/>
          <w:szCs w:val="21"/>
          <w:shd w:val="clear" w:color="auto" w:fill="FFFFFF"/>
        </w:rPr>
      </w:pPr>
    </w:p>
    <w:p>
      <w:pPr>
        <w:rPr>
          <w:rFonts w:ascii="Times New Roman" w:hAnsi="Times New Roman" w:cs="Times New Roman"/>
          <w:bCs/>
          <w:color w:val="000000"/>
          <w:szCs w:val="21"/>
          <w:shd w:val="clear" w:color="auto" w:fill="FFFFFF"/>
        </w:rPr>
      </w:pPr>
      <w:r>
        <w:rPr>
          <w:rFonts w:hint="eastAsia"/>
        </w:rPr>
        <w:t xml:space="preserve"> </w:t>
      </w:r>
      <w:r>
        <w:rPr>
          <w:rFonts w:hint="eastAsia"/>
        </w:rPr>
        <w:drawing>
          <wp:inline distT="0" distB="0" distL="0" distR="0">
            <wp:extent cx="2536190" cy="157099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8913" cy="15974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</w:t>
      </w:r>
      <w:r>
        <w:rPr>
          <w:rFonts w:ascii="Times New Roman" w:hAnsi="Times New Roman" w:cs="Times New Roman"/>
          <w:bCs/>
          <w:color w:val="000000"/>
          <w:szCs w:val="21"/>
          <w:shd w:val="clear" w:color="auto" w:fill="FFFFFF"/>
        </w:rPr>
        <w:drawing>
          <wp:inline distT="0" distB="0" distL="0" distR="0">
            <wp:extent cx="2466975" cy="1581785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5755" cy="15943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eastAsia="宋体" w:cs="Times New Roman"/>
          <w:color w:val="000000"/>
          <w:szCs w:val="21"/>
          <w:shd w:val="clear" w:color="auto" w:fill="FFFFFF"/>
          <w:lang w:bidi="ar"/>
        </w:rPr>
      </w:pPr>
      <w:r>
        <w:rPr>
          <w:rFonts w:ascii="Times New Roman" w:hAnsi="Times New Roman" w:cs="Times New Roman"/>
        </w:rPr>
        <w:t xml:space="preserve">Supplemantry Figure </w:t>
      </w:r>
      <w:r>
        <w:rPr>
          <w:rFonts w:hint="eastAsia" w:ascii="Times New Roman" w:hAnsi="Times New Roman" w:cs="Times New Roman"/>
        </w:rPr>
        <w:t xml:space="preserve">3 </w:t>
      </w:r>
      <w:r>
        <w:rPr>
          <w:rFonts w:ascii="Times New Roman" w:hAnsi="Times New Roman" w:eastAsia="宋体" w:cs="Times New Roman"/>
          <w:color w:val="000000"/>
          <w:szCs w:val="21"/>
          <w:shd w:val="clear" w:color="auto" w:fill="FFFFFF"/>
          <w:lang w:bidi="ar"/>
        </w:rPr>
        <w:t>The word cloud analysis of the publications using their title in the last two years</w:t>
      </w:r>
      <w:r>
        <w:rPr>
          <w:rFonts w:hint="eastAsia" w:ascii="Times New Roman" w:hAnsi="Times New Roman" w:eastAsia="宋体" w:cs="Times New Roman"/>
          <w:color w:val="000000"/>
          <w:szCs w:val="21"/>
          <w:shd w:val="clear" w:color="auto" w:fill="FFFFFF"/>
          <w:lang w:bidi="ar"/>
        </w:rPr>
        <w:t>(left) and in the first twenty years(right).</w:t>
      </w:r>
    </w:p>
    <w:p>
      <w:pPr>
        <w:rPr>
          <w:rFonts w:ascii="Times New Roman" w:hAnsi="Times New Roman" w:eastAsia="宋体" w:cs="Times New Roman"/>
          <w:color w:val="000000"/>
          <w:szCs w:val="21"/>
          <w:shd w:val="clear" w:color="auto" w:fill="FFFFFF"/>
          <w:lang w:bidi="ar"/>
        </w:rPr>
      </w:pPr>
    </w:p>
    <w:p>
      <w:pPr>
        <w:rPr>
          <w:rFonts w:ascii="Times New Roman" w:hAnsi="Times New Roman" w:cs="Times New Roman"/>
          <w:bCs/>
          <w:color w:val="000000"/>
          <w:szCs w:val="21"/>
          <w:shd w:val="clear" w:color="auto" w:fill="FFFFFF"/>
        </w:rPr>
      </w:pPr>
      <w:r>
        <w:drawing>
          <wp:inline distT="0" distB="0" distL="114300" distR="114300">
            <wp:extent cx="5257800" cy="1887220"/>
            <wp:effectExtent l="0" t="0" r="0" b="1778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1887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Times New Roman" w:hAnsi="Times New Roman" w:cs="Times New Roman"/>
          <w:bCs/>
          <w:color w:val="000000"/>
          <w:szCs w:val="21"/>
          <w:shd w:val="clear" w:color="auto" w:fill="FFFFFF"/>
        </w:rPr>
      </w:pPr>
      <w:r>
        <w:rPr>
          <w:rFonts w:ascii="Times New Roman" w:hAnsi="Times New Roman" w:cs="Times New Roman"/>
        </w:rPr>
        <w:t xml:space="preserve">Supplemantry Figure </w:t>
      </w:r>
      <w:r>
        <w:rPr>
          <w:rFonts w:hint="eastAsia" w:ascii="Times New Roman" w:hAnsi="Times New Roman" w:cs="Times New Roman"/>
        </w:rPr>
        <w:t>4</w:t>
      </w:r>
      <w:r>
        <w:rPr>
          <w:rFonts w:ascii="Times New Roman" w:hAnsi="Times New Roman" w:cs="Times New Roman"/>
          <w:b/>
          <w:bCs/>
          <w:color w:val="000000"/>
          <w:szCs w:val="21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Cs w:val="21"/>
          <w:shd w:val="clear" w:color="auto" w:fill="FFFFFF"/>
        </w:rPr>
        <w:t xml:space="preserve">The numbers and continuity of </w:t>
      </w:r>
      <w:r>
        <w:rPr>
          <w:rFonts w:ascii="Times New Roman" w:hAnsi="Times New Roman" w:cs="Times New Roman"/>
          <w:i/>
          <w:iCs/>
          <w:color w:val="000000"/>
          <w:szCs w:val="21"/>
          <w:shd w:val="clear" w:color="auto" w:fill="FFFFFF"/>
        </w:rPr>
        <w:t>de novo</w:t>
      </w:r>
      <w:r>
        <w:rPr>
          <w:rFonts w:ascii="Times New Roman" w:hAnsi="Times New Roman" w:cs="Times New Roman"/>
          <w:color w:val="000000"/>
          <w:szCs w:val="21"/>
          <w:shd w:val="clear" w:color="auto" w:fill="FFFFFF"/>
        </w:rPr>
        <w:t xml:space="preserve"> assembly of the pan-genomes.</w:t>
      </w:r>
      <w:r>
        <w:rPr>
          <w:rFonts w:ascii="Times New Roman" w:hAnsi="Times New Roman" w:cs="Times New Roman"/>
          <w:bCs/>
          <w:color w:val="000000"/>
          <w:szCs w:val="21"/>
          <w:shd w:val="clear" w:color="auto" w:fill="FFFFFF"/>
        </w:rPr>
        <w:t xml:space="preserve"> The larger the circle, the greater the number of </w:t>
      </w:r>
      <w:r>
        <w:rPr>
          <w:rFonts w:ascii="Times New Roman" w:hAnsi="Times New Roman" w:cs="Times New Roman"/>
          <w:bCs/>
          <w:i/>
          <w:color w:val="000000"/>
          <w:szCs w:val="21"/>
          <w:shd w:val="clear" w:color="auto" w:fill="FFFFFF"/>
        </w:rPr>
        <w:t>de novo</w:t>
      </w:r>
      <w:r>
        <w:rPr>
          <w:rFonts w:ascii="Times New Roman" w:hAnsi="Times New Roman" w:cs="Times New Roman"/>
          <w:bCs/>
          <w:color w:val="000000"/>
          <w:szCs w:val="21"/>
          <w:shd w:val="clear" w:color="auto" w:fill="FFFFFF"/>
        </w:rPr>
        <w:t xml:space="preserve"> genomes</w:t>
      </w:r>
      <w:r>
        <w:rPr>
          <w:rFonts w:hint="eastAsia" w:ascii="Times New Roman" w:hAnsi="Times New Roman" w:cs="Times New Roman"/>
          <w:bCs/>
          <w:color w:val="000000"/>
          <w:szCs w:val="21"/>
          <w:shd w:val="clear" w:color="auto" w:fill="FFFFFF"/>
          <w:lang w:val="en-US" w:eastAsia="zh-CN"/>
        </w:rPr>
        <w:t xml:space="preserve"> are used into pan-genomes construction</w:t>
      </w:r>
      <w:r>
        <w:rPr>
          <w:rFonts w:ascii="Times New Roman" w:hAnsi="Times New Roman" w:cs="Times New Roman"/>
          <w:bCs/>
          <w:color w:val="000000"/>
          <w:szCs w:val="21"/>
          <w:shd w:val="clear" w:color="auto" w:fill="FFFFFF"/>
        </w:rPr>
        <w:t xml:space="preserve">. </w:t>
      </w:r>
      <w:r>
        <w:rPr>
          <w:rFonts w:ascii="Times New Roman" w:hAnsi="Times New Roman" w:cs="Times New Roman"/>
          <w:color w:val="000000"/>
          <w:szCs w:val="21"/>
          <w:shd w:val="clear" w:color="auto" w:fill="FFFFFF"/>
        </w:rPr>
        <w:t xml:space="preserve">The </w:t>
      </w:r>
      <w:r>
        <w:rPr>
          <w:rFonts w:hint="eastAsia" w:ascii="Times New Roman" w:hAnsi="Times New Roman" w:cs="Times New Roman"/>
          <w:color w:val="000000"/>
          <w:szCs w:val="21"/>
          <w:shd w:val="clear" w:color="auto" w:fill="FFFFFF"/>
        </w:rPr>
        <w:t>pie chart</w:t>
      </w:r>
      <w:r>
        <w:rPr>
          <w:rFonts w:ascii="Times New Roman" w:hAnsi="Times New Roman" w:cs="Times New Roman"/>
          <w:color w:val="000000"/>
          <w:szCs w:val="21"/>
          <w:shd w:val="clear" w:color="auto" w:fill="FFFFFF"/>
        </w:rPr>
        <w:t xml:space="preserve"> shows the proportion of different sequencing platforms.</w:t>
      </w:r>
      <w:r>
        <w:rPr>
          <w:rFonts w:ascii="Times New Roman" w:hAnsi="Times New Roman" w:eastAsia="宋体" w:cs="Times New Roman"/>
          <w:color w:val="000000"/>
          <w:szCs w:val="21"/>
          <w:shd w:val="clear" w:color="auto" w:fill="FFFFFF"/>
          <w:lang w:bidi="ar"/>
        </w:rPr>
        <w:t xml:space="preserve"> “NGS” refer</w:t>
      </w:r>
      <w:r>
        <w:rPr>
          <w:rFonts w:hint="eastAsia" w:ascii="Times New Roman" w:hAnsi="Times New Roman" w:eastAsia="宋体" w:cs="Times New Roman"/>
          <w:color w:val="000000"/>
          <w:szCs w:val="21"/>
          <w:shd w:val="clear" w:color="auto" w:fill="FFFFFF"/>
          <w:lang w:val="en-US" w:eastAsia="zh-CN" w:bidi="ar"/>
        </w:rPr>
        <w:t>s</w:t>
      </w:r>
      <w:r>
        <w:rPr>
          <w:rFonts w:ascii="Times New Roman" w:hAnsi="Times New Roman" w:eastAsia="宋体" w:cs="Times New Roman"/>
          <w:color w:val="000000"/>
          <w:szCs w:val="21"/>
          <w:shd w:val="clear" w:color="auto" w:fill="FFFFFF"/>
          <w:lang w:bidi="ar"/>
        </w:rPr>
        <w:t xml:space="preserve"> to the use of only second-generation sequencing platforms</w:t>
      </w:r>
      <w:r>
        <w:rPr>
          <w:rFonts w:hint="eastAsia" w:ascii="Times New Roman" w:hAnsi="Times New Roman" w:eastAsia="宋体" w:cs="Times New Roman"/>
          <w:color w:val="000000"/>
          <w:szCs w:val="21"/>
          <w:shd w:val="clear" w:color="auto" w:fill="FFFFFF"/>
          <w:lang w:val="en-US" w:eastAsia="zh-CN" w:bidi="ar"/>
        </w:rPr>
        <w:t xml:space="preserve">; </w:t>
      </w:r>
      <w:r>
        <w:rPr>
          <w:rFonts w:ascii="Times New Roman" w:hAnsi="Times New Roman" w:eastAsia="宋体" w:cs="Times New Roman"/>
          <w:color w:val="000000"/>
          <w:szCs w:val="21"/>
          <w:shd w:val="clear" w:color="auto" w:fill="FFFFFF"/>
          <w:lang w:bidi="ar"/>
        </w:rPr>
        <w:t>“HiFi” means HiFi reads generating by PacBio sequencing platforms;</w:t>
      </w:r>
      <w:r>
        <w:rPr>
          <w:rFonts w:hint="eastAsia" w:ascii="Times New Roman" w:hAnsi="Times New Roman" w:eastAsia="宋体" w:cs="Times New Roman"/>
          <w:color w:val="000000"/>
          <w:szCs w:val="21"/>
          <w:shd w:val="clear" w:color="auto" w:fill="FFFFFF"/>
          <w:lang w:bidi="ar"/>
        </w:rPr>
        <w:t xml:space="preserve"> </w:t>
      </w:r>
      <w:r>
        <w:rPr>
          <w:rFonts w:ascii="Times New Roman" w:hAnsi="Times New Roman" w:eastAsia="宋体" w:cs="Times New Roman"/>
          <w:color w:val="000000"/>
          <w:szCs w:val="21"/>
          <w:shd w:val="clear" w:color="auto" w:fill="FFFFFF"/>
          <w:lang w:bidi="ar"/>
        </w:rPr>
        <w:t>“Other TGS” refer</w:t>
      </w:r>
      <w:r>
        <w:rPr>
          <w:rFonts w:hint="eastAsia" w:ascii="Times New Roman" w:hAnsi="Times New Roman" w:eastAsia="宋体" w:cs="Times New Roman"/>
          <w:color w:val="000000"/>
          <w:szCs w:val="21"/>
          <w:shd w:val="clear" w:color="auto" w:fill="FFFFFF"/>
          <w:lang w:val="en-US" w:eastAsia="zh-CN" w:bidi="ar"/>
        </w:rPr>
        <w:t>s</w:t>
      </w:r>
      <w:r>
        <w:rPr>
          <w:rFonts w:ascii="Times New Roman" w:hAnsi="Times New Roman" w:eastAsia="宋体" w:cs="Times New Roman"/>
          <w:color w:val="000000"/>
          <w:szCs w:val="21"/>
          <w:shd w:val="clear" w:color="auto" w:fill="FFFFFF"/>
          <w:lang w:bidi="ar"/>
        </w:rPr>
        <w:t xml:space="preserve"> to sequencing technologies that incorporate third-generations sequencing platforms (not including HiFi and ONT</w:t>
      </w:r>
      <w:r>
        <w:rPr>
          <w:rFonts w:hint="eastAsia" w:ascii="Times New Roman" w:hAnsi="Times New Roman" w:eastAsia="宋体" w:cs="Times New Roman"/>
          <w:color w:val="000000"/>
          <w:szCs w:val="21"/>
          <w:shd w:val="clear" w:color="auto" w:fill="FFFFFF"/>
          <w:lang w:bidi="ar"/>
        </w:rPr>
        <w:t xml:space="preserve"> ultra-long reads</w:t>
      </w:r>
      <w:r>
        <w:rPr>
          <w:rFonts w:ascii="Times New Roman" w:hAnsi="Times New Roman" w:eastAsia="宋体" w:cs="Times New Roman"/>
          <w:color w:val="000000"/>
          <w:szCs w:val="21"/>
          <w:shd w:val="clear" w:color="auto" w:fill="FFFFFF"/>
          <w:lang w:bidi="ar"/>
        </w:rPr>
        <w:t xml:space="preserve">) sequencing platforms. The pie chart shows the proportion of </w:t>
      </w:r>
      <w:r>
        <w:rPr>
          <w:rFonts w:hint="eastAsia" w:ascii="Times New Roman" w:hAnsi="Times New Roman" w:eastAsia="宋体" w:cs="Times New Roman"/>
          <w:color w:val="000000"/>
          <w:szCs w:val="21"/>
          <w:shd w:val="clear" w:color="auto" w:fill="FFFFFF"/>
          <w:lang w:val="en-US" w:eastAsia="zh-CN" w:bidi="ar"/>
        </w:rPr>
        <w:t>three</w:t>
      </w:r>
      <w:r>
        <w:rPr>
          <w:rFonts w:ascii="Times New Roman" w:hAnsi="Times New Roman" w:eastAsia="宋体" w:cs="Times New Roman"/>
          <w:color w:val="000000"/>
          <w:szCs w:val="21"/>
          <w:shd w:val="clear" w:color="auto" w:fill="FFFFFF"/>
          <w:lang w:bidi="ar"/>
        </w:rPr>
        <w:t xml:space="preserve"> sequencing platforms type.</w:t>
      </w:r>
    </w:p>
    <w:p>
      <w:pPr>
        <w:rPr>
          <w:rFonts w:ascii="Times New Roman" w:hAnsi="Times New Roman" w:cs="Times New Roman"/>
        </w:rPr>
      </w:pPr>
    </w:p>
    <w:p>
      <w:pPr>
        <w:jc w:val="center"/>
      </w:pPr>
      <w:r>
        <w:drawing>
          <wp:inline distT="0" distB="0" distL="114300" distR="114300">
            <wp:extent cx="5272405" cy="3391535"/>
            <wp:effectExtent l="0" t="0" r="4445" b="18415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391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ascii="Times New Roman" w:hAnsi="Times New Roman" w:cs="Times New Roman"/>
        </w:rPr>
        <w:t xml:space="preserve">Supplemantry Figure </w:t>
      </w:r>
      <w:r>
        <w:rPr>
          <w:rFonts w:hint="eastAsia" w:ascii="Times New Roman" w:hAnsi="Times New Roman" w:cs="Times New Roman"/>
        </w:rPr>
        <w:t xml:space="preserve">5 </w:t>
      </w:r>
      <w:r>
        <w:rPr>
          <w:rFonts w:ascii="Times New Roman" w:hAnsi="Times New Roman" w:eastAsia="宋体" w:cs="Times New Roman"/>
          <w:bCs/>
          <w:color w:val="000000"/>
          <w:szCs w:val="21"/>
          <w:shd w:val="clear" w:color="auto" w:fill="FFFFFF"/>
          <w:lang w:bidi="ar"/>
        </w:rPr>
        <w:t>The sequencing platforms used in the assembly of plant genomes released and during the</w:t>
      </w:r>
      <w:bookmarkStart w:id="0" w:name="_GoBack"/>
      <w:bookmarkEnd w:id="0"/>
      <w:r>
        <w:rPr>
          <w:rFonts w:ascii="Times New Roman" w:hAnsi="Times New Roman" w:eastAsia="宋体" w:cs="Times New Roman"/>
          <w:bCs/>
          <w:color w:val="000000"/>
          <w:szCs w:val="21"/>
          <w:shd w:val="clear" w:color="auto" w:fill="FFFFFF"/>
          <w:lang w:bidi="ar"/>
        </w:rPr>
        <w:t xml:space="preserve"> last two years.</w:t>
      </w:r>
      <w:r>
        <w:rPr>
          <w:rFonts w:hint="eastAsia" w:ascii="Times New Roman" w:hAnsi="Times New Roman" w:eastAsia="宋体" w:cs="Times New Roman"/>
          <w:bCs/>
          <w:color w:val="000000"/>
          <w:szCs w:val="21"/>
          <w:shd w:val="clear" w:color="auto" w:fill="FFFFFF"/>
          <w:lang w:val="en-US" w:eastAsia="zh-CN" w:bidi="ar"/>
        </w:rPr>
        <w:t xml:space="preserve"> </w:t>
      </w:r>
      <w:r>
        <w:rPr>
          <w:rFonts w:ascii="Times New Roman" w:hAnsi="Times New Roman" w:eastAsia="宋体" w:cs="Times New Roman"/>
          <w:color w:val="000000"/>
          <w:szCs w:val="21"/>
          <w:shd w:val="clear" w:color="auto" w:fill="FFFFFF"/>
          <w:lang w:bidi="ar"/>
        </w:rPr>
        <w:t>“NGS” refer</w:t>
      </w:r>
      <w:r>
        <w:rPr>
          <w:rFonts w:hint="eastAsia" w:ascii="Times New Roman" w:hAnsi="Times New Roman" w:eastAsia="宋体" w:cs="Times New Roman"/>
          <w:color w:val="000000"/>
          <w:szCs w:val="21"/>
          <w:shd w:val="clear" w:color="auto" w:fill="FFFFFF"/>
          <w:lang w:val="en-US" w:eastAsia="zh-CN" w:bidi="ar"/>
        </w:rPr>
        <w:t>s</w:t>
      </w:r>
      <w:r>
        <w:rPr>
          <w:rFonts w:ascii="Times New Roman" w:hAnsi="Times New Roman" w:eastAsia="宋体" w:cs="Times New Roman"/>
          <w:color w:val="000000"/>
          <w:szCs w:val="21"/>
          <w:shd w:val="clear" w:color="auto" w:fill="FFFFFF"/>
          <w:lang w:bidi="ar"/>
        </w:rPr>
        <w:t xml:space="preserve"> to the use of only second-generation sequencing platforms;</w:t>
      </w:r>
      <w:r>
        <w:rPr>
          <w:rFonts w:hint="eastAsia" w:ascii="Times New Roman" w:hAnsi="Times New Roman" w:eastAsia="宋体" w:cs="Times New Roman"/>
          <w:color w:val="000000"/>
          <w:szCs w:val="21"/>
          <w:shd w:val="clear" w:color="auto" w:fill="FFFFFF"/>
          <w:lang w:val="en-US" w:eastAsia="zh-CN" w:bidi="ar"/>
        </w:rPr>
        <w:t xml:space="preserve"> </w:t>
      </w:r>
      <w:r>
        <w:rPr>
          <w:rFonts w:ascii="Times New Roman" w:hAnsi="Times New Roman" w:eastAsia="宋体" w:cs="Times New Roman"/>
          <w:color w:val="000000"/>
          <w:szCs w:val="21"/>
          <w:shd w:val="clear" w:color="auto" w:fill="FFFFFF"/>
          <w:lang w:bidi="ar"/>
        </w:rPr>
        <w:t xml:space="preserve">“HiFi” means HiFi reads generating by PacBio sequencing platforms; </w:t>
      </w:r>
      <w:r>
        <w:rPr>
          <w:rFonts w:hint="default" w:ascii="Times New Roman" w:hAnsi="Times New Roman" w:eastAsia="宋体" w:cs="Times New Roman"/>
          <w:color w:val="000000"/>
          <w:szCs w:val="21"/>
          <w:shd w:val="clear" w:color="auto" w:fill="FFFFFF"/>
          <w:lang w:val="en-US" w:eastAsia="zh-CN" w:bidi="ar"/>
        </w:rPr>
        <w:t>“</w:t>
      </w:r>
      <w:r>
        <w:rPr>
          <w:rFonts w:hint="eastAsia" w:ascii="Times New Roman" w:hAnsi="Times New Roman" w:eastAsia="宋体" w:cs="Times New Roman"/>
          <w:color w:val="000000"/>
          <w:szCs w:val="21"/>
          <w:shd w:val="clear" w:color="auto" w:fill="FFFFFF"/>
          <w:lang w:val="en-US" w:eastAsia="zh-CN" w:bidi="ar"/>
        </w:rPr>
        <w:t>ONT</w:t>
      </w:r>
      <w:r>
        <w:rPr>
          <w:rFonts w:hint="default" w:ascii="Times New Roman" w:hAnsi="Times New Roman" w:eastAsia="宋体" w:cs="Times New Roman"/>
          <w:color w:val="000000"/>
          <w:szCs w:val="21"/>
          <w:shd w:val="clear" w:color="auto" w:fill="FFFFFF"/>
          <w:lang w:val="en-US" w:eastAsia="zh-CN" w:bidi="ar"/>
        </w:rPr>
        <w:t>”</w:t>
      </w:r>
      <w:r>
        <w:rPr>
          <w:rFonts w:hint="eastAsia" w:ascii="Times New Roman" w:hAnsi="Times New Roman" w:eastAsia="宋体" w:cs="Times New Roman"/>
          <w:color w:val="000000"/>
          <w:szCs w:val="21"/>
          <w:shd w:val="clear" w:color="auto" w:fill="FFFFFF"/>
          <w:lang w:val="en-US" w:eastAsia="zh-CN" w:bidi="ar"/>
        </w:rPr>
        <w:t xml:space="preserve"> refers to ONT ultra-long reads (reads N50 size ≥100kb); </w:t>
      </w:r>
      <w:r>
        <w:rPr>
          <w:rFonts w:ascii="Times New Roman" w:hAnsi="Times New Roman" w:eastAsia="宋体" w:cs="Times New Roman"/>
          <w:color w:val="000000"/>
          <w:szCs w:val="21"/>
          <w:shd w:val="clear" w:color="auto" w:fill="FFFFFF"/>
          <w:lang w:bidi="ar"/>
        </w:rPr>
        <w:t>“</w:t>
      </w:r>
      <w:r>
        <w:rPr>
          <w:rFonts w:hint="eastAsia" w:ascii="Times New Roman" w:hAnsi="Times New Roman" w:eastAsia="宋体" w:cs="Times New Roman"/>
          <w:color w:val="000000"/>
          <w:szCs w:val="21"/>
          <w:shd w:val="clear" w:color="auto" w:fill="FFFFFF"/>
          <w:lang w:bidi="ar"/>
        </w:rPr>
        <w:t xml:space="preserve">Other </w:t>
      </w:r>
      <w:r>
        <w:rPr>
          <w:rFonts w:ascii="Times New Roman" w:hAnsi="Times New Roman" w:eastAsia="宋体" w:cs="Times New Roman"/>
          <w:color w:val="000000"/>
          <w:szCs w:val="21"/>
          <w:shd w:val="clear" w:color="auto" w:fill="FFFFFF"/>
          <w:lang w:bidi="ar"/>
        </w:rPr>
        <w:t>TGS” refer</w:t>
      </w:r>
      <w:r>
        <w:rPr>
          <w:rFonts w:hint="eastAsia" w:ascii="Times New Roman" w:hAnsi="Times New Roman" w:eastAsia="宋体" w:cs="Times New Roman"/>
          <w:color w:val="000000"/>
          <w:szCs w:val="21"/>
          <w:shd w:val="clear" w:color="auto" w:fill="FFFFFF"/>
          <w:lang w:val="en-US" w:eastAsia="zh-CN" w:bidi="ar"/>
        </w:rPr>
        <w:t>s</w:t>
      </w:r>
      <w:r>
        <w:rPr>
          <w:rFonts w:ascii="Times New Roman" w:hAnsi="Times New Roman" w:eastAsia="宋体" w:cs="Times New Roman"/>
          <w:color w:val="000000"/>
          <w:szCs w:val="21"/>
          <w:shd w:val="clear" w:color="auto" w:fill="FFFFFF"/>
          <w:lang w:bidi="ar"/>
        </w:rPr>
        <w:t xml:space="preserve"> to sequencing technologies that incorporate third-generations sequencing platforms (not including HiFi and ONT</w:t>
      </w:r>
      <w:r>
        <w:rPr>
          <w:rFonts w:hint="eastAsia" w:ascii="Times New Roman" w:hAnsi="Times New Roman" w:eastAsia="宋体" w:cs="Times New Roman"/>
          <w:color w:val="000000"/>
          <w:szCs w:val="21"/>
          <w:shd w:val="clear" w:color="auto" w:fill="FFFFFF"/>
          <w:lang w:bidi="ar"/>
        </w:rPr>
        <w:t xml:space="preserve"> ultra-long reads</w:t>
      </w:r>
      <w:r>
        <w:rPr>
          <w:rFonts w:ascii="Times New Roman" w:hAnsi="Times New Roman" w:eastAsia="宋体" w:cs="Times New Roman"/>
          <w:color w:val="000000"/>
          <w:szCs w:val="21"/>
          <w:shd w:val="clear" w:color="auto" w:fill="FFFFFF"/>
          <w:lang w:bidi="ar"/>
        </w:rPr>
        <w:t>).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2OWQzYmUyODJiYmY5MTliNTM0YjIzZGVkYjIzN2QifQ=="/>
  </w:docVars>
  <w:rsids>
    <w:rsidRoot w:val="00D82734"/>
    <w:rsid w:val="00101551"/>
    <w:rsid w:val="00477ED1"/>
    <w:rsid w:val="006D6EC4"/>
    <w:rsid w:val="00742F12"/>
    <w:rsid w:val="0075579C"/>
    <w:rsid w:val="00923FB6"/>
    <w:rsid w:val="00AE647E"/>
    <w:rsid w:val="00B6181A"/>
    <w:rsid w:val="00C26471"/>
    <w:rsid w:val="00C52FEB"/>
    <w:rsid w:val="00CE15D6"/>
    <w:rsid w:val="00CE44A6"/>
    <w:rsid w:val="00D25A88"/>
    <w:rsid w:val="00D82734"/>
    <w:rsid w:val="00D8347C"/>
    <w:rsid w:val="00DF34D6"/>
    <w:rsid w:val="00F536F7"/>
    <w:rsid w:val="00FA5429"/>
    <w:rsid w:val="036363D4"/>
    <w:rsid w:val="0C040775"/>
    <w:rsid w:val="0CC12156"/>
    <w:rsid w:val="14E45AD5"/>
    <w:rsid w:val="1BB9065B"/>
    <w:rsid w:val="1D6F5C49"/>
    <w:rsid w:val="1DD25B30"/>
    <w:rsid w:val="1EDF0BAD"/>
    <w:rsid w:val="2203475E"/>
    <w:rsid w:val="22171D3B"/>
    <w:rsid w:val="241237D2"/>
    <w:rsid w:val="2425014F"/>
    <w:rsid w:val="2ACD28FA"/>
    <w:rsid w:val="339B1BBA"/>
    <w:rsid w:val="3529272A"/>
    <w:rsid w:val="3810197F"/>
    <w:rsid w:val="38EE77F4"/>
    <w:rsid w:val="3B304812"/>
    <w:rsid w:val="3B866111"/>
    <w:rsid w:val="40713249"/>
    <w:rsid w:val="449F6565"/>
    <w:rsid w:val="464E30C8"/>
    <w:rsid w:val="46C6427C"/>
    <w:rsid w:val="47FA16C6"/>
    <w:rsid w:val="48474F49"/>
    <w:rsid w:val="514A0CCC"/>
    <w:rsid w:val="54A656ED"/>
    <w:rsid w:val="5A1E7BDA"/>
    <w:rsid w:val="5AB2538A"/>
    <w:rsid w:val="60CF38D6"/>
    <w:rsid w:val="62ED6829"/>
    <w:rsid w:val="645E7B37"/>
    <w:rsid w:val="657333CA"/>
    <w:rsid w:val="6CFA1A83"/>
    <w:rsid w:val="6D093028"/>
    <w:rsid w:val="6E3616CC"/>
    <w:rsid w:val="701D01BA"/>
    <w:rsid w:val="729B79C8"/>
    <w:rsid w:val="72FC0C01"/>
    <w:rsid w:val="73C16F25"/>
    <w:rsid w:val="75020BB7"/>
    <w:rsid w:val="764E6D27"/>
    <w:rsid w:val="78F30E86"/>
    <w:rsid w:val="792C6E7D"/>
    <w:rsid w:val="793239E1"/>
    <w:rsid w:val="7ADD5115"/>
    <w:rsid w:val="7B1A0118"/>
    <w:rsid w:val="7C86358B"/>
    <w:rsid w:val="7E722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270</Words>
  <Characters>1541</Characters>
  <Lines>12</Lines>
  <Paragraphs>3</Paragraphs>
  <TotalTime>1</TotalTime>
  <ScaleCrop>false</ScaleCrop>
  <LinksUpToDate>false</LinksUpToDate>
  <CharactersWithSpaces>1808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2023-09-07T17:56:00Z</dcterms:created>
  <dc:creator>user</dc:creator>
  <cp:lastModifiedBy>一路向北</cp:lastModifiedBy>
  <dcterms:modified xsi:type="dcterms:W3CDTF">2023-09-21T20:19:02Z</dcterms:modified>
  <cp:revision>36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44F0ABAD65EF4F10B8C91BA69FA5C73F_13</vt:lpwstr>
  </property>
</Properties>
</file>