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5737C" w14:textId="77777777" w:rsidR="00280E1C" w:rsidRPr="00950B37" w:rsidRDefault="00280E1C" w:rsidP="00280E1C">
      <w:pPr>
        <w:pStyle w:val="Title"/>
        <w:rPr>
          <w:rFonts w:asciiTheme="minorHAnsi" w:hAnsiTheme="minorHAnsi" w:cstheme="minorHAnsi"/>
          <w:sz w:val="40"/>
        </w:rPr>
      </w:pPr>
      <w:r>
        <w:rPr>
          <w:rFonts w:asciiTheme="minorHAnsi" w:hAnsiTheme="minorHAnsi" w:cstheme="minorHAnsi"/>
          <w:sz w:val="40"/>
        </w:rPr>
        <w:t>Longitudinal adaptive immune profiling of vaccinated children reveals correlates of protection against symptomatic SARS-CoV-2</w:t>
      </w:r>
    </w:p>
    <w:p w14:paraId="75A9ED1C" w14:textId="77777777" w:rsidR="006A1708" w:rsidRPr="00280E1C" w:rsidRDefault="006A1708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2FA435C" w14:textId="77777777" w:rsidR="006A1708" w:rsidRDefault="006A1708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25F6E163" w14:textId="77777777" w:rsidR="006A1708" w:rsidRPr="00E60EC0" w:rsidRDefault="00081C6D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n-GB"/>
        </w:rPr>
        <w:t>Extended Data</w:t>
      </w:r>
    </w:p>
    <w:p w14:paraId="0B3158F4" w14:textId="77777777" w:rsidR="006A1708" w:rsidRPr="00E60EC0" w:rsidRDefault="006A1708" w:rsidP="006A1708">
      <w:pPr>
        <w:spacing w:line="48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7F2E2EC7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29C57398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16F045E5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1AB61419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562DB582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32991F6F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3757ABAF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3962218E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04AE1B48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265952B4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4BC68A0C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1AAAD337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2675AB31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0B3531D9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12C60A68" w14:textId="77777777" w:rsidR="00DF1B94" w:rsidRDefault="00DF1B94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5289F093" w14:textId="77777777" w:rsidR="00015D1E" w:rsidRDefault="00015D1E" w:rsidP="006C2E6C">
      <w:pPr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10DF2B78" w14:textId="77777777" w:rsidR="00015D1E" w:rsidRDefault="00015D1E" w:rsidP="006C2E6C">
      <w:pPr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5C935BEE" w14:textId="77777777" w:rsidR="00015D1E" w:rsidRDefault="00015D1E" w:rsidP="006C2E6C">
      <w:pPr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1C3AA24A" w14:textId="25F6EF0B" w:rsidR="006C2E6C" w:rsidRDefault="006C2E6C" w:rsidP="006C2E6C">
      <w:pPr>
        <w:rPr>
          <w:rFonts w:asciiTheme="minorHAnsi" w:hAnsiTheme="minorHAnsi" w:cstheme="minorHAnsi"/>
          <w:bCs/>
          <w:sz w:val="24"/>
          <w:szCs w:val="24"/>
        </w:rPr>
      </w:pP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 xml:space="preserve">Extended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D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 xml:space="preserve">ata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F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igure 1</w:t>
      </w:r>
      <w:r w:rsidR="001431EA">
        <w:rPr>
          <w:rFonts w:asciiTheme="minorHAnsi" w:hAnsiTheme="minorHAnsi" w:cstheme="minorHAnsi"/>
          <w:b/>
          <w:sz w:val="24"/>
          <w:szCs w:val="24"/>
          <w:lang w:val="en-GB"/>
        </w:rPr>
        <w:t>:</w:t>
      </w:r>
      <w:r w:rsidR="00B77A1A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="00280E1C">
        <w:rPr>
          <w:rFonts w:asciiTheme="minorHAnsi" w:hAnsiTheme="minorHAnsi" w:cstheme="minorHAnsi"/>
          <w:b/>
          <w:sz w:val="24"/>
          <w:szCs w:val="24"/>
          <w:lang w:val="en-GB"/>
        </w:rPr>
        <w:t>Isotypes and binding activity of Spike-specific memory B cells (S+ MBC) in children with immunity against SARS-CoV-2. A</w:t>
      </w:r>
      <w:r w:rsidR="008F10BA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="00280E1C" w:rsidRPr="00280E1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S+ MBC isotypes in </w:t>
      </w:r>
      <w:r w:rsidR="008F10B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children with vaccine-only immunity, at pre-vaccination baseline, and </w:t>
      </w:r>
      <w:r w:rsidR="0034491C">
        <w:rPr>
          <w:rFonts w:asciiTheme="minorHAnsi" w:hAnsiTheme="minorHAnsi" w:cstheme="minorHAnsi"/>
          <w:bCs/>
          <w:sz w:val="24"/>
          <w:szCs w:val="24"/>
          <w:lang w:val="en-GB"/>
        </w:rPr>
        <w:t>3- and 6-months</w:t>
      </w:r>
      <w:r w:rsidR="008F10B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post vaccination.</w:t>
      </w:r>
      <w:r w:rsidR="00280E1C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="008F10BA">
        <w:rPr>
          <w:rFonts w:asciiTheme="minorHAnsi" w:hAnsiTheme="minorHAnsi" w:cstheme="minorHAnsi"/>
          <w:b/>
          <w:sz w:val="24"/>
          <w:szCs w:val="24"/>
          <w:lang w:val="en-GB"/>
        </w:rPr>
        <w:t>B</w:t>
      </w:r>
      <w:r w:rsidR="00280E1C">
        <w:rPr>
          <w:rFonts w:asciiTheme="minorHAnsi" w:hAnsiTheme="minorHAnsi" w:cstheme="minorHAnsi"/>
          <w:b/>
          <w:sz w:val="24"/>
          <w:szCs w:val="24"/>
          <w:lang w:val="en-GB"/>
        </w:rPr>
        <w:t xml:space="preserve">. </w:t>
      </w:r>
      <w:r w:rsidRPr="00E60EC0">
        <w:rPr>
          <w:rFonts w:asciiTheme="minorHAnsi" w:hAnsiTheme="minorHAnsi" w:cstheme="minorHAnsi"/>
          <w:bCs/>
          <w:sz w:val="24"/>
          <w:szCs w:val="24"/>
        </w:rPr>
        <w:t xml:space="preserve">Binding activity against Spike proteins from three SARS-CoV-2 variants in B cell ELISPOT. Spike-specific memory B cells (S+ MBCs) were extracted from </w:t>
      </w:r>
      <w:proofErr w:type="spellStart"/>
      <w:r w:rsidRPr="00E60EC0">
        <w:rPr>
          <w:rFonts w:asciiTheme="minorHAnsi" w:hAnsiTheme="minorHAnsi" w:cstheme="minorHAnsi"/>
          <w:bCs/>
          <w:sz w:val="24"/>
          <w:szCs w:val="24"/>
        </w:rPr>
        <w:t>paediatric</w:t>
      </w:r>
      <w:proofErr w:type="spellEnd"/>
      <w:r w:rsidRPr="00E60EC0">
        <w:rPr>
          <w:rFonts w:asciiTheme="minorHAnsi" w:hAnsiTheme="minorHAnsi" w:cstheme="minorHAnsi"/>
          <w:bCs/>
          <w:sz w:val="24"/>
          <w:szCs w:val="24"/>
        </w:rPr>
        <w:t xml:space="preserve"> subject 3 months after 2 doses of mRNA BNT162b2, and then cultured and differentiated ex vivo into antibody secreting cells. </w:t>
      </w:r>
    </w:p>
    <w:p w14:paraId="1070A8C8" w14:textId="77777777" w:rsidR="00B77A1A" w:rsidRDefault="00B77A1A" w:rsidP="006C2E6C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4D07C777" w14:textId="77777777" w:rsidR="00AF043D" w:rsidRPr="00E60EC0" w:rsidRDefault="00AF043D" w:rsidP="006C2E6C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3E7BECA8" w14:textId="7AAE27F7" w:rsidR="006C2E6C" w:rsidRPr="00E60EC0" w:rsidRDefault="005019F7" w:rsidP="006C2E6C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5019F7">
        <w:rPr>
          <w:rFonts w:asciiTheme="minorHAnsi" w:hAnsiTheme="minorHAnsi" w:cstheme="minorHAnsi"/>
          <w:noProof/>
          <w:sz w:val="24"/>
          <w:szCs w:val="24"/>
          <w:lang w:val="en-GB"/>
        </w:rPr>
        <w:drawing>
          <wp:inline distT="0" distB="0" distL="0" distR="0" wp14:anchorId="064026D8" wp14:editId="026E3D2D">
            <wp:extent cx="5731510" cy="3799840"/>
            <wp:effectExtent l="0" t="0" r="2540" b="0"/>
            <wp:docPr id="1216594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5945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2CD5D" w14:textId="77777777" w:rsidR="006C2E6C" w:rsidRDefault="006C2E6C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br w:type="page"/>
      </w:r>
    </w:p>
    <w:p w14:paraId="3EFD2494" w14:textId="6DEDB5E3" w:rsidR="006C2E6C" w:rsidRDefault="006C2E6C" w:rsidP="006C2E6C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 xml:space="preserve">Extended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D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 xml:space="preserve">ata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F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igure 2</w:t>
      </w:r>
      <w:r w:rsidR="001431EA">
        <w:rPr>
          <w:rFonts w:asciiTheme="minorHAnsi" w:hAnsiTheme="minorHAnsi" w:cstheme="minorHAnsi"/>
          <w:b/>
          <w:sz w:val="24"/>
          <w:szCs w:val="24"/>
          <w:lang w:val="en-GB"/>
        </w:rPr>
        <w:t>:</w:t>
      </w:r>
      <w:r w:rsidR="00B77A1A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="008F10BA">
        <w:rPr>
          <w:rFonts w:asciiTheme="minorHAnsi" w:hAnsiTheme="minorHAnsi" w:cstheme="minorHAnsi"/>
          <w:b/>
          <w:sz w:val="24"/>
          <w:szCs w:val="24"/>
          <w:lang w:val="en-GB"/>
        </w:rPr>
        <w:t xml:space="preserve">Children vaccinated with 2 doses of mRNA SARS-CoV-2 vaccine have low levels of Th2 cytokines. A, B, C. 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Spike-reactive </w:t>
      </w:r>
      <w:r w:rsidR="008F10BA">
        <w:rPr>
          <w:rFonts w:asciiTheme="minorHAnsi" w:hAnsiTheme="minorHAnsi" w:cstheme="minorHAnsi"/>
          <w:sz w:val="24"/>
          <w:szCs w:val="24"/>
          <w:lang w:val="en-GB"/>
        </w:rPr>
        <w:t xml:space="preserve">Th2 responses, measured by interleukin-4, interleukin-5 and interleukin-13 for children with vaccine-only immunity, and adults. 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For box-whisker graphs, upper and lower boundaries of boxes indicate upper and lower quartile respectively, line indicates median, and whiskers represent the range. </w:t>
      </w:r>
    </w:p>
    <w:p w14:paraId="107119A9" w14:textId="77777777" w:rsidR="00AF043D" w:rsidRPr="00B77A1A" w:rsidRDefault="00AF043D" w:rsidP="006C2E6C">
      <w:pPr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5DF21E57" w14:textId="77777777" w:rsidR="006C2E6C" w:rsidRPr="00E60EC0" w:rsidRDefault="006C2E6C" w:rsidP="006C2E6C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2C82E76B" w14:textId="5CE2ED39" w:rsidR="006C2E6C" w:rsidRDefault="00D44D4A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D44D4A">
        <w:rPr>
          <w:rFonts w:asciiTheme="minorHAnsi" w:hAnsiTheme="minorHAnsi" w:cstheme="minorHAnsi"/>
          <w:b/>
          <w:noProof/>
          <w:sz w:val="24"/>
          <w:szCs w:val="24"/>
          <w:lang w:val="en-GB"/>
        </w:rPr>
        <w:drawing>
          <wp:inline distT="0" distB="0" distL="0" distR="0" wp14:anchorId="08B38A10" wp14:editId="5CCDA09E">
            <wp:extent cx="5731510" cy="1388110"/>
            <wp:effectExtent l="0" t="0" r="2540" b="2540"/>
            <wp:docPr id="1061667357" name="Picture 1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67357" name="Picture 1" descr="A graph of a number of objects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2E6C">
        <w:rPr>
          <w:rFonts w:asciiTheme="minorHAnsi" w:hAnsiTheme="minorHAnsi" w:cstheme="minorHAnsi"/>
          <w:b/>
          <w:sz w:val="24"/>
          <w:szCs w:val="24"/>
          <w:lang w:val="en-GB"/>
        </w:rPr>
        <w:br w:type="page"/>
      </w:r>
    </w:p>
    <w:p w14:paraId="34F4B85B" w14:textId="681B2BE8" w:rsidR="006C2E6C" w:rsidRPr="00E60EC0" w:rsidRDefault="006C2E6C" w:rsidP="006C2E6C">
      <w:pPr>
        <w:rPr>
          <w:rFonts w:asciiTheme="minorHAnsi" w:hAnsiTheme="minorHAnsi" w:cstheme="minorHAnsi"/>
          <w:sz w:val="24"/>
          <w:szCs w:val="24"/>
        </w:rPr>
      </w:pP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 xml:space="preserve">Extended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D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 xml:space="preserve">ata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F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igure 3</w:t>
      </w:r>
      <w:r w:rsidR="001431EA">
        <w:rPr>
          <w:rFonts w:asciiTheme="minorHAnsi" w:hAnsiTheme="minorHAnsi" w:cstheme="minorHAnsi"/>
          <w:b/>
          <w:sz w:val="24"/>
          <w:szCs w:val="24"/>
          <w:lang w:val="en-GB"/>
        </w:rPr>
        <w:t>:</w:t>
      </w:r>
      <w:r w:rsidR="00F64F30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="00993259">
        <w:rPr>
          <w:rFonts w:asciiTheme="minorHAnsi" w:hAnsiTheme="minorHAnsi" w:cstheme="minorHAnsi"/>
          <w:b/>
          <w:sz w:val="24"/>
          <w:szCs w:val="24"/>
          <w:lang w:val="en-GB"/>
        </w:rPr>
        <w:t xml:space="preserve">Side effects post vaccination, and symptoms of </w:t>
      </w:r>
      <w:r w:rsidR="00DB3E50">
        <w:rPr>
          <w:rFonts w:asciiTheme="minorHAnsi" w:hAnsiTheme="minorHAnsi" w:cstheme="minorHAnsi"/>
          <w:b/>
          <w:sz w:val="24"/>
          <w:szCs w:val="24"/>
          <w:lang w:val="en-GB"/>
        </w:rPr>
        <w:t>SARS-CoV-2 infection</w:t>
      </w:r>
      <w:r w:rsidR="00993259">
        <w:rPr>
          <w:rFonts w:asciiTheme="minorHAnsi" w:hAnsiTheme="minorHAnsi" w:cstheme="minorHAnsi"/>
          <w:b/>
          <w:sz w:val="24"/>
          <w:szCs w:val="24"/>
          <w:lang w:val="en-GB"/>
        </w:rPr>
        <w:t xml:space="preserve"> reported by MARVELS children </w:t>
      </w:r>
      <w:r w:rsidRPr="00E60EC0">
        <w:rPr>
          <w:rFonts w:asciiTheme="minorHAnsi" w:hAnsiTheme="minorHAnsi" w:cstheme="minorHAnsi"/>
          <w:b/>
          <w:bCs/>
          <w:sz w:val="24"/>
          <w:szCs w:val="24"/>
        </w:rPr>
        <w:t>A.</w:t>
      </w:r>
      <w:r w:rsidRPr="00E60EC0">
        <w:rPr>
          <w:rFonts w:asciiTheme="minorHAnsi" w:hAnsiTheme="minorHAnsi" w:cstheme="minorHAnsi"/>
          <w:sz w:val="24"/>
          <w:szCs w:val="24"/>
        </w:rPr>
        <w:t xml:space="preserve"> P</w:t>
      </w:r>
      <w:r w:rsidR="00993259">
        <w:rPr>
          <w:rFonts w:asciiTheme="minorHAnsi" w:hAnsiTheme="minorHAnsi" w:cstheme="minorHAnsi"/>
          <w:sz w:val="24"/>
          <w:szCs w:val="24"/>
        </w:rPr>
        <w:t>ercentages</w:t>
      </w:r>
      <w:r w:rsidRPr="00E60EC0">
        <w:rPr>
          <w:rFonts w:asciiTheme="minorHAnsi" w:hAnsiTheme="minorHAnsi" w:cstheme="minorHAnsi"/>
          <w:sz w:val="24"/>
          <w:szCs w:val="24"/>
        </w:rPr>
        <w:t xml:space="preserve"> and severity of parent </w:t>
      </w:r>
      <w:r w:rsidR="00993259">
        <w:rPr>
          <w:rFonts w:asciiTheme="minorHAnsi" w:hAnsiTheme="minorHAnsi" w:cstheme="minorHAnsi"/>
          <w:sz w:val="24"/>
          <w:szCs w:val="24"/>
        </w:rPr>
        <w:t xml:space="preserve">and / or </w:t>
      </w:r>
      <w:r w:rsidRPr="00E60EC0">
        <w:rPr>
          <w:rFonts w:asciiTheme="minorHAnsi" w:hAnsiTheme="minorHAnsi" w:cstheme="minorHAnsi"/>
          <w:sz w:val="24"/>
          <w:szCs w:val="24"/>
        </w:rPr>
        <w:t xml:space="preserve">subject – reported side effects for 10 days after vaccination. Blue = side effects of doses 1 and 2, with </w:t>
      </w:r>
      <w:proofErr w:type="spellStart"/>
      <w:r w:rsidRPr="00E60EC0">
        <w:rPr>
          <w:rFonts w:asciiTheme="minorHAnsi" w:hAnsiTheme="minorHAnsi" w:cstheme="minorHAnsi"/>
          <w:sz w:val="24"/>
          <w:szCs w:val="24"/>
        </w:rPr>
        <w:t>colour</w:t>
      </w:r>
      <w:proofErr w:type="spellEnd"/>
      <w:r w:rsidRPr="00E60EC0">
        <w:rPr>
          <w:rFonts w:asciiTheme="minorHAnsi" w:hAnsiTheme="minorHAnsi" w:cstheme="minorHAnsi"/>
          <w:sz w:val="24"/>
          <w:szCs w:val="24"/>
        </w:rPr>
        <w:t xml:space="preserve"> gradient representing spectrum of severity; Red = side effects of booster (dose 3), with </w:t>
      </w:r>
      <w:proofErr w:type="spellStart"/>
      <w:r w:rsidRPr="00E60EC0">
        <w:rPr>
          <w:rFonts w:asciiTheme="minorHAnsi" w:hAnsiTheme="minorHAnsi" w:cstheme="minorHAnsi"/>
          <w:sz w:val="24"/>
          <w:szCs w:val="24"/>
        </w:rPr>
        <w:t>colour</w:t>
      </w:r>
      <w:proofErr w:type="spellEnd"/>
      <w:r w:rsidRPr="00E60EC0">
        <w:rPr>
          <w:rFonts w:asciiTheme="minorHAnsi" w:hAnsiTheme="minorHAnsi" w:cstheme="minorHAnsi"/>
          <w:sz w:val="24"/>
          <w:szCs w:val="24"/>
        </w:rPr>
        <w:t xml:space="preserve"> gradient representing spectrum of severity. </w:t>
      </w:r>
      <w:r w:rsidRPr="00E60EC0">
        <w:rPr>
          <w:rFonts w:asciiTheme="minorHAnsi" w:hAnsiTheme="minorHAnsi" w:cstheme="minorHAnsi"/>
          <w:b/>
          <w:bCs/>
          <w:sz w:val="24"/>
          <w:szCs w:val="24"/>
        </w:rPr>
        <w:t>B.</w:t>
      </w:r>
      <w:r w:rsidRPr="00E60EC0">
        <w:rPr>
          <w:rFonts w:asciiTheme="minorHAnsi" w:hAnsiTheme="minorHAnsi" w:cstheme="minorHAnsi"/>
          <w:sz w:val="24"/>
          <w:szCs w:val="24"/>
        </w:rPr>
        <w:t xml:space="preserve"> Clinical features of COVID-19 for all episodes of symptomatic </w:t>
      </w:r>
      <w:r w:rsidR="00993259">
        <w:rPr>
          <w:rFonts w:asciiTheme="minorHAnsi" w:hAnsiTheme="minorHAnsi" w:cstheme="minorHAnsi"/>
          <w:sz w:val="24"/>
          <w:szCs w:val="24"/>
        </w:rPr>
        <w:t>SARS-CoV-2 infection</w:t>
      </w:r>
      <w:r w:rsidRPr="00E60EC0">
        <w:rPr>
          <w:rFonts w:asciiTheme="minorHAnsi" w:hAnsiTheme="minorHAnsi" w:cstheme="minorHAnsi"/>
          <w:sz w:val="24"/>
          <w:szCs w:val="24"/>
        </w:rPr>
        <w:t xml:space="preserve"> among vaccinated children. </w:t>
      </w:r>
      <w:r w:rsidR="00CF5597">
        <w:rPr>
          <w:rFonts w:asciiTheme="minorHAnsi" w:hAnsiTheme="minorHAnsi" w:cstheme="minorHAnsi"/>
          <w:sz w:val="24"/>
          <w:szCs w:val="24"/>
        </w:rPr>
        <w:t xml:space="preserve">Two-tailed 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Fisher’s exact test was used for comparison between groups; ns: not significant, *: p </w:t>
      </w:r>
      <w:r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0.05, **: p </w:t>
      </w:r>
      <w:r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0.01, ***: p </w:t>
      </w:r>
      <w:r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0.001, ****: p </w:t>
      </w:r>
      <w:r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&lt; 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>0.0001.</w:t>
      </w:r>
    </w:p>
    <w:p w14:paraId="2B5155A6" w14:textId="77777777" w:rsidR="006C2E6C" w:rsidRDefault="006C2E6C" w:rsidP="006C2E6C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6A4F8BEE" w14:textId="77777777" w:rsidR="00F64F30" w:rsidRDefault="00F64F30" w:rsidP="006C2E6C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08B8265F" w14:textId="10C00779" w:rsidR="00AF043D" w:rsidRPr="00E60EC0" w:rsidRDefault="00CE360F" w:rsidP="006C2E6C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CE360F">
        <w:rPr>
          <w:rFonts w:asciiTheme="minorHAnsi" w:hAnsiTheme="minorHAnsi" w:cstheme="minorHAnsi"/>
          <w:noProof/>
          <w:sz w:val="24"/>
          <w:szCs w:val="24"/>
          <w:lang w:val="en-GB"/>
        </w:rPr>
        <w:drawing>
          <wp:inline distT="0" distB="0" distL="0" distR="0" wp14:anchorId="31EB56C5" wp14:editId="6B9E2BB7">
            <wp:extent cx="5731510" cy="2857500"/>
            <wp:effectExtent l="0" t="0" r="2540" b="0"/>
            <wp:docPr id="632213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2139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4B61F" w14:textId="77777777" w:rsidR="00F64F30" w:rsidRDefault="00F64F30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18EB922A" w14:textId="77777777" w:rsidR="006C2E6C" w:rsidRDefault="00F64F30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val="en-GB"/>
        </w:rPr>
        <w:drawing>
          <wp:inline distT="0" distB="0" distL="0" distR="0" wp14:anchorId="3C5614A2" wp14:editId="4D624E96">
            <wp:extent cx="4037846" cy="3753284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xtended Data Fig 3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765" cy="376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2E6C">
        <w:rPr>
          <w:rFonts w:asciiTheme="minorHAnsi" w:hAnsiTheme="minorHAnsi" w:cstheme="minorHAnsi"/>
          <w:b/>
          <w:sz w:val="24"/>
          <w:szCs w:val="24"/>
          <w:lang w:val="en-GB"/>
        </w:rPr>
        <w:br w:type="page"/>
      </w:r>
    </w:p>
    <w:p w14:paraId="64A1C5ED" w14:textId="03FACA95" w:rsidR="00C70902" w:rsidRDefault="006C2E6C" w:rsidP="00C70902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 xml:space="preserve">Extended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D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 xml:space="preserve">ata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F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igure 4</w:t>
      </w:r>
      <w:r w:rsidR="001431EA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  <w:r w:rsidR="00993259">
        <w:rPr>
          <w:rFonts w:asciiTheme="minorHAnsi" w:hAnsiTheme="minorHAnsi" w:cstheme="minorHAnsi"/>
          <w:b/>
          <w:sz w:val="24"/>
          <w:szCs w:val="24"/>
          <w:lang w:val="en-GB"/>
        </w:rPr>
        <w:t xml:space="preserve">Nucleocapsid (N)-specific adaptive immune responses of children with asymptomatic SARS-CoV-2 infections. 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A.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Venn diagram showing all episodes of asymptomatic COVID-19 identified in this study (n = 30), separated into whether they were identified via serological evidence, T cell evidence, or both. </w:t>
      </w:r>
      <w:r w:rsidR="00993259" w:rsidRPr="00C70902">
        <w:rPr>
          <w:rFonts w:asciiTheme="minorHAnsi" w:hAnsiTheme="minorHAnsi" w:cstheme="minorHAnsi"/>
          <w:b/>
          <w:bCs/>
          <w:sz w:val="24"/>
          <w:szCs w:val="24"/>
          <w:lang w:val="en-GB"/>
        </w:rPr>
        <w:t>B, C.</w:t>
      </w:r>
      <w:r w:rsidR="00993259">
        <w:rPr>
          <w:rFonts w:asciiTheme="minorHAnsi" w:hAnsiTheme="minorHAnsi" w:cstheme="minorHAnsi"/>
          <w:sz w:val="24"/>
          <w:szCs w:val="24"/>
          <w:lang w:val="en-GB"/>
        </w:rPr>
        <w:t xml:space="preserve"> N-reactive T cell responses measured by post-stimulation </w:t>
      </w:r>
      <w:r w:rsidR="00993259" w:rsidRPr="00E60EC0">
        <w:rPr>
          <w:rFonts w:asciiTheme="minorHAnsi" w:hAnsiTheme="minorHAnsi" w:cstheme="minorHAnsi"/>
          <w:sz w:val="24"/>
          <w:szCs w:val="24"/>
          <w:lang w:val="en-GB"/>
        </w:rPr>
        <w:t>interferon-</w:t>
      </w:r>
      <w:r w:rsidR="00993259" w:rsidRPr="00993259">
        <w:rPr>
          <w:rFonts w:ascii="Cambria Math" w:hAnsi="Cambria Math" w:cs="Cambria Math"/>
          <w:sz w:val="24"/>
          <w:szCs w:val="24"/>
          <w:lang w:val="en-GB"/>
        </w:rPr>
        <w:t>𝛾</w:t>
      </w:r>
      <w:r w:rsidR="00993259" w:rsidRPr="00993259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993259">
        <w:rPr>
          <w:rFonts w:ascii="Calibri" w:hAnsi="Calibri" w:cs="Calibri"/>
          <w:sz w:val="24"/>
          <w:szCs w:val="24"/>
          <w:lang w:val="en-GB"/>
        </w:rPr>
        <w:t xml:space="preserve">and </w:t>
      </w:r>
      <w:r w:rsidR="00993259" w:rsidRPr="00E60EC0">
        <w:rPr>
          <w:rFonts w:asciiTheme="minorHAnsi" w:hAnsiTheme="minorHAnsi" w:cstheme="minorHAnsi"/>
          <w:sz w:val="24"/>
          <w:szCs w:val="24"/>
          <w:lang w:val="en-GB"/>
        </w:rPr>
        <w:t>interleukin-2</w:t>
      </w:r>
      <w:r w:rsidR="00993259">
        <w:rPr>
          <w:rFonts w:asciiTheme="minorHAnsi" w:hAnsiTheme="minorHAnsi" w:cstheme="minorHAnsi"/>
          <w:sz w:val="24"/>
          <w:szCs w:val="24"/>
          <w:lang w:val="en-GB"/>
        </w:rPr>
        <w:t xml:space="preserve"> levels, at pre-vaccination baseline, 3</w:t>
      </w:r>
      <w:r w:rsidR="00C70902">
        <w:rPr>
          <w:rFonts w:asciiTheme="minorHAnsi" w:hAnsiTheme="minorHAnsi" w:cstheme="minorHAnsi"/>
          <w:sz w:val="24"/>
          <w:szCs w:val="24"/>
          <w:lang w:val="en-GB"/>
        </w:rPr>
        <w:t>-</w:t>
      </w:r>
      <w:r w:rsidR="00993259">
        <w:rPr>
          <w:rFonts w:asciiTheme="minorHAnsi" w:hAnsiTheme="minorHAnsi" w:cstheme="minorHAnsi"/>
          <w:sz w:val="24"/>
          <w:szCs w:val="24"/>
          <w:lang w:val="en-GB"/>
        </w:rPr>
        <w:t xml:space="preserve"> and 6</w:t>
      </w:r>
      <w:r w:rsidR="00C70902">
        <w:rPr>
          <w:rFonts w:asciiTheme="minorHAnsi" w:hAnsiTheme="minorHAnsi" w:cstheme="minorHAnsi"/>
          <w:sz w:val="24"/>
          <w:szCs w:val="24"/>
          <w:lang w:val="en-GB"/>
        </w:rPr>
        <w:t>-</w:t>
      </w:r>
      <w:r w:rsidR="00993259">
        <w:rPr>
          <w:rFonts w:asciiTheme="minorHAnsi" w:hAnsiTheme="minorHAnsi" w:cstheme="minorHAnsi"/>
          <w:sz w:val="24"/>
          <w:szCs w:val="24"/>
          <w:lang w:val="en-GB"/>
        </w:rPr>
        <w:t xml:space="preserve">months post vaccination, of children who remained uninfected (VV), children with symptomatic infection after 2 doses of vaccine (VVI(S)), and children with asymptomatic infection after 2 doses of vaccine (VVI(A)). </w:t>
      </w:r>
      <w:r w:rsidR="00993259" w:rsidRPr="00C70902">
        <w:rPr>
          <w:rFonts w:asciiTheme="minorHAnsi" w:hAnsiTheme="minorHAnsi" w:cstheme="minorHAnsi"/>
          <w:b/>
          <w:bCs/>
          <w:sz w:val="24"/>
          <w:szCs w:val="24"/>
          <w:lang w:val="en-GB"/>
        </w:rPr>
        <w:t>D, E.</w:t>
      </w:r>
      <w:r w:rsidR="00993259">
        <w:rPr>
          <w:rFonts w:asciiTheme="minorHAnsi" w:hAnsiTheme="minorHAnsi" w:cstheme="minorHAnsi"/>
          <w:sz w:val="24"/>
          <w:szCs w:val="24"/>
          <w:lang w:val="en-GB"/>
        </w:rPr>
        <w:t xml:space="preserve"> N-reactive T cell responses measured by post-stimulation </w:t>
      </w:r>
      <w:r w:rsidR="00993259" w:rsidRPr="00E60EC0">
        <w:rPr>
          <w:rFonts w:asciiTheme="minorHAnsi" w:hAnsiTheme="minorHAnsi" w:cstheme="minorHAnsi"/>
          <w:sz w:val="24"/>
          <w:szCs w:val="24"/>
          <w:lang w:val="en-GB"/>
        </w:rPr>
        <w:t>interferon-</w:t>
      </w:r>
      <w:r w:rsidR="00993259" w:rsidRPr="00993259">
        <w:rPr>
          <w:rFonts w:ascii="Cambria Math" w:hAnsi="Cambria Math" w:cs="Cambria Math"/>
          <w:sz w:val="24"/>
          <w:szCs w:val="24"/>
          <w:lang w:val="en-GB"/>
        </w:rPr>
        <w:t>𝛾</w:t>
      </w:r>
      <w:r w:rsidR="00993259" w:rsidRPr="00993259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993259">
        <w:rPr>
          <w:rFonts w:ascii="Calibri" w:hAnsi="Calibri" w:cs="Calibri"/>
          <w:sz w:val="24"/>
          <w:szCs w:val="24"/>
          <w:lang w:val="en-GB"/>
        </w:rPr>
        <w:t xml:space="preserve">and </w:t>
      </w:r>
      <w:r w:rsidR="00993259" w:rsidRPr="00E60EC0">
        <w:rPr>
          <w:rFonts w:asciiTheme="minorHAnsi" w:hAnsiTheme="minorHAnsi" w:cstheme="minorHAnsi"/>
          <w:sz w:val="24"/>
          <w:szCs w:val="24"/>
          <w:lang w:val="en-GB"/>
        </w:rPr>
        <w:t>interleukin-2</w:t>
      </w:r>
      <w:r w:rsidR="00993259">
        <w:rPr>
          <w:rFonts w:asciiTheme="minorHAnsi" w:hAnsiTheme="minorHAnsi" w:cstheme="minorHAnsi"/>
          <w:sz w:val="24"/>
          <w:szCs w:val="24"/>
          <w:lang w:val="en-GB"/>
        </w:rPr>
        <w:t xml:space="preserve"> levels, at </w:t>
      </w:r>
      <w:r w:rsidR="00C70902">
        <w:rPr>
          <w:rFonts w:asciiTheme="minorHAnsi" w:hAnsiTheme="minorHAnsi" w:cstheme="minorHAnsi"/>
          <w:sz w:val="24"/>
          <w:szCs w:val="24"/>
          <w:lang w:val="en-GB"/>
        </w:rPr>
        <w:t xml:space="preserve">6- and 12-months post vaccination, for children with vaccine-only immunity (VV) at 6 months, and who either 1) did not develop SARS-CoV-2 infection between 6 and 12 months, 2) developed symptomatic SARS-CoV-2 infection (S), or 3) developed asymptomatic infection. </w:t>
      </w:r>
      <w:r w:rsidR="00C70902" w:rsidRPr="00C70902">
        <w:rPr>
          <w:rFonts w:asciiTheme="minorHAnsi" w:hAnsiTheme="minorHAnsi" w:cstheme="minorHAnsi"/>
          <w:b/>
          <w:bCs/>
          <w:sz w:val="24"/>
          <w:szCs w:val="24"/>
          <w:lang w:val="en-GB"/>
        </w:rPr>
        <w:t>F, G.</w:t>
      </w:r>
      <w:r w:rsidR="00C70902">
        <w:rPr>
          <w:rFonts w:asciiTheme="minorHAnsi" w:hAnsiTheme="minorHAnsi" w:cstheme="minorHAnsi"/>
          <w:sz w:val="24"/>
          <w:szCs w:val="24"/>
          <w:lang w:val="en-GB"/>
        </w:rPr>
        <w:t xml:space="preserve"> N-reactive T cell responses measured by post-stimulation </w:t>
      </w:r>
      <w:r w:rsidR="00C70902" w:rsidRPr="00E60EC0">
        <w:rPr>
          <w:rFonts w:asciiTheme="minorHAnsi" w:hAnsiTheme="minorHAnsi" w:cstheme="minorHAnsi"/>
          <w:sz w:val="24"/>
          <w:szCs w:val="24"/>
          <w:lang w:val="en-GB"/>
        </w:rPr>
        <w:t>interferon-</w:t>
      </w:r>
      <w:r w:rsidR="00C70902" w:rsidRPr="00993259">
        <w:rPr>
          <w:rFonts w:ascii="Cambria Math" w:hAnsi="Cambria Math" w:cs="Cambria Math"/>
          <w:sz w:val="24"/>
          <w:szCs w:val="24"/>
          <w:lang w:val="en-GB"/>
        </w:rPr>
        <w:t>𝛾</w:t>
      </w:r>
      <w:r w:rsidR="00C70902" w:rsidRPr="00993259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C70902">
        <w:rPr>
          <w:rFonts w:ascii="Calibri" w:hAnsi="Calibri" w:cs="Calibri"/>
          <w:sz w:val="24"/>
          <w:szCs w:val="24"/>
          <w:lang w:val="en-GB"/>
        </w:rPr>
        <w:t xml:space="preserve">and </w:t>
      </w:r>
      <w:r w:rsidR="00C70902" w:rsidRPr="00E60EC0">
        <w:rPr>
          <w:rFonts w:asciiTheme="minorHAnsi" w:hAnsiTheme="minorHAnsi" w:cstheme="minorHAnsi"/>
          <w:sz w:val="24"/>
          <w:szCs w:val="24"/>
          <w:lang w:val="en-GB"/>
        </w:rPr>
        <w:t>interleukin-2</w:t>
      </w:r>
      <w:r w:rsidR="00C70902">
        <w:rPr>
          <w:rFonts w:asciiTheme="minorHAnsi" w:hAnsiTheme="minorHAnsi" w:cstheme="minorHAnsi"/>
          <w:sz w:val="24"/>
          <w:szCs w:val="24"/>
          <w:lang w:val="en-GB"/>
        </w:rPr>
        <w:t xml:space="preserve"> levels, at 6- and 12-months post vaccination, for children with hybrid immunity at 6 months, and who either 1) did not develop SARS-CoV-2 infection between 6 and 12 months, 2) developed symptomatic SARS-CoV-2 re-infection (S), or 3) developed asymptomatic re-infection. In all graphs, s</w:t>
      </w:r>
      <w:r w:rsidR="00C70902"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ubjects with serological evidence of asymptomatic </w:t>
      </w:r>
      <w:r w:rsidR="00C70902">
        <w:rPr>
          <w:rFonts w:asciiTheme="minorHAnsi" w:hAnsiTheme="minorHAnsi" w:cstheme="minorHAnsi"/>
          <w:sz w:val="24"/>
          <w:szCs w:val="24"/>
          <w:lang w:val="en-GB"/>
        </w:rPr>
        <w:t>SARS-CoV-2</w:t>
      </w:r>
      <w:r w:rsidR="00C70902"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are coloured in blue.</w:t>
      </w:r>
    </w:p>
    <w:p w14:paraId="2E0CB441" w14:textId="7F00CAF1" w:rsidR="006C2E6C" w:rsidRPr="00E60EC0" w:rsidRDefault="00A62EDF" w:rsidP="00A62EDF">
      <w:pPr>
        <w:tabs>
          <w:tab w:val="left" w:pos="4063"/>
        </w:tabs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ab/>
      </w:r>
    </w:p>
    <w:p w14:paraId="1D6A330E" w14:textId="0C28802B" w:rsidR="006C2E6C" w:rsidRDefault="006A765B" w:rsidP="00D271FB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val="en-GB"/>
        </w:rPr>
        <w:lastRenderedPageBreak/>
        <w:drawing>
          <wp:inline distT="0" distB="0" distL="0" distR="0" wp14:anchorId="4F6DB220" wp14:editId="279F8A94">
            <wp:extent cx="2887121" cy="172402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xtended Data Fig 4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742" cy="175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4D4A" w:rsidRPr="00D44D4A">
        <w:rPr>
          <w:rFonts w:asciiTheme="minorHAnsi" w:hAnsiTheme="minorHAnsi" w:cstheme="minorHAnsi"/>
          <w:b/>
          <w:noProof/>
          <w:sz w:val="24"/>
          <w:szCs w:val="24"/>
          <w:lang w:val="en-GB"/>
        </w:rPr>
        <w:drawing>
          <wp:inline distT="0" distB="0" distL="0" distR="0" wp14:anchorId="74445CFD" wp14:editId="5BEA8E40">
            <wp:extent cx="5914275" cy="4048125"/>
            <wp:effectExtent l="0" t="0" r="0" b="0"/>
            <wp:docPr id="1853693479" name="Picture 1" descr="A collage of different grap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693479" name="Picture 1" descr="A collage of different graphs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5727" cy="406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2E6C">
        <w:rPr>
          <w:rFonts w:asciiTheme="minorHAnsi" w:hAnsiTheme="minorHAnsi" w:cstheme="minorHAnsi"/>
          <w:b/>
          <w:sz w:val="24"/>
          <w:szCs w:val="24"/>
          <w:lang w:val="en-GB"/>
        </w:rPr>
        <w:br w:type="page"/>
      </w:r>
    </w:p>
    <w:p w14:paraId="0E3555BD" w14:textId="3CE0C54D" w:rsidR="006C2E6C" w:rsidRDefault="006C2E6C" w:rsidP="006C2E6C">
      <w:pPr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 xml:space="preserve">Extended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D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 xml:space="preserve">ata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F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igure 5</w:t>
      </w:r>
      <w:r w:rsidR="00BB1C2E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  <w:r w:rsidR="004C59A3">
        <w:rPr>
          <w:rFonts w:asciiTheme="minorHAnsi" w:hAnsiTheme="minorHAnsi" w:cstheme="minorHAnsi"/>
          <w:b/>
          <w:sz w:val="24"/>
          <w:szCs w:val="24"/>
          <w:lang w:val="en-GB"/>
        </w:rPr>
        <w:t xml:space="preserve">The proximity of last immunity-boosting event is similar for children who had symptomatic SARS-CoV-2 infection between doses 1 and 2 (VIV), and children who had symptomatic SARS-CoV-2 infection after 2 doses (VVI(S)) </w:t>
      </w:r>
      <w:r w:rsidRPr="00E60EC0">
        <w:rPr>
          <w:rFonts w:asciiTheme="minorHAnsi" w:hAnsiTheme="minorHAnsi" w:cstheme="minorHAnsi"/>
          <w:b/>
          <w:bCs/>
          <w:sz w:val="24"/>
          <w:szCs w:val="24"/>
        </w:rPr>
        <w:t>A.</w:t>
      </w:r>
      <w:r w:rsidRPr="00E60EC0">
        <w:rPr>
          <w:rFonts w:asciiTheme="minorHAnsi" w:hAnsiTheme="minorHAnsi" w:cstheme="minorHAnsi"/>
          <w:sz w:val="24"/>
          <w:szCs w:val="24"/>
        </w:rPr>
        <w:t xml:space="preserve"> Schematic of the time period that “</w:t>
      </w:r>
      <w:r w:rsidR="004C59A3">
        <w:rPr>
          <w:rFonts w:asciiTheme="minorHAnsi" w:hAnsiTheme="minorHAnsi" w:cstheme="minorHAnsi"/>
          <w:sz w:val="24"/>
          <w:szCs w:val="24"/>
        </w:rPr>
        <w:t>p</w:t>
      </w:r>
      <w:r w:rsidRPr="00E60EC0">
        <w:rPr>
          <w:rFonts w:asciiTheme="minorHAnsi" w:hAnsiTheme="minorHAnsi" w:cstheme="minorHAnsi"/>
          <w:sz w:val="24"/>
          <w:szCs w:val="24"/>
        </w:rPr>
        <w:t>roximity of last immunity-</w:t>
      </w:r>
      <w:r w:rsidR="004C59A3">
        <w:rPr>
          <w:rFonts w:asciiTheme="minorHAnsi" w:hAnsiTheme="minorHAnsi" w:cstheme="minorHAnsi"/>
          <w:sz w:val="24"/>
          <w:szCs w:val="24"/>
        </w:rPr>
        <w:t>boosting</w:t>
      </w:r>
      <w:r w:rsidRPr="00E60EC0">
        <w:rPr>
          <w:rFonts w:asciiTheme="minorHAnsi" w:hAnsiTheme="minorHAnsi" w:cstheme="minorHAnsi"/>
          <w:sz w:val="24"/>
          <w:szCs w:val="24"/>
        </w:rPr>
        <w:t xml:space="preserve"> event” refers to</w:t>
      </w:r>
      <w:r w:rsidR="004C59A3">
        <w:rPr>
          <w:rFonts w:asciiTheme="minorHAnsi" w:hAnsiTheme="minorHAnsi" w:cstheme="minorHAnsi"/>
          <w:sz w:val="24"/>
          <w:szCs w:val="24"/>
        </w:rPr>
        <w:t>, for VIV and VVI(S) children</w:t>
      </w:r>
      <w:r w:rsidR="00C34E48">
        <w:rPr>
          <w:rFonts w:asciiTheme="minorHAnsi" w:hAnsiTheme="minorHAnsi" w:cstheme="minorHAnsi"/>
          <w:sz w:val="24"/>
          <w:szCs w:val="24"/>
        </w:rPr>
        <w:t>. C</w:t>
      </w:r>
      <w:r w:rsidR="00C34E48" w:rsidRPr="00C34E48">
        <w:rPr>
          <w:rFonts w:asciiTheme="minorHAnsi" w:hAnsiTheme="minorHAnsi" w:cstheme="minorHAnsi"/>
          <w:sz w:val="24"/>
          <w:szCs w:val="24"/>
        </w:rPr>
        <w:t>reated with BioRender.com</w:t>
      </w:r>
      <w:r w:rsidR="00C34E48">
        <w:rPr>
          <w:rFonts w:asciiTheme="minorHAnsi" w:hAnsiTheme="minorHAnsi" w:cstheme="minorHAnsi"/>
          <w:sz w:val="24"/>
          <w:szCs w:val="24"/>
        </w:rPr>
        <w:t>.</w:t>
      </w:r>
      <w:r w:rsidR="004C59A3">
        <w:rPr>
          <w:rFonts w:asciiTheme="minorHAnsi" w:hAnsiTheme="minorHAnsi" w:cstheme="minorHAnsi"/>
          <w:sz w:val="24"/>
          <w:szCs w:val="24"/>
        </w:rPr>
        <w:t xml:space="preserve"> </w:t>
      </w:r>
      <w:r w:rsidRPr="00E60EC0">
        <w:rPr>
          <w:rFonts w:asciiTheme="minorHAnsi" w:hAnsiTheme="minorHAnsi" w:cstheme="minorHAnsi"/>
          <w:b/>
          <w:bCs/>
          <w:sz w:val="24"/>
          <w:szCs w:val="24"/>
        </w:rPr>
        <w:t>B.</w:t>
      </w:r>
      <w:r w:rsidRPr="00E60EC0">
        <w:rPr>
          <w:rFonts w:asciiTheme="minorHAnsi" w:hAnsiTheme="minorHAnsi" w:cstheme="minorHAnsi"/>
          <w:sz w:val="24"/>
          <w:szCs w:val="24"/>
        </w:rPr>
        <w:t xml:space="preserve"> Comparison of proximity of immunity-</w:t>
      </w:r>
      <w:r w:rsidR="004C59A3">
        <w:rPr>
          <w:rFonts w:asciiTheme="minorHAnsi" w:hAnsiTheme="minorHAnsi" w:cstheme="minorHAnsi"/>
          <w:sz w:val="24"/>
          <w:szCs w:val="24"/>
        </w:rPr>
        <w:t>boosting</w:t>
      </w:r>
      <w:r w:rsidRPr="00E60EC0">
        <w:rPr>
          <w:rFonts w:asciiTheme="minorHAnsi" w:hAnsiTheme="minorHAnsi" w:cstheme="minorHAnsi"/>
          <w:sz w:val="24"/>
          <w:szCs w:val="24"/>
        </w:rPr>
        <w:t xml:space="preserve"> event for VIV and VVI(S) children. 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For box-whisker graphs, upper and lower boundaries of boxes indicate upper and lower quartile respectively, line indicates median, and whiskers represent the range. </w:t>
      </w:r>
      <w:r w:rsidR="00CF5597">
        <w:rPr>
          <w:rFonts w:asciiTheme="minorHAnsi" w:hAnsiTheme="minorHAnsi" w:cstheme="minorHAnsi"/>
          <w:sz w:val="24"/>
          <w:szCs w:val="24"/>
          <w:lang w:val="en-GB"/>
        </w:rPr>
        <w:t xml:space="preserve">Two-tailed 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Mann-Whitney U test was used for comparison between groups; ns: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not significant, *: p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0.05, **: p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0.01, ***: p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0.001, ****: p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GB"/>
        </w:rPr>
        <w:t xml:space="preserve">&lt;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0.0001.</w:t>
      </w:r>
    </w:p>
    <w:p w14:paraId="2F26E93C" w14:textId="77777777" w:rsidR="00BB1C2E" w:rsidRDefault="00BB1C2E" w:rsidP="006C2E6C">
      <w:pPr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</w:p>
    <w:p w14:paraId="02CE77C5" w14:textId="77777777" w:rsidR="00FD172D" w:rsidRPr="00E60EC0" w:rsidRDefault="00FD172D" w:rsidP="006C2E6C">
      <w:pPr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</w:p>
    <w:p w14:paraId="45D5734B" w14:textId="5A2D89BD" w:rsidR="006C2E6C" w:rsidRPr="00E60EC0" w:rsidRDefault="006C2E6C" w:rsidP="006C2E6C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28B4DCF7" w14:textId="31814DCC" w:rsidR="006C2E6C" w:rsidRDefault="005019F7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5019F7">
        <w:rPr>
          <w:rFonts w:asciiTheme="minorHAnsi" w:hAnsiTheme="minorHAnsi" w:cstheme="minorHAnsi"/>
          <w:b/>
          <w:noProof/>
          <w:sz w:val="24"/>
          <w:szCs w:val="24"/>
          <w:lang w:val="en-GB"/>
        </w:rPr>
        <w:drawing>
          <wp:inline distT="0" distB="0" distL="0" distR="0" wp14:anchorId="48925956" wp14:editId="22F417E4">
            <wp:extent cx="5731510" cy="2662555"/>
            <wp:effectExtent l="0" t="0" r="2540" b="4445"/>
            <wp:docPr id="1301851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85197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2E6C">
        <w:rPr>
          <w:rFonts w:asciiTheme="minorHAnsi" w:hAnsiTheme="minorHAnsi" w:cstheme="minorHAnsi"/>
          <w:b/>
          <w:sz w:val="24"/>
          <w:szCs w:val="24"/>
          <w:lang w:val="en-GB"/>
        </w:rPr>
        <w:br w:type="page"/>
      </w:r>
    </w:p>
    <w:p w14:paraId="3D8DBC9B" w14:textId="7325010A" w:rsidR="006C2E6C" w:rsidRPr="00E60EC0" w:rsidRDefault="006C2E6C" w:rsidP="006C2E6C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 xml:space="preserve">Extended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D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 xml:space="preserve">ata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F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igure 6</w:t>
      </w:r>
      <w:r w:rsidR="00FD172D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  <w:r w:rsidR="00722293">
        <w:rPr>
          <w:rFonts w:asciiTheme="minorHAnsi" w:hAnsiTheme="minorHAnsi" w:cstheme="minorHAnsi"/>
          <w:b/>
          <w:sz w:val="24"/>
          <w:szCs w:val="24"/>
          <w:lang w:val="en-GB"/>
        </w:rPr>
        <w:t xml:space="preserve">Neutralising capacity across variants of concern (VOC) for paediatric subjects with immunity against SARS-CoV-2. </w:t>
      </w:r>
      <w:r w:rsidR="00722293">
        <w:rPr>
          <w:rFonts w:asciiTheme="minorHAnsi" w:hAnsiTheme="minorHAnsi" w:cstheme="minorHAnsi"/>
          <w:sz w:val="24"/>
          <w:szCs w:val="24"/>
          <w:lang w:val="en-GB"/>
        </w:rPr>
        <w:t xml:space="preserve">Neutralising capacity using % inhibition at single dilution for Spike (S) proteins from VOC, for </w:t>
      </w:r>
      <w:r w:rsidR="00722293" w:rsidRPr="00722293">
        <w:rPr>
          <w:rFonts w:asciiTheme="minorHAnsi" w:hAnsiTheme="minorHAnsi" w:cstheme="minorHAnsi"/>
          <w:b/>
          <w:bCs/>
          <w:sz w:val="24"/>
          <w:szCs w:val="24"/>
          <w:lang w:val="en-GB"/>
        </w:rPr>
        <w:t>A.</w:t>
      </w:r>
      <w:r w:rsidR="00722293">
        <w:rPr>
          <w:rFonts w:asciiTheme="minorHAnsi" w:hAnsiTheme="minorHAnsi" w:cstheme="minorHAnsi"/>
          <w:sz w:val="24"/>
          <w:szCs w:val="24"/>
          <w:lang w:val="en-GB"/>
        </w:rPr>
        <w:t xml:space="preserve"> children who had symptomatic SARS-CoV-2 infection after 2 doses of vaccine (VVI(S)), </w:t>
      </w:r>
      <w:r w:rsidR="00722293" w:rsidRPr="00722293">
        <w:rPr>
          <w:rFonts w:asciiTheme="minorHAnsi" w:hAnsiTheme="minorHAnsi" w:cstheme="minorHAnsi"/>
          <w:b/>
          <w:bCs/>
          <w:sz w:val="24"/>
          <w:szCs w:val="24"/>
          <w:lang w:val="en-GB"/>
        </w:rPr>
        <w:t>B.</w:t>
      </w:r>
      <w:r w:rsidR="00722293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symptomatic infection after 2 primary doses (VVI (S)), 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C.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asymptomatic infection after 2 primary doses (VVI (A)), 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D.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immunity from 2 doses of vaccine alone, 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E.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722293">
        <w:rPr>
          <w:rFonts w:asciiTheme="minorHAnsi" w:hAnsiTheme="minorHAnsi" w:cstheme="minorHAnsi"/>
          <w:sz w:val="24"/>
          <w:szCs w:val="24"/>
          <w:lang w:val="en-GB"/>
        </w:rPr>
        <w:t xml:space="preserve">immunity from natural infection without vaccination. 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>Statistical testing for each variant used VVI (S) as a reference, and results of statistical testing are shown above respective VOC</w:t>
      </w:r>
      <w:r w:rsidR="00722293">
        <w:rPr>
          <w:rFonts w:asciiTheme="minorHAnsi" w:hAnsiTheme="minorHAnsi" w:cstheme="minorHAnsi"/>
          <w:sz w:val="24"/>
          <w:szCs w:val="24"/>
          <w:lang w:val="en-GB"/>
        </w:rPr>
        <w:t xml:space="preserve">. </w:t>
      </w:r>
      <w:r w:rsidR="00CF5597">
        <w:rPr>
          <w:rFonts w:asciiTheme="minorHAnsi" w:hAnsiTheme="minorHAnsi" w:cstheme="minorHAnsi"/>
          <w:sz w:val="24"/>
          <w:szCs w:val="24"/>
          <w:lang w:val="en-GB"/>
        </w:rPr>
        <w:t xml:space="preserve">Two-tailed 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Mann-Whitney U test was used for comparison between groups; ns: not significant, *: p </w:t>
      </w:r>
      <w:r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0.05, **: p </w:t>
      </w:r>
      <w:r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0.01, ***: p </w:t>
      </w:r>
      <w:r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0.001, ****: p </w:t>
      </w:r>
      <w:r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&lt; 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>0.0001.</w:t>
      </w:r>
    </w:p>
    <w:p w14:paraId="10510B6D" w14:textId="55AC3D82" w:rsidR="006C2E6C" w:rsidRPr="00CE360F" w:rsidRDefault="006C2E6C" w:rsidP="00CE360F">
      <w:pPr>
        <w:tabs>
          <w:tab w:val="left" w:pos="1177"/>
        </w:tabs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ab/>
      </w:r>
    </w:p>
    <w:p w14:paraId="10300861" w14:textId="4530C426" w:rsidR="00AB3F83" w:rsidRDefault="00CE360F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CE360F">
        <w:rPr>
          <w:rFonts w:asciiTheme="minorHAnsi" w:hAnsiTheme="minorHAnsi" w:cstheme="minorHAnsi"/>
          <w:b/>
          <w:noProof/>
          <w:sz w:val="24"/>
          <w:szCs w:val="24"/>
          <w:lang w:val="en-GB"/>
        </w:rPr>
        <w:drawing>
          <wp:inline distT="0" distB="0" distL="0" distR="0" wp14:anchorId="7AE1C303" wp14:editId="1E696CE7">
            <wp:extent cx="5731510" cy="3471545"/>
            <wp:effectExtent l="0" t="0" r="2540" b="0"/>
            <wp:docPr id="306597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9707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3F83">
        <w:rPr>
          <w:rFonts w:asciiTheme="minorHAnsi" w:hAnsiTheme="minorHAnsi" w:cstheme="minorHAnsi"/>
          <w:b/>
          <w:sz w:val="24"/>
          <w:szCs w:val="24"/>
          <w:lang w:val="en-GB"/>
        </w:rPr>
        <w:br w:type="page"/>
      </w:r>
    </w:p>
    <w:p w14:paraId="1DBE1D90" w14:textId="05582195" w:rsidR="00D271FB" w:rsidRDefault="006C2E6C" w:rsidP="006C2E6C">
      <w:pPr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 xml:space="preserve">Extended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D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 xml:space="preserve">ata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F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igure 7</w:t>
      </w:r>
      <w:r w:rsidR="00AB3F83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  <w:r w:rsidR="00C310C9">
        <w:rPr>
          <w:rFonts w:asciiTheme="minorHAnsi" w:hAnsiTheme="minorHAnsi" w:cstheme="minorHAnsi"/>
          <w:b/>
          <w:sz w:val="24"/>
          <w:szCs w:val="24"/>
          <w:lang w:val="en-GB"/>
        </w:rPr>
        <w:t xml:space="preserve">Eight-cytokine release assay for Spike-reactive T cell responses among children with hybrid immunity. </w:t>
      </w:r>
      <w:r w:rsidRPr="00E60EC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A.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Schematic of whole-blood stimulation with SARS-CoV-2 Spike (S) peptide pools overnight and an</w:t>
      </w:r>
      <w:r w:rsidR="00DD2C8F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>lysis of the cytokine secretion profile (after DMSO control subtraction) using unsupervised clustering algorithm (UMAP). The cytokines quantified were interferon-</w:t>
      </w:r>
      <w:r w:rsidRPr="00E60EC0">
        <w:rPr>
          <w:rFonts w:ascii="Cambria Math" w:hAnsi="Cambria Math" w:cs="Cambria Math"/>
          <w:color w:val="000000" w:themeColor="text1"/>
          <w:sz w:val="24"/>
          <w:szCs w:val="24"/>
          <w:lang w:val="en-GB"/>
        </w:rPr>
        <w:t>𝛾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(IFN-</w:t>
      </w:r>
      <w:r w:rsidRPr="00E60EC0">
        <w:rPr>
          <w:rFonts w:ascii="Cambria Math" w:hAnsi="Cambria Math" w:cs="Cambria Math"/>
          <w:color w:val="000000" w:themeColor="text1"/>
          <w:sz w:val="24"/>
          <w:szCs w:val="24"/>
          <w:lang w:val="en-GB"/>
        </w:rPr>
        <w:t>𝛾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), interleukin-2 (IL-2), </w:t>
      </w:r>
      <w:proofErr w:type="spellStart"/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>tumour</w:t>
      </w:r>
      <w:proofErr w:type="spellEnd"/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necrosis factor-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sym w:font="Symbol" w:char="F061"/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(TNF-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sym w:font="Symbol" w:char="F061"/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), Granzyme B, interleukin-10 (IL-10), interleukin-4 (IL-4), interleukin-5 (IL-5), and interleukin-13 (IL-13). </w:t>
      </w:r>
      <w:r w:rsidRPr="00E60EC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B.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UMAP plots generated with all </w:t>
      </w:r>
      <w:proofErr w:type="spellStart"/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>analysed</w:t>
      </w:r>
      <w:proofErr w:type="spellEnd"/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blood culture supernatants (n = 391, consisting of adults, infected children and vaccinated children at all time points) with indicated cytokine secretion heatmaps. </w:t>
      </w:r>
      <w:r w:rsidRPr="00E60EC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C.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Concatenated cytokine secretion profiles of S peptide-pool stimulated whole blood from children with 3 types of hybrid immunity: VIV – children who had 1 dose of vaccine, followed by natural infection, followed by dose 2 3 months later, VVI (S) – children who had 2 doses of vaccine followed by symptomatic natural infection, VVI (A) – children who had 2 doses of vaccine followed by asymptomatic natural infection. Cytokine secretion profiles are overlaid on the global UMAP plot of all </w:t>
      </w:r>
      <w:proofErr w:type="spellStart"/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>analysed</w:t>
      </w:r>
      <w:proofErr w:type="spellEnd"/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samples (black dots; each dot corresponds to one culture supernatant). </w:t>
      </w:r>
      <w:r w:rsidRPr="00E60EC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D.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The amount of indicated cytokines secreted, compared between the children with 3 types of hybrid immunity. </w:t>
      </w:r>
      <w:r w:rsidR="00CF55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Two-tailed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Mann Whitney-U test was used to compare between groups. ns: not significant, *: p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0.05, **: p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0.01, ***: p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0.001, ****: p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GB"/>
        </w:rPr>
        <w:t xml:space="preserve">&lt;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0.0001</w:t>
      </w:r>
    </w:p>
    <w:p w14:paraId="291C42ED" w14:textId="77777777" w:rsidR="00D271FB" w:rsidRDefault="00D271FB">
      <w:pPr>
        <w:spacing w:after="160" w:line="259" w:lineRule="auto"/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br w:type="page"/>
      </w:r>
    </w:p>
    <w:p w14:paraId="65D259D0" w14:textId="77777777" w:rsidR="006C2E6C" w:rsidRPr="00C310C9" w:rsidRDefault="006C2E6C" w:rsidP="006C2E6C">
      <w:pPr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2180CE81" w14:textId="77777777" w:rsidR="006C2E6C" w:rsidRDefault="006C2E6C" w:rsidP="006C2E6C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657EFAFF" w14:textId="77777777" w:rsidR="003742F5" w:rsidRDefault="003742F5" w:rsidP="006C2E6C">
      <w:pPr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noProof/>
          <w:sz w:val="24"/>
          <w:szCs w:val="24"/>
          <w:lang w:val="en-GB"/>
        </w:rPr>
        <w:drawing>
          <wp:inline distT="0" distB="0" distL="0" distR="0" wp14:anchorId="5204F6DB" wp14:editId="5F87B03C">
            <wp:extent cx="6149907" cy="2236206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xtended Data Fig 7A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397" cy="224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FFFCF" w14:textId="77777777" w:rsidR="003742F5" w:rsidRDefault="003742F5" w:rsidP="006C2E6C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0AB59167" w14:textId="77777777" w:rsidR="003742F5" w:rsidRPr="00E60EC0" w:rsidRDefault="003742F5" w:rsidP="006C2E6C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7297D0CA" w14:textId="77777777" w:rsidR="003742F5" w:rsidRDefault="003742F5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val="en-GB"/>
        </w:rPr>
        <w:drawing>
          <wp:inline distT="0" distB="0" distL="0" distR="0" wp14:anchorId="5BA3DF35" wp14:editId="51C7229D">
            <wp:extent cx="5296277" cy="2831213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xtended Data Fig 7C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888" cy="283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1D450" w14:textId="7231C2B7" w:rsidR="006C2E6C" w:rsidRDefault="005019F7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5019F7">
        <w:rPr>
          <w:rFonts w:asciiTheme="minorHAnsi" w:hAnsiTheme="minorHAnsi" w:cstheme="minorHAnsi"/>
          <w:b/>
          <w:noProof/>
          <w:sz w:val="24"/>
          <w:szCs w:val="24"/>
          <w:lang w:val="en-GB"/>
        </w:rPr>
        <w:drawing>
          <wp:inline distT="0" distB="0" distL="0" distR="0" wp14:anchorId="7A07C975" wp14:editId="5C82ACC1">
            <wp:extent cx="5731510" cy="2921000"/>
            <wp:effectExtent l="0" t="0" r="2540" b="0"/>
            <wp:docPr id="1652514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1498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2E6C">
        <w:rPr>
          <w:rFonts w:asciiTheme="minorHAnsi" w:hAnsiTheme="minorHAnsi" w:cstheme="minorHAnsi"/>
          <w:b/>
          <w:sz w:val="24"/>
          <w:szCs w:val="24"/>
          <w:lang w:val="en-GB"/>
        </w:rPr>
        <w:br w:type="page"/>
      </w:r>
    </w:p>
    <w:p w14:paraId="23AACF84" w14:textId="0F42EE81" w:rsidR="006C2E6C" w:rsidRPr="00C310C9" w:rsidRDefault="006C2E6C" w:rsidP="006C2E6C">
      <w:pPr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 xml:space="preserve">Extended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D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 xml:space="preserve">ata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F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igure 8</w:t>
      </w:r>
      <w:r w:rsidR="00167F33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  <w:r w:rsidR="00C310C9">
        <w:rPr>
          <w:rFonts w:asciiTheme="minorHAnsi" w:hAnsiTheme="minorHAnsi" w:cstheme="minorHAnsi"/>
          <w:b/>
          <w:sz w:val="24"/>
          <w:szCs w:val="24"/>
          <w:lang w:val="en-GB"/>
        </w:rPr>
        <w:t>Immune correlates of protection against symptomatic SARS-CoV-2 infection in 2 time-periods post vaccination</w:t>
      </w:r>
      <w:r w:rsidR="00C34E48">
        <w:rPr>
          <w:rFonts w:asciiTheme="minorHAnsi" w:hAnsiTheme="minorHAnsi" w:cstheme="minorHAnsi"/>
          <w:b/>
          <w:sz w:val="24"/>
          <w:szCs w:val="24"/>
          <w:lang w:val="en-GB"/>
        </w:rPr>
        <w:t xml:space="preserve">. </w:t>
      </w:r>
      <w:r w:rsidR="00C310C9">
        <w:rPr>
          <w:rFonts w:asciiTheme="minorHAnsi" w:hAnsiTheme="minorHAnsi" w:cstheme="minorHAnsi"/>
          <w:b/>
          <w:sz w:val="24"/>
          <w:szCs w:val="24"/>
          <w:lang w:val="en-GB"/>
        </w:rPr>
        <w:t>A.</w:t>
      </w:r>
      <w:r w:rsidR="00C310C9" w:rsidRPr="00C310C9">
        <w:rPr>
          <w:rFonts w:ascii="Calibri" w:hAnsi="Calibri" w:cs="Calibri"/>
          <w:bCs/>
          <w:sz w:val="24"/>
          <w:szCs w:val="24"/>
          <w:lang w:val="en-GB"/>
        </w:rPr>
        <w:t xml:space="preserve"> 3-month Spike (S)-reactive T cell responses, </w:t>
      </w:r>
      <w:r w:rsidR="00C310C9" w:rsidRPr="00C310C9">
        <w:rPr>
          <w:rFonts w:ascii="Calibri" w:hAnsi="Calibri" w:cs="Calibri"/>
          <w:bCs/>
          <w:color w:val="000000" w:themeColor="text1"/>
          <w:sz w:val="24"/>
          <w:szCs w:val="24"/>
          <w:lang w:val="en-GB"/>
        </w:rPr>
        <w:t xml:space="preserve">quantified using interferon- </w:t>
      </w:r>
      <w:r w:rsidR="00C310C9" w:rsidRPr="00C310C9">
        <w:rPr>
          <w:rFonts w:ascii="Cambria Math" w:hAnsi="Cambria Math" w:cs="Cambria Math"/>
          <w:bCs/>
          <w:color w:val="000000" w:themeColor="text1"/>
          <w:sz w:val="24"/>
          <w:szCs w:val="24"/>
          <w:lang w:val="en-GB"/>
        </w:rPr>
        <w:t>𝛾</w:t>
      </w:r>
      <w:r w:rsidR="00C310C9" w:rsidRPr="00C310C9">
        <w:rPr>
          <w:rFonts w:ascii="Calibri" w:hAnsi="Calibri" w:cs="Calibri"/>
          <w:bCs/>
          <w:color w:val="000000" w:themeColor="text1"/>
          <w:sz w:val="24"/>
          <w:szCs w:val="24"/>
          <w:lang w:val="en-GB"/>
        </w:rPr>
        <w:t xml:space="preserve"> (IFN-</w:t>
      </w:r>
      <w:r w:rsidR="00C310C9" w:rsidRPr="00C310C9">
        <w:rPr>
          <w:rFonts w:ascii="Cambria Math" w:hAnsi="Cambria Math" w:cs="Cambria Math"/>
          <w:bCs/>
          <w:color w:val="000000" w:themeColor="text1"/>
          <w:sz w:val="24"/>
          <w:szCs w:val="24"/>
          <w:lang w:val="en-GB"/>
        </w:rPr>
        <w:t>𝛾</w:t>
      </w:r>
      <w:r w:rsidR="00C310C9" w:rsidRPr="00C310C9">
        <w:rPr>
          <w:rFonts w:ascii="Calibri" w:hAnsi="Calibri" w:cs="Calibri"/>
          <w:bCs/>
          <w:color w:val="000000" w:themeColor="text1"/>
          <w:sz w:val="24"/>
          <w:szCs w:val="24"/>
          <w:lang w:val="en-GB"/>
        </w:rPr>
        <w:t xml:space="preserve">) and interleukin-2 (IL-2), for children with no infection, symptomatic SARS-CoV-2 infection, and asymptomatic infection between 3 and 6 months. </w:t>
      </w:r>
      <w:r w:rsidR="00C310C9" w:rsidRPr="00C310C9">
        <w:rPr>
          <w:rFonts w:ascii="Calibri" w:hAnsi="Calibri" w:cs="Calibri"/>
          <w:b/>
          <w:color w:val="000000" w:themeColor="text1"/>
          <w:sz w:val="24"/>
          <w:szCs w:val="24"/>
          <w:lang w:val="en-GB"/>
        </w:rPr>
        <w:t>B.</w:t>
      </w:r>
      <w:r w:rsidR="00C310C9" w:rsidRPr="00C310C9">
        <w:rPr>
          <w:rFonts w:ascii="Calibri" w:hAnsi="Calibri" w:cs="Calibri"/>
          <w:bCs/>
          <w:color w:val="000000" w:themeColor="text1"/>
          <w:sz w:val="24"/>
          <w:szCs w:val="24"/>
          <w:lang w:val="en-GB"/>
        </w:rPr>
        <w:t xml:space="preserve"> Receiver operating characteristics curve combining S-specific memory B cell (MBC) counts and S-reactive T cell responses measured by IFN-</w:t>
      </w:r>
      <w:r w:rsidR="00C310C9" w:rsidRPr="00C310C9">
        <w:rPr>
          <w:rFonts w:ascii="Cambria Math" w:hAnsi="Cambria Math" w:cs="Cambria Math"/>
          <w:bCs/>
          <w:color w:val="000000" w:themeColor="text1"/>
          <w:sz w:val="24"/>
          <w:szCs w:val="24"/>
          <w:lang w:val="en-GB"/>
        </w:rPr>
        <w:t>𝛾</w:t>
      </w:r>
      <w:r w:rsidR="00C310C9" w:rsidRPr="00C310C9">
        <w:rPr>
          <w:rFonts w:ascii="Calibri" w:hAnsi="Calibri" w:cs="Calibri"/>
          <w:bCs/>
          <w:color w:val="000000" w:themeColor="text1"/>
          <w:sz w:val="24"/>
          <w:szCs w:val="24"/>
          <w:lang w:val="en-GB"/>
        </w:rPr>
        <w:t xml:space="preserve"> </w:t>
      </w:r>
      <w:r w:rsidR="00C34E48" w:rsidRPr="00C34E48">
        <w:rPr>
          <w:rFonts w:ascii="Calibri" w:hAnsi="Calibri" w:cs="Calibri"/>
          <w:bCs/>
          <w:color w:val="000000" w:themeColor="text1"/>
          <w:sz w:val="24"/>
          <w:szCs w:val="24"/>
          <w:lang w:val="en-GB"/>
        </w:rPr>
        <w:t>(obtained by adding individual Z-scores for MBC to Z-scores of IFN-</w:t>
      </w:r>
      <w:r w:rsidR="00C34E48" w:rsidRPr="00C34E48">
        <w:rPr>
          <w:rFonts w:ascii="Cambria Math" w:hAnsi="Cambria Math" w:cs="Cambria Math"/>
          <w:bCs/>
          <w:color w:val="000000" w:themeColor="text1"/>
          <w:sz w:val="24"/>
          <w:szCs w:val="24"/>
          <w:lang w:val="en-GB"/>
        </w:rPr>
        <w:t>𝛾</w:t>
      </w:r>
      <w:r w:rsidR="00C34E48" w:rsidRPr="00C34E48">
        <w:rPr>
          <w:rFonts w:ascii="Calibri" w:hAnsi="Calibri" w:cs="Calibri"/>
          <w:bCs/>
          <w:color w:val="000000" w:themeColor="text1"/>
          <w:sz w:val="24"/>
          <w:szCs w:val="24"/>
          <w:lang w:val="en-GB"/>
        </w:rPr>
        <w:t>).</w:t>
      </w:r>
      <w:r w:rsidR="00C310C9" w:rsidRPr="00C310C9">
        <w:rPr>
          <w:rFonts w:ascii="Calibri" w:hAnsi="Calibri" w:cs="Calibri"/>
          <w:b/>
          <w:color w:val="000000" w:themeColor="text1"/>
          <w:sz w:val="24"/>
          <w:szCs w:val="24"/>
          <w:lang w:val="en-GB"/>
        </w:rPr>
        <w:t>C.</w:t>
      </w:r>
      <w:r w:rsidR="00C310C9" w:rsidRPr="00C310C9">
        <w:rPr>
          <w:rFonts w:ascii="Calibri" w:hAnsi="Calibri" w:cs="Calibri"/>
          <w:bCs/>
          <w:color w:val="000000" w:themeColor="text1"/>
          <w:sz w:val="24"/>
          <w:szCs w:val="24"/>
          <w:lang w:val="en-GB"/>
        </w:rPr>
        <w:t xml:space="preserve"> S-reactive T cell responses measured by IFN-</w:t>
      </w:r>
      <w:r w:rsidR="00C310C9" w:rsidRPr="00C310C9">
        <w:rPr>
          <w:rFonts w:ascii="Cambria Math" w:hAnsi="Cambria Math" w:cs="Cambria Math"/>
          <w:bCs/>
          <w:color w:val="000000" w:themeColor="text1"/>
          <w:sz w:val="24"/>
          <w:szCs w:val="24"/>
          <w:lang w:val="en-GB"/>
        </w:rPr>
        <w:t>𝛾</w:t>
      </w:r>
      <w:r w:rsidR="00C310C9" w:rsidRPr="00C310C9">
        <w:rPr>
          <w:rFonts w:ascii="Calibri" w:hAnsi="Calibri" w:cs="Calibri"/>
          <w:bCs/>
          <w:color w:val="000000" w:themeColor="text1"/>
          <w:sz w:val="24"/>
          <w:szCs w:val="24"/>
          <w:lang w:val="en-GB"/>
        </w:rPr>
        <w:t xml:space="preserve"> and IL-2, for children with no symptomatic SARS-CoV-2 infection between 6 and 12 months who were VVI(A) at 6 months, the rest of the children who had no symptomatic SARS-CoV-2 infection, and the children with symptomatic SARS-CoV-2 infection</w:t>
      </w:r>
      <w:r w:rsidR="00C310C9" w:rsidRPr="00C310C9">
        <w:rPr>
          <w:rFonts w:ascii="Calibri" w:hAnsi="Calibri" w:cs="Calibri"/>
          <w:b/>
          <w:color w:val="000000" w:themeColor="text1"/>
          <w:sz w:val="24"/>
          <w:szCs w:val="24"/>
          <w:lang w:val="en-GB"/>
        </w:rPr>
        <w:t>. D.</w:t>
      </w:r>
      <w:r w:rsidR="00C310C9" w:rsidRPr="00C310C9">
        <w:rPr>
          <w:rFonts w:ascii="Calibri" w:hAnsi="Calibri" w:cs="Calibri"/>
          <w:bCs/>
          <w:color w:val="000000" w:themeColor="text1"/>
          <w:sz w:val="24"/>
          <w:szCs w:val="24"/>
          <w:lang w:val="en-GB"/>
        </w:rPr>
        <w:t xml:space="preserve"> </w:t>
      </w:r>
      <w:r w:rsidR="00C310C9" w:rsidRPr="00C310C9">
        <w:rPr>
          <w:rFonts w:ascii="Calibri" w:hAnsi="Calibri" w:cs="Calibri"/>
          <w:bCs/>
          <w:sz w:val="24"/>
          <w:szCs w:val="24"/>
          <w:lang w:val="en-GB"/>
        </w:rPr>
        <w:t xml:space="preserve">3-month anti-S IgG titres </w:t>
      </w:r>
      <w:r w:rsidR="00C310C9" w:rsidRPr="00C310C9">
        <w:rPr>
          <w:rFonts w:ascii="Calibri" w:hAnsi="Calibri" w:cs="Calibri"/>
          <w:bCs/>
          <w:color w:val="000000" w:themeColor="text1"/>
          <w:sz w:val="24"/>
          <w:szCs w:val="24"/>
          <w:lang w:val="en-GB"/>
        </w:rPr>
        <w:t>for children with no infection, symptomatic SARS-CoV-2 infection, and asymptomatic infection between 3 and 6 months.</w:t>
      </w:r>
      <w:r w:rsidR="00C310C9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For box-whisker graphs, upper and lower boundaries of boxes indicate upper and lower quartile respectively, line indicates median, and whiskers represent the range. </w:t>
      </w:r>
      <w:r w:rsidR="00CF5597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Two-tailed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Mann Whitney-U test was used to compare between groups. ns: not significant, *: p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0.05, **: p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0.01, ***: p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0.001, ****: p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GB"/>
        </w:rPr>
        <w:t xml:space="preserve">&lt; </w:t>
      </w:r>
      <w:r w:rsidRPr="00E60EC0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0.0001.</w:t>
      </w:r>
      <w:r w:rsidR="00F66A3B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</w:t>
      </w:r>
      <w:r w:rsidR="00F66A3B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Timeline was </w:t>
      </w:r>
      <w:r w:rsidR="00F66A3B" w:rsidRPr="00C34E48">
        <w:rPr>
          <w:rFonts w:asciiTheme="minorHAnsi" w:hAnsiTheme="minorHAnsi" w:cstheme="minorHAnsi"/>
          <w:sz w:val="24"/>
          <w:szCs w:val="24"/>
        </w:rPr>
        <w:t>created with BioRender.com</w:t>
      </w:r>
      <w:r w:rsidR="00F66A3B">
        <w:rPr>
          <w:rFonts w:asciiTheme="minorHAnsi" w:hAnsiTheme="minorHAnsi" w:cstheme="minorHAnsi"/>
          <w:sz w:val="24"/>
          <w:szCs w:val="24"/>
        </w:rPr>
        <w:t>.</w:t>
      </w:r>
    </w:p>
    <w:p w14:paraId="6AE7B53F" w14:textId="77777777" w:rsidR="00167F33" w:rsidRPr="00E60EC0" w:rsidRDefault="00167F33" w:rsidP="006C2E6C">
      <w:pPr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</w:p>
    <w:p w14:paraId="562117DD" w14:textId="77777777" w:rsidR="006C2E6C" w:rsidRPr="00E60EC0" w:rsidRDefault="006C2E6C" w:rsidP="006C2E6C">
      <w:pPr>
        <w:rPr>
          <w:rFonts w:asciiTheme="minorHAnsi" w:hAnsiTheme="minorHAnsi" w:cstheme="minorHAnsi"/>
          <w:b/>
          <w:sz w:val="24"/>
          <w:szCs w:val="24"/>
        </w:rPr>
      </w:pPr>
    </w:p>
    <w:p w14:paraId="08F3A0F6" w14:textId="77777777" w:rsidR="00D271FB" w:rsidRDefault="00D44D4A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D44D4A">
        <w:rPr>
          <w:rFonts w:asciiTheme="minorHAnsi" w:hAnsiTheme="minorHAnsi" w:cstheme="minorHAnsi"/>
          <w:b/>
          <w:noProof/>
          <w:sz w:val="24"/>
          <w:szCs w:val="24"/>
          <w:lang w:val="en-GB"/>
        </w:rPr>
        <w:drawing>
          <wp:inline distT="0" distB="0" distL="0" distR="0" wp14:anchorId="1BFBD0F1" wp14:editId="2DAD2787">
            <wp:extent cx="5731510" cy="4067810"/>
            <wp:effectExtent l="0" t="0" r="2540" b="8890"/>
            <wp:docPr id="116299129" name="Picture 1" descr="A diagram of a number of grap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9129" name="Picture 1" descr="A diagram of a number of graphs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FF5AB" w14:textId="77777777" w:rsidR="00D271FB" w:rsidRDefault="00D271FB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br w:type="page"/>
      </w:r>
    </w:p>
    <w:p w14:paraId="099510F5" w14:textId="0703D702" w:rsidR="00205F1F" w:rsidRPr="00E60EC0" w:rsidRDefault="006C2E6C" w:rsidP="00205F1F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 xml:space="preserve">Extended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D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 xml:space="preserve">ata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F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igure 9</w:t>
      </w:r>
      <w:r w:rsidR="00167F33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  <w:r w:rsidR="00205F1F">
        <w:rPr>
          <w:rFonts w:ascii="Calibri" w:hAnsi="Calibri"/>
          <w:b/>
          <w:color w:val="000000" w:themeColor="text1"/>
          <w:sz w:val="24"/>
        </w:rPr>
        <w:t xml:space="preserve">Effect of a booster (third) dose of vaccine on adaptive immune responses in children who had hybrid immunity by 6 months. A. </w:t>
      </w:r>
      <w:r w:rsidR="00205F1F" w:rsidRPr="00205F1F">
        <w:rPr>
          <w:rFonts w:ascii="Calibri" w:hAnsi="Calibri"/>
          <w:bCs/>
          <w:color w:val="000000" w:themeColor="text1"/>
          <w:sz w:val="24"/>
        </w:rPr>
        <w:t xml:space="preserve">Anti-Spike (S) IgG </w:t>
      </w:r>
      <w:proofErr w:type="spellStart"/>
      <w:r w:rsidR="00205F1F" w:rsidRPr="00205F1F">
        <w:rPr>
          <w:rFonts w:ascii="Calibri" w:hAnsi="Calibri"/>
          <w:bCs/>
          <w:color w:val="000000" w:themeColor="text1"/>
          <w:sz w:val="24"/>
        </w:rPr>
        <w:t>titres</w:t>
      </w:r>
      <w:proofErr w:type="spellEnd"/>
      <w:r w:rsidR="00205F1F" w:rsidRPr="00205F1F">
        <w:rPr>
          <w:rFonts w:ascii="Calibri" w:hAnsi="Calibri"/>
          <w:bCs/>
          <w:color w:val="000000" w:themeColor="text1"/>
          <w:sz w:val="24"/>
        </w:rPr>
        <w:t xml:space="preserve"> at pre-vaccination baseline, 10 days, 3 months, 6 months and 12 months.</w:t>
      </w:r>
      <w:r w:rsidR="00205F1F">
        <w:rPr>
          <w:rFonts w:ascii="Calibri" w:hAnsi="Calibri"/>
          <w:b/>
          <w:color w:val="000000" w:themeColor="text1"/>
          <w:sz w:val="24"/>
        </w:rPr>
        <w:t xml:space="preserve"> B.  </w:t>
      </w:r>
      <w:r w:rsidR="00205F1F" w:rsidRPr="00E60EC0">
        <w:rPr>
          <w:rFonts w:asciiTheme="minorHAnsi" w:hAnsiTheme="minorHAnsi" w:cstheme="minorHAnsi"/>
          <w:sz w:val="24"/>
          <w:szCs w:val="24"/>
          <w:lang w:val="en-GB"/>
        </w:rPr>
        <w:t>Neutralising antibody titres against Wuhan-Hu-1 receptor binding domain, using half-maximal inhibitory concentration (IC50).</w:t>
      </w:r>
      <w:r w:rsidR="00205F1F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205F1F" w:rsidRPr="00205F1F">
        <w:rPr>
          <w:rFonts w:asciiTheme="minorHAnsi" w:hAnsiTheme="minorHAnsi" w:cstheme="minorHAnsi"/>
          <w:b/>
          <w:bCs/>
          <w:sz w:val="24"/>
          <w:szCs w:val="24"/>
          <w:lang w:val="en-GB"/>
        </w:rPr>
        <w:t>C, D.</w:t>
      </w:r>
      <w:r w:rsidR="00205F1F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205F1F" w:rsidRPr="00E60EC0">
        <w:rPr>
          <w:rFonts w:asciiTheme="minorHAnsi" w:hAnsiTheme="minorHAnsi" w:cstheme="minorHAnsi"/>
          <w:sz w:val="24"/>
          <w:szCs w:val="24"/>
          <w:lang w:val="en-GB"/>
        </w:rPr>
        <w:t>Neutralising capacity using % inhibition at single dilution for S proteins</w:t>
      </w:r>
      <w:r w:rsidR="00205F1F">
        <w:rPr>
          <w:rFonts w:asciiTheme="minorHAnsi" w:hAnsiTheme="minorHAnsi" w:cstheme="minorHAnsi"/>
          <w:sz w:val="24"/>
          <w:szCs w:val="24"/>
          <w:lang w:val="en-GB"/>
        </w:rPr>
        <w:t xml:space="preserve"> for variants of concern (VOC), for children who had neither booster nor infection between 6 and 12 months, and those with booster but no infection</w:t>
      </w:r>
      <w:r w:rsidR="00205F1F" w:rsidRPr="00205F1F">
        <w:rPr>
          <w:rFonts w:asciiTheme="minorHAnsi" w:hAnsiTheme="minorHAnsi" w:cstheme="minorHAnsi"/>
          <w:b/>
          <w:bCs/>
          <w:sz w:val="24"/>
          <w:szCs w:val="24"/>
          <w:lang w:val="en-GB"/>
        </w:rPr>
        <w:t>. E.</w:t>
      </w:r>
      <w:r w:rsidR="00205F1F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205F1F" w:rsidRPr="00646F4D">
        <w:rPr>
          <w:rFonts w:ascii="Calibri" w:hAnsi="Calibri"/>
          <w:bCs/>
          <w:sz w:val="24"/>
          <w:lang w:val="en-GB"/>
        </w:rPr>
        <w:t>Percentage of</w:t>
      </w:r>
      <w:r w:rsidR="00205F1F">
        <w:rPr>
          <w:rFonts w:ascii="Calibri" w:hAnsi="Calibri"/>
          <w:b/>
          <w:sz w:val="24"/>
          <w:lang w:val="en-GB"/>
        </w:rPr>
        <w:t xml:space="preserve"> </w:t>
      </w:r>
      <w:r w:rsidR="00205F1F">
        <w:rPr>
          <w:rFonts w:ascii="Calibri" w:hAnsi="Calibri"/>
          <w:sz w:val="24"/>
          <w:lang w:val="en-GB"/>
        </w:rPr>
        <w:t>S</w:t>
      </w:r>
      <w:r w:rsidR="00205F1F" w:rsidRPr="0046229A">
        <w:rPr>
          <w:rFonts w:ascii="Calibri" w:hAnsi="Calibri"/>
          <w:sz w:val="24"/>
          <w:lang w:val="en-GB"/>
        </w:rPr>
        <w:t xml:space="preserve">-specific memory B cells (S+ MBC) </w:t>
      </w:r>
      <w:r w:rsidR="00205F1F">
        <w:rPr>
          <w:rFonts w:ascii="Calibri" w:hAnsi="Calibri"/>
          <w:sz w:val="24"/>
          <w:lang w:val="en-GB"/>
        </w:rPr>
        <w:t>out of</w:t>
      </w:r>
      <w:r w:rsidR="00205F1F" w:rsidRPr="0046229A">
        <w:rPr>
          <w:rFonts w:ascii="Calibri" w:hAnsi="Calibri"/>
          <w:sz w:val="24"/>
          <w:lang w:val="en-GB"/>
        </w:rPr>
        <w:t xml:space="preserve"> total B cell</w:t>
      </w:r>
      <w:r w:rsidR="00205F1F">
        <w:rPr>
          <w:rFonts w:ascii="Calibri" w:hAnsi="Calibri"/>
          <w:sz w:val="24"/>
          <w:lang w:val="en-GB"/>
        </w:rPr>
        <w:t>s</w:t>
      </w:r>
      <w:r w:rsidR="00205F1F" w:rsidRPr="0046229A">
        <w:rPr>
          <w:rFonts w:ascii="Calibri" w:hAnsi="Calibri"/>
          <w:sz w:val="24"/>
          <w:lang w:val="en-GB"/>
        </w:rPr>
        <w:t>.</w:t>
      </w:r>
      <w:r w:rsidR="00205F1F">
        <w:rPr>
          <w:rFonts w:ascii="Calibri" w:hAnsi="Calibri"/>
          <w:sz w:val="24"/>
          <w:lang w:val="en-GB"/>
        </w:rPr>
        <w:t xml:space="preserve"> </w:t>
      </w:r>
      <w:r w:rsidR="00205F1F" w:rsidRPr="00205F1F">
        <w:rPr>
          <w:rFonts w:ascii="Calibri" w:hAnsi="Calibri"/>
          <w:b/>
          <w:bCs/>
          <w:sz w:val="24"/>
          <w:lang w:val="en-GB"/>
        </w:rPr>
        <w:t>F, G.</w:t>
      </w:r>
      <w:r w:rsidR="00205F1F">
        <w:rPr>
          <w:rFonts w:ascii="Calibri" w:hAnsi="Calibri"/>
          <w:sz w:val="24"/>
          <w:lang w:val="en-GB"/>
        </w:rPr>
        <w:t xml:space="preserve"> </w:t>
      </w:r>
      <w:r w:rsidR="00205F1F" w:rsidRPr="005C33E3">
        <w:rPr>
          <w:rFonts w:ascii="Calibri" w:hAnsi="Calibri"/>
          <w:color w:val="000000" w:themeColor="text1"/>
          <w:sz w:val="24"/>
          <w:lang w:val="en-GB"/>
        </w:rPr>
        <w:t>S-reactive T cell responses measured by post-stimulation interferon-</w:t>
      </w:r>
      <w:r w:rsidR="00205F1F" w:rsidRPr="005C33E3">
        <w:rPr>
          <w:rFonts w:ascii="Cambria Math" w:hAnsi="Cambria Math"/>
          <w:color w:val="000000" w:themeColor="text1"/>
          <w:sz w:val="24"/>
          <w:lang w:val="en-GB"/>
        </w:rPr>
        <w:t>𝛾</w:t>
      </w:r>
      <w:r w:rsidR="00205F1F" w:rsidRPr="005C33E3">
        <w:rPr>
          <w:rFonts w:ascii="Calibri" w:hAnsi="Calibri"/>
          <w:color w:val="000000" w:themeColor="text1"/>
          <w:sz w:val="24"/>
          <w:lang w:val="en-GB"/>
        </w:rPr>
        <w:t xml:space="preserve"> and interleukin-2 levels.</w:t>
      </w:r>
      <w:r w:rsidR="00205F1F">
        <w:rPr>
          <w:rFonts w:ascii="Calibri" w:hAnsi="Calibri"/>
          <w:color w:val="000000" w:themeColor="text1"/>
          <w:sz w:val="24"/>
          <w:lang w:val="en-GB"/>
        </w:rPr>
        <w:t xml:space="preserve"> H. Anti-S IgG titres at 12 months. I. Neutralising antibody titres at 12 months. J. S+ MBC at 12 months. K. S-reactive T cell responses at 12 months. </w:t>
      </w:r>
      <w:r w:rsidR="00205F1F" w:rsidRPr="00205F1F">
        <w:rPr>
          <w:rFonts w:ascii="Calibri" w:hAnsi="Calibri"/>
          <w:b/>
          <w:bCs/>
          <w:color w:val="000000" w:themeColor="text1"/>
          <w:sz w:val="24"/>
          <w:lang w:val="en-GB"/>
        </w:rPr>
        <w:t>L, M.</w:t>
      </w:r>
      <w:r w:rsidR="00205F1F">
        <w:rPr>
          <w:rFonts w:ascii="Calibri" w:hAnsi="Calibri"/>
          <w:color w:val="000000" w:themeColor="text1"/>
          <w:sz w:val="24"/>
          <w:lang w:val="en-GB"/>
        </w:rPr>
        <w:t xml:space="preserve"> Neutralising capacity for VOC of children who had SARS-CoV-2 re-infections but no booster, and those with both re-infection and booster. </w:t>
      </w:r>
      <w:r w:rsidR="00CF5597">
        <w:rPr>
          <w:rFonts w:ascii="Calibri" w:hAnsi="Calibri"/>
          <w:color w:val="000000" w:themeColor="text1"/>
          <w:sz w:val="24"/>
          <w:lang w:val="en-GB"/>
        </w:rPr>
        <w:t xml:space="preserve">Two-tailed </w:t>
      </w:r>
      <w:r w:rsidR="00205F1F"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Mann Whitney-U test was used to compare between different groups. Wilcoxon Rank test was used to compare parameters of the same subjects between different time points. ns: not significant, *: p </w:t>
      </w:r>
      <w:r w:rsidR="00205F1F"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>&lt;</w:t>
      </w:r>
      <w:r w:rsidR="00205F1F"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0.05, **: p </w:t>
      </w:r>
      <w:r w:rsidR="00205F1F"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>&lt;</w:t>
      </w:r>
      <w:r w:rsidR="00205F1F"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0.01, ***: p </w:t>
      </w:r>
      <w:r w:rsidR="00205F1F"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>&lt;</w:t>
      </w:r>
      <w:r w:rsidR="00205F1F"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0.001, ****: p </w:t>
      </w:r>
      <w:r w:rsidR="00205F1F"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&lt; </w:t>
      </w:r>
      <w:r w:rsidR="00205F1F" w:rsidRPr="00E60EC0">
        <w:rPr>
          <w:rFonts w:asciiTheme="minorHAnsi" w:hAnsiTheme="minorHAnsi" w:cstheme="minorHAnsi"/>
          <w:sz w:val="24"/>
          <w:szCs w:val="24"/>
          <w:lang w:val="en-GB"/>
        </w:rPr>
        <w:t>0.0001</w:t>
      </w:r>
      <w:r w:rsidR="00205F1F" w:rsidRPr="00E60EC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2C991ED" w14:textId="36B830F7" w:rsidR="00205F1F" w:rsidRDefault="00205F1F" w:rsidP="006C2E6C">
      <w:pPr>
        <w:rPr>
          <w:rFonts w:ascii="Calibri" w:hAnsi="Calibri"/>
          <w:color w:val="000000" w:themeColor="text1"/>
          <w:sz w:val="24"/>
          <w:lang w:val="en-GB"/>
        </w:rPr>
      </w:pPr>
    </w:p>
    <w:p w14:paraId="78D9CA70" w14:textId="77777777" w:rsidR="00FE2514" w:rsidRDefault="00FE2514">
      <w:pPr>
        <w:spacing w:after="160" w:line="259" w:lineRule="auto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br w:type="page"/>
      </w:r>
    </w:p>
    <w:p w14:paraId="365B5188" w14:textId="1D26E988" w:rsidR="000E2AB0" w:rsidRPr="00FE2514" w:rsidRDefault="00FE2514" w:rsidP="00FE2514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E2514">
        <w:rPr>
          <w:rFonts w:asciiTheme="minorHAnsi" w:hAnsiTheme="minorHAnsi" w:cstheme="minorHAnsi"/>
          <w:noProof/>
          <w:sz w:val="24"/>
          <w:szCs w:val="24"/>
          <w:lang w:val="en-GB"/>
        </w:rPr>
        <w:lastRenderedPageBreak/>
        <w:drawing>
          <wp:inline distT="0" distB="0" distL="0" distR="0" wp14:anchorId="3329CC77" wp14:editId="2F858498">
            <wp:extent cx="5731510" cy="2469515"/>
            <wp:effectExtent l="0" t="0" r="2540" b="6985"/>
            <wp:docPr id="1653231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23169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B2C92" w14:textId="56382831" w:rsidR="003F1550" w:rsidRDefault="00B65F45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B65F45">
        <w:rPr>
          <w:rFonts w:asciiTheme="minorHAnsi" w:hAnsiTheme="minorHAnsi" w:cstheme="minorHAnsi"/>
          <w:b/>
          <w:noProof/>
          <w:sz w:val="24"/>
          <w:szCs w:val="24"/>
          <w:lang w:val="en-GB"/>
        </w:rPr>
        <w:drawing>
          <wp:inline distT="0" distB="0" distL="0" distR="0" wp14:anchorId="2EFB7B2C" wp14:editId="1439EA15">
            <wp:extent cx="5731510" cy="3080385"/>
            <wp:effectExtent l="0" t="0" r="2540" b="5715"/>
            <wp:docPr id="1248458440" name="Picture 1" descr="A diagram of different colored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458440" name="Picture 1" descr="A diagram of different colored objects&#10;&#10;Description automatically generated with medium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9C94F" w14:textId="1A145E29" w:rsidR="006C2E6C" w:rsidRDefault="00B65F45" w:rsidP="00FE2514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B65F45">
        <w:rPr>
          <w:rFonts w:asciiTheme="minorHAnsi" w:hAnsiTheme="minorHAnsi" w:cstheme="minorHAnsi"/>
          <w:b/>
          <w:noProof/>
          <w:sz w:val="24"/>
          <w:szCs w:val="24"/>
          <w:lang w:val="en-GB"/>
        </w:rPr>
        <w:drawing>
          <wp:inline distT="0" distB="0" distL="0" distR="0" wp14:anchorId="1A6D0AA9" wp14:editId="63FF065E">
            <wp:extent cx="3824577" cy="1959747"/>
            <wp:effectExtent l="0" t="0" r="5080" b="2540"/>
            <wp:docPr id="140132507" name="Picture 1" descr="A comparison of different types of dn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2507" name="Picture 1" descr="A comparison of different types of dna&#10;&#10;Description automatically generated with medium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7367" cy="197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2E6C">
        <w:rPr>
          <w:rFonts w:asciiTheme="minorHAnsi" w:hAnsiTheme="minorHAnsi" w:cstheme="minorHAnsi"/>
          <w:b/>
          <w:sz w:val="24"/>
          <w:szCs w:val="24"/>
          <w:lang w:val="en-GB"/>
        </w:rPr>
        <w:br w:type="page"/>
      </w:r>
    </w:p>
    <w:p w14:paraId="6D1CC798" w14:textId="463B6359" w:rsidR="006C2E6C" w:rsidRPr="0068061E" w:rsidRDefault="006C2E6C" w:rsidP="006C2E6C">
      <w:pPr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 xml:space="preserve">Extended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D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 xml:space="preserve">ata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F</w:t>
      </w:r>
      <w:r w:rsidRPr="00E60EC0">
        <w:rPr>
          <w:rFonts w:asciiTheme="minorHAnsi" w:hAnsiTheme="minorHAnsi" w:cstheme="minorHAnsi"/>
          <w:b/>
          <w:sz w:val="24"/>
          <w:szCs w:val="24"/>
          <w:lang w:val="en-GB"/>
        </w:rPr>
        <w:t>igure 10</w:t>
      </w:r>
      <w:r w:rsidR="00B8530E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  <w:r w:rsidR="0068061E">
        <w:rPr>
          <w:rFonts w:asciiTheme="minorHAnsi" w:hAnsiTheme="minorHAnsi" w:cstheme="minorHAnsi"/>
          <w:b/>
          <w:sz w:val="24"/>
          <w:szCs w:val="24"/>
          <w:lang w:val="en-GB"/>
        </w:rPr>
        <w:t>Superior protective capacity of hybrid immunity</w:t>
      </w:r>
      <w:r w:rsidR="0068061E" w:rsidRPr="00DB3E50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, demonstrated by the </w:t>
      </w:r>
      <w:r w:rsidR="0068061E">
        <w:rPr>
          <w:rFonts w:asciiTheme="minorHAnsi" w:hAnsiTheme="minorHAnsi" w:cstheme="minorHAnsi"/>
          <w:bCs/>
          <w:sz w:val="24"/>
          <w:szCs w:val="24"/>
          <w:lang w:val="en-GB"/>
        </w:rPr>
        <w:t>different in p</w:t>
      </w:r>
      <w:r w:rsidRPr="00E60EC0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ercentages of </w:t>
      </w:r>
      <w:r w:rsidR="0068061E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children who developed symptomatic SARS-CoV-2 infection between 6 and 12 months, among children with vaccine-only (VV) immunity at 6 months, compared to children with hybrid immunity at 6 months. </w:t>
      </w:r>
      <w:r w:rsidR="00CF5597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Two-tailed 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Fisher’s exact test was used for comparison between groups; ns: not significant, *: p </w:t>
      </w:r>
      <w:r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0.05, **: p </w:t>
      </w:r>
      <w:r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0.01, ***: p </w:t>
      </w:r>
      <w:r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>&lt;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 xml:space="preserve"> 0.001, ****: p </w:t>
      </w:r>
      <w:r w:rsidRPr="00E60EC0"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&lt; </w:t>
      </w:r>
      <w:r w:rsidRPr="00E60EC0">
        <w:rPr>
          <w:rFonts w:asciiTheme="minorHAnsi" w:hAnsiTheme="minorHAnsi" w:cstheme="minorHAnsi"/>
          <w:sz w:val="24"/>
          <w:szCs w:val="24"/>
          <w:lang w:val="en-GB"/>
        </w:rPr>
        <w:t>0.0001.</w:t>
      </w:r>
    </w:p>
    <w:p w14:paraId="042201A4" w14:textId="77777777" w:rsidR="006C2E6C" w:rsidRDefault="006C2E6C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</w:p>
    <w:p w14:paraId="27A5A7F4" w14:textId="43AD15D5" w:rsidR="00B8530E" w:rsidRDefault="00B65F45" w:rsidP="006A170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bookmarkStart w:id="0" w:name="_GoBack"/>
      <w:r w:rsidRPr="00B65F45">
        <w:rPr>
          <w:rFonts w:asciiTheme="minorHAnsi" w:hAnsiTheme="minorHAnsi" w:cstheme="minorHAnsi"/>
          <w:b/>
          <w:bCs/>
          <w:noProof/>
          <w:sz w:val="24"/>
          <w:szCs w:val="24"/>
          <w:lang w:val="en-GB"/>
        </w:rPr>
        <w:drawing>
          <wp:inline distT="0" distB="0" distL="0" distR="0" wp14:anchorId="622B671E" wp14:editId="1919C7B9">
            <wp:extent cx="3947311" cy="2375559"/>
            <wp:effectExtent l="0" t="0" r="0" b="5715"/>
            <wp:docPr id="1606562394" name="Picture 1" descr="A graph of a disea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562394" name="Picture 1" descr="A graph of a disease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70126" cy="238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8530E" w:rsidSect="006C2E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4EEF"/>
    <w:multiLevelType w:val="hybridMultilevel"/>
    <w:tmpl w:val="FEBE6FB2"/>
    <w:lvl w:ilvl="0" w:tplc="5CA69EA0">
      <w:start w:val="15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222222"/>
        <w:sz w:val="24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8F475C"/>
    <w:multiLevelType w:val="hybridMultilevel"/>
    <w:tmpl w:val="C2224DA8"/>
    <w:lvl w:ilvl="0" w:tplc="5CA69EA0">
      <w:start w:val="15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222222"/>
        <w:sz w:val="24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CC31BE"/>
    <w:multiLevelType w:val="hybridMultilevel"/>
    <w:tmpl w:val="2238058A"/>
    <w:lvl w:ilvl="0" w:tplc="5CA69EA0">
      <w:start w:val="15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222222"/>
        <w:sz w:val="24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DA1EC6"/>
    <w:multiLevelType w:val="hybridMultilevel"/>
    <w:tmpl w:val="729C3D48"/>
    <w:lvl w:ilvl="0" w:tplc="5CA69EA0">
      <w:start w:val="15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222222"/>
        <w:sz w:val="24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08"/>
    <w:rsid w:val="00015D1E"/>
    <w:rsid w:val="000275A2"/>
    <w:rsid w:val="00081C6D"/>
    <w:rsid w:val="000C2D69"/>
    <w:rsid w:val="000E2AB0"/>
    <w:rsid w:val="001431EA"/>
    <w:rsid w:val="00167F33"/>
    <w:rsid w:val="001F70B6"/>
    <w:rsid w:val="00205F1F"/>
    <w:rsid w:val="00276683"/>
    <w:rsid w:val="00280E1C"/>
    <w:rsid w:val="0034491C"/>
    <w:rsid w:val="003742F5"/>
    <w:rsid w:val="003F1550"/>
    <w:rsid w:val="00457360"/>
    <w:rsid w:val="004C59A3"/>
    <w:rsid w:val="004D773E"/>
    <w:rsid w:val="004E7926"/>
    <w:rsid w:val="005019F7"/>
    <w:rsid w:val="00533362"/>
    <w:rsid w:val="0068061E"/>
    <w:rsid w:val="006A1708"/>
    <w:rsid w:val="006A3B83"/>
    <w:rsid w:val="006A765B"/>
    <w:rsid w:val="006C2E6C"/>
    <w:rsid w:val="00722293"/>
    <w:rsid w:val="007C5330"/>
    <w:rsid w:val="007D4915"/>
    <w:rsid w:val="007F0B16"/>
    <w:rsid w:val="00855ACC"/>
    <w:rsid w:val="008A18C0"/>
    <w:rsid w:val="008E2355"/>
    <w:rsid w:val="008F10BA"/>
    <w:rsid w:val="00991031"/>
    <w:rsid w:val="00993259"/>
    <w:rsid w:val="00A02459"/>
    <w:rsid w:val="00A62EDF"/>
    <w:rsid w:val="00AB3F83"/>
    <w:rsid w:val="00AF043D"/>
    <w:rsid w:val="00B65F45"/>
    <w:rsid w:val="00B77A1A"/>
    <w:rsid w:val="00B8530E"/>
    <w:rsid w:val="00BB1C2E"/>
    <w:rsid w:val="00BE09EE"/>
    <w:rsid w:val="00C310C9"/>
    <w:rsid w:val="00C34E48"/>
    <w:rsid w:val="00C70902"/>
    <w:rsid w:val="00CB1422"/>
    <w:rsid w:val="00CE360F"/>
    <w:rsid w:val="00CF5597"/>
    <w:rsid w:val="00D271FB"/>
    <w:rsid w:val="00D44D4A"/>
    <w:rsid w:val="00D5191E"/>
    <w:rsid w:val="00DB3E50"/>
    <w:rsid w:val="00DD2C8F"/>
    <w:rsid w:val="00DF1B94"/>
    <w:rsid w:val="00E165B5"/>
    <w:rsid w:val="00F64F30"/>
    <w:rsid w:val="00F66A3B"/>
    <w:rsid w:val="00FD172D"/>
    <w:rsid w:val="00FE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02602"/>
  <w15:chartTrackingRefBased/>
  <w15:docId w15:val="{5690BD86-2080-4635-B205-5D9FD727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170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6A1708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708"/>
    <w:rPr>
      <w:rFonts w:ascii="Segoe UI" w:eastAsia="Calibri" w:hAnsi="Segoe UI" w:cs="Segoe UI"/>
      <w:sz w:val="18"/>
      <w:szCs w:val="18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7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708"/>
    <w:rPr>
      <w:rFonts w:ascii="Times New Roman" w:eastAsia="Calibri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08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6A1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0B1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F1B9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B9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9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Nishanti D/O Ramasamy</dc:creator>
  <cp:keywords/>
  <dc:description/>
  <cp:lastModifiedBy>Sheena Nishanti D/O Ramasamy</cp:lastModifiedBy>
  <cp:revision>2</cp:revision>
  <dcterms:created xsi:type="dcterms:W3CDTF">2023-09-22T02:36:00Z</dcterms:created>
  <dcterms:modified xsi:type="dcterms:W3CDTF">2023-09-22T02:36:00Z</dcterms:modified>
</cp:coreProperties>
</file>