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E21A0" w14:textId="2284F9C1" w:rsidR="002E35F8" w:rsidRDefault="002E35F8" w:rsidP="002E35F8">
      <w:pPr>
        <w:rPr>
          <w:b/>
          <w:bCs/>
        </w:rPr>
      </w:pPr>
      <w:r>
        <w:rPr>
          <w:b/>
          <w:bCs/>
        </w:rPr>
        <w:t>EQUITY IN THE ADVANCED CARE AT HOME MODEL –</w:t>
      </w:r>
      <w:r w:rsidR="00E53B2B">
        <w:rPr>
          <w:b/>
          <w:bCs/>
        </w:rPr>
        <w:t xml:space="preserve">JHM </w:t>
      </w:r>
      <w:r>
        <w:rPr>
          <w:b/>
          <w:bCs/>
        </w:rPr>
        <w:t>- APPENDIX</w:t>
      </w:r>
    </w:p>
    <w:p w14:paraId="57F6EB48" w14:textId="77777777" w:rsidR="002E35F8" w:rsidRDefault="002E35F8" w:rsidP="002E35F8">
      <w:pPr>
        <w:rPr>
          <w:b/>
          <w:bCs/>
        </w:rPr>
      </w:pPr>
    </w:p>
    <w:p w14:paraId="3BAC514C" w14:textId="59FCF2AE" w:rsidR="002E35F8" w:rsidRPr="00C87160" w:rsidRDefault="002E35F8" w:rsidP="002E35F8">
      <w:pPr>
        <w:rPr>
          <w:b/>
          <w:bCs/>
        </w:rPr>
      </w:pPr>
      <w:r w:rsidRPr="00C87160">
        <w:rPr>
          <w:b/>
          <w:bCs/>
        </w:rPr>
        <w:t>A</w:t>
      </w:r>
      <w:r>
        <w:rPr>
          <w:b/>
          <w:bCs/>
        </w:rPr>
        <w:t>ppendix</w:t>
      </w:r>
    </w:p>
    <w:p w14:paraId="5CB79518" w14:textId="77777777" w:rsidR="002E35F8" w:rsidRDefault="002E35F8" w:rsidP="002E35F8">
      <w:pPr>
        <w:rPr>
          <w:rStyle w:val="ui-provider"/>
        </w:rPr>
      </w:pPr>
      <w:r w:rsidRPr="00C87160">
        <w:rPr>
          <w:b/>
          <w:bCs/>
        </w:rPr>
        <w:t>Appendix A.</w:t>
      </w:r>
      <w:r w:rsidRPr="00C87160">
        <w:t xml:space="preserve"> N</w:t>
      </w:r>
      <w:r>
        <w:t xml:space="preserve">DI </w:t>
      </w:r>
      <w:r w:rsidRPr="00C87160">
        <w:t>D</w:t>
      </w:r>
      <w:r>
        <w:t>efinition</w:t>
      </w:r>
      <w:r w:rsidRPr="00C87160">
        <w:t xml:space="preserve"> </w:t>
      </w:r>
      <w:r>
        <w:t xml:space="preserve">used by Kaiser Permanente at Home </w:t>
      </w:r>
    </w:p>
    <w:p w14:paraId="09DF9450" w14:textId="77777777" w:rsidR="002E35F8" w:rsidRPr="00624285" w:rsidRDefault="002E35F8" w:rsidP="002E35F8">
      <w:pPr>
        <w:shd w:val="clear" w:color="auto" w:fill="FFFFFF"/>
        <w:spacing w:after="336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 xml:space="preserve">The Geographically Enriched Member </w:t>
      </w:r>
      <w:proofErr w:type="spellStart"/>
      <w:r w:rsidRPr="00624285">
        <w:rPr>
          <w:rFonts w:asciiTheme="majorHAnsi" w:eastAsia="Times New Roman" w:hAnsiTheme="majorHAnsi" w:cstheme="majorHAnsi"/>
          <w:color w:val="242424"/>
        </w:rPr>
        <w:t>Sociodemographics</w:t>
      </w:r>
      <w:proofErr w:type="spellEnd"/>
      <w:r w:rsidRPr="00624285">
        <w:rPr>
          <w:rFonts w:asciiTheme="majorHAnsi" w:eastAsia="Times New Roman" w:hAnsiTheme="majorHAnsi" w:cstheme="majorHAnsi"/>
          <w:color w:val="242424"/>
        </w:rPr>
        <w:t xml:space="preserve"> (GEMS) data mart supports various analytic needs by providing curated and generate demographic, geographic, and socioeconomic data about members, patients, and the populations served by K</w:t>
      </w:r>
      <w:r>
        <w:rPr>
          <w:rFonts w:asciiTheme="majorHAnsi" w:eastAsia="Times New Roman" w:hAnsiTheme="majorHAnsi" w:cstheme="majorHAnsi"/>
          <w:color w:val="242424"/>
        </w:rPr>
        <w:t xml:space="preserve">aiser </w:t>
      </w:r>
      <w:r w:rsidRPr="00624285">
        <w:rPr>
          <w:rFonts w:asciiTheme="majorHAnsi" w:eastAsia="Times New Roman" w:hAnsiTheme="majorHAnsi" w:cstheme="majorHAnsi"/>
          <w:color w:val="242424"/>
        </w:rPr>
        <w:t>P</w:t>
      </w:r>
      <w:r>
        <w:rPr>
          <w:rFonts w:asciiTheme="majorHAnsi" w:eastAsia="Times New Roman" w:hAnsiTheme="majorHAnsi" w:cstheme="majorHAnsi"/>
          <w:color w:val="242424"/>
        </w:rPr>
        <w:t>ermanente</w:t>
      </w:r>
      <w:r w:rsidRPr="00624285">
        <w:rPr>
          <w:rFonts w:asciiTheme="majorHAnsi" w:eastAsia="Times New Roman" w:hAnsiTheme="majorHAnsi" w:cstheme="majorHAnsi"/>
          <w:color w:val="242424"/>
        </w:rPr>
        <w:t>.</w:t>
      </w:r>
    </w:p>
    <w:p w14:paraId="61496553" w14:textId="77777777" w:rsidR="002E35F8" w:rsidRPr="00624285" w:rsidRDefault="002E35F8" w:rsidP="002E35F8">
      <w:pPr>
        <w:shd w:val="clear" w:color="auto" w:fill="FFFFFF"/>
        <w:spacing w:after="336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The mart is shared as a set of views in Oracle which contain:</w:t>
      </w:r>
    </w:p>
    <w:p w14:paraId="57C11E0F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​​​​​​​reported, refined, and estimated racial/ethnic identity and other demographic data</w:t>
      </w:r>
    </w:p>
    <w:p w14:paraId="26AAF76C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geocoded patient address histories</w:t>
      </w:r>
    </w:p>
    <w:p w14:paraId="07E2B923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association of members with primary care medical office building facilities based on prior utilization, primary care provider, and drive time/distance </w:t>
      </w:r>
    </w:p>
    <w:p w14:paraId="1FE53175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current and historic population socioeconomic data</w:t>
      </w:r>
    </w:p>
    <w:p w14:paraId="36A722C2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neighborhood deprivation index</w:t>
      </w:r>
    </w:p>
    <w:p w14:paraId="44ED2A5E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social vulnerability index</w:t>
      </w:r>
    </w:p>
    <w:p w14:paraId="597F3356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history of MRN changes</w:t>
      </w:r>
    </w:p>
    <w:p w14:paraId="7FE14640" w14:textId="77777777" w:rsidR="002E35F8" w:rsidRPr="00624285" w:rsidRDefault="002E35F8" w:rsidP="002E35F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and other useful data elements</w:t>
      </w:r>
    </w:p>
    <w:p w14:paraId="0051078E" w14:textId="77777777" w:rsidR="002E35F8" w:rsidRPr="00624285" w:rsidRDefault="002E35F8" w:rsidP="002E35F8">
      <w:pPr>
        <w:shd w:val="clear" w:color="auto" w:fill="FFFFFF"/>
        <w:spacing w:after="336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Quarterly updates to the mart are completed by the first day of the last month of each quarter. For example, first quarter updates for a year occur by 6/1 of that year, second quarter updates occur by 9/1, third quarter updates occur by 12/1, and fourth quarter updates occur by 3/1 of the new year.</w:t>
      </w:r>
    </w:p>
    <w:p w14:paraId="3F9B8144" w14:textId="77777777" w:rsidR="002E35F8" w:rsidRPr="00624285" w:rsidRDefault="002E35F8" w:rsidP="002E35F8">
      <w:pPr>
        <w:shd w:val="clear" w:color="auto" w:fill="FFFFFF"/>
        <w:spacing w:after="336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GEMS data elements are also available in the following environments:</w:t>
      </w:r>
    </w:p>
    <w:p w14:paraId="4BBAEDC3" w14:textId="77777777" w:rsidR="002E35F8" w:rsidRPr="00624285" w:rsidRDefault="002E35F8" w:rsidP="002E35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MMM - Member Month Mart</w:t>
      </w:r>
    </w:p>
    <w:p w14:paraId="5D4034D2" w14:textId="77777777" w:rsidR="002E35F8" w:rsidRPr="00624285" w:rsidRDefault="002E35F8" w:rsidP="002E35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IDR - Integrated Data Repository</w:t>
      </w:r>
    </w:p>
    <w:p w14:paraId="0337341C" w14:textId="77777777" w:rsidR="002E35F8" w:rsidRPr="00624285" w:rsidRDefault="002E35F8" w:rsidP="002E35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IRAD - Inter-Regional Analytic Data</w:t>
      </w:r>
    </w:p>
    <w:p w14:paraId="77D6C526" w14:textId="77777777" w:rsidR="002E35F8" w:rsidRPr="00624285" w:rsidRDefault="002E35F8" w:rsidP="002E35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VDW - Virtual Data Warehouse</w:t>
      </w:r>
    </w:p>
    <w:p w14:paraId="05563EBE" w14:textId="77777777" w:rsidR="002E35F8" w:rsidRPr="00624285" w:rsidRDefault="002E35F8" w:rsidP="002E35F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and other data environments </w:t>
      </w:r>
    </w:p>
    <w:p w14:paraId="58B1B3D9" w14:textId="77777777" w:rsidR="002E35F8" w:rsidRPr="00624285" w:rsidRDefault="002E35F8" w:rsidP="002E35F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242424"/>
        </w:rPr>
      </w:pPr>
      <w:r w:rsidRPr="00624285">
        <w:rPr>
          <w:rFonts w:asciiTheme="majorHAnsi" w:eastAsia="Times New Roman" w:hAnsiTheme="majorHAnsi" w:cstheme="majorHAnsi"/>
          <w:color w:val="242424"/>
        </w:rPr>
        <w:t>Regardless of source, the GEMS data can be linked with other person-level datasets to augment analytics and reporting with consistent demographic and geographic information.</w:t>
      </w:r>
    </w:p>
    <w:p w14:paraId="344D67D8" w14:textId="77777777" w:rsidR="002E35F8" w:rsidRPr="007237A5" w:rsidRDefault="002E35F8" w:rsidP="002E35F8"/>
    <w:tbl>
      <w:tblPr>
        <w:tblW w:w="9127" w:type="dxa"/>
        <w:tblLook w:val="04A0" w:firstRow="1" w:lastRow="0" w:firstColumn="1" w:lastColumn="0" w:noHBand="0" w:noVBand="1"/>
      </w:tblPr>
      <w:tblGrid>
        <w:gridCol w:w="2437"/>
        <w:gridCol w:w="6690"/>
      </w:tblGrid>
      <w:tr w:rsidR="002E35F8" w:rsidRPr="0054569E" w14:paraId="0F87ADD8" w14:textId="77777777" w:rsidTr="007A2A4D">
        <w:trPr>
          <w:trHeight w:val="296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A569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4569E">
              <w:rPr>
                <w:rFonts w:ascii="Calibri" w:eastAsia="Times New Roman" w:hAnsi="Calibri" w:cs="Calibri"/>
                <w:b/>
                <w:bCs/>
                <w:color w:val="000000"/>
              </w:rPr>
              <w:t>Elements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5BC0" w14:textId="77777777" w:rsidR="002E35F8" w:rsidRPr="00624285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</w:tr>
      <w:tr w:rsidR="002E35F8" w:rsidRPr="0054569E" w14:paraId="7DB37A85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E9D2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EDU_LT_HS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F987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% adult pop with less than high school </w:t>
            </w:r>
          </w:p>
        </w:tc>
      </w:tr>
      <w:tr w:rsidR="002E35F8" w:rsidRPr="0054569E" w14:paraId="27942352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2F48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UNEMPLOYMENT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DDD0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Proportion of civilian noninstitutionalized population between 18 and 64 who are unemployed </w:t>
            </w:r>
          </w:p>
        </w:tc>
      </w:tr>
      <w:tr w:rsidR="002E35F8" w:rsidRPr="0054569E" w14:paraId="03D0172D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C173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PCT_CROWDING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94F9D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% crowded housing: proportion of households with &gt;= 1 person per room </w:t>
            </w:r>
          </w:p>
        </w:tc>
      </w:tr>
      <w:tr w:rsidR="002E35F8" w:rsidRPr="0054569E" w14:paraId="6B8267E5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C45B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FEMALE_HEAD_OF_HH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ABAF1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Proportion of households headed by females (no male present), with dependent children </w:t>
            </w:r>
          </w:p>
        </w:tc>
      </w:tr>
      <w:tr w:rsidR="002E35F8" w:rsidRPr="0054569E" w14:paraId="163EDFCA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ACD0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HINC_LT_30K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A5B57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% households earning less than $30,000 per year </w:t>
            </w:r>
          </w:p>
        </w:tc>
      </w:tr>
      <w:tr w:rsidR="002E35F8" w:rsidRPr="0054569E" w14:paraId="698D0556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114B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HOUSEPOVERTY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139C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% households with below-poverty level income </w:t>
            </w:r>
          </w:p>
        </w:tc>
      </w:tr>
      <w:tr w:rsidR="002E35F8" w:rsidRPr="0054569E" w14:paraId="13006EEC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A0E3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lastRenderedPageBreak/>
              <w:t>HH_PUBLIC_ASSISTANCE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30CD6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Proportion of households on public assistance </w:t>
            </w:r>
          </w:p>
        </w:tc>
      </w:tr>
      <w:tr w:rsidR="002E35F8" w:rsidRPr="0054569E" w14:paraId="2C6A83F7" w14:textId="77777777" w:rsidTr="007A2A4D">
        <w:trPr>
          <w:trHeight w:val="296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0CE8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MGR_MALE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7EA75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% males in management or professional occupations </w:t>
            </w:r>
          </w:p>
        </w:tc>
      </w:tr>
      <w:tr w:rsidR="002E35F8" w:rsidRPr="0054569E" w14:paraId="054090C8" w14:textId="77777777" w:rsidTr="007A2A4D">
        <w:trPr>
          <w:trHeight w:val="710"/>
        </w:trPr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5F25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>NDI_Z</w:t>
            </w:r>
          </w:p>
        </w:tc>
        <w:tc>
          <w:tcPr>
            <w:tcW w:w="6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FBBB3" w14:textId="77777777" w:rsidR="002E35F8" w:rsidRPr="0054569E" w:rsidRDefault="002E35F8" w:rsidP="007A2A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569E">
              <w:rPr>
                <w:rFonts w:ascii="Calibri" w:eastAsia="Times New Roman" w:hAnsi="Calibri" w:cs="Calibri"/>
                <w:color w:val="000000"/>
              </w:rPr>
              <w:t xml:space="preserve">The z-score version of the Neighborhood Deprivation Index (NDI) derived from prior eight variables using a </w:t>
            </w:r>
            <w:r>
              <w:rPr>
                <w:rFonts w:ascii="Calibri" w:eastAsia="Times New Roman" w:hAnsi="Calibri" w:cs="Calibri"/>
                <w:color w:val="000000"/>
              </w:rPr>
              <w:t>principal</w:t>
            </w:r>
            <w:r w:rsidRPr="0054569E">
              <w:rPr>
                <w:rFonts w:ascii="Calibri" w:eastAsia="Times New Roman" w:hAnsi="Calibri" w:cs="Calibri"/>
                <w:color w:val="000000"/>
              </w:rPr>
              <w:t xml:space="preserve"> components analysis, then standardized across all tracts within all U.S. States served by all </w:t>
            </w:r>
            <w:r>
              <w:rPr>
                <w:rFonts w:ascii="Calibri" w:eastAsia="Times New Roman" w:hAnsi="Calibri" w:cs="Calibri"/>
                <w:color w:val="000000"/>
              </w:rPr>
              <w:t>Kaiser Permanente</w:t>
            </w:r>
            <w:r w:rsidRPr="0054569E">
              <w:rPr>
                <w:rFonts w:ascii="Calibri" w:eastAsia="Times New Roman" w:hAnsi="Calibri" w:cs="Calibri"/>
                <w:color w:val="000000"/>
              </w:rPr>
              <w:t xml:space="preserve"> regions so that the mean value is 0 and standard deviation of all values is 1. Values of less than 0 represent tracts which are less deprived than average for </w:t>
            </w:r>
            <w:r>
              <w:rPr>
                <w:rFonts w:ascii="Calibri" w:eastAsia="Times New Roman" w:hAnsi="Calibri" w:cs="Calibri"/>
                <w:color w:val="000000"/>
              </w:rPr>
              <w:t>Kaiser Permanente</w:t>
            </w:r>
            <w:r w:rsidRPr="0054569E">
              <w:rPr>
                <w:rFonts w:ascii="Calibri" w:eastAsia="Times New Roman" w:hAnsi="Calibri" w:cs="Calibri"/>
                <w:color w:val="000000"/>
              </w:rPr>
              <w:t xml:space="preserve"> served States, while greater than 0 are more deprived than average. </w:t>
            </w:r>
          </w:p>
        </w:tc>
      </w:tr>
    </w:tbl>
    <w:p w14:paraId="18FEF877" w14:textId="77777777" w:rsidR="002E35F8" w:rsidRPr="007237A5" w:rsidRDefault="002E35F8" w:rsidP="002E35F8">
      <w:pPr>
        <w:rPr>
          <w:b/>
          <w:bCs/>
        </w:rPr>
      </w:pPr>
    </w:p>
    <w:p w14:paraId="22EA9E00" w14:textId="77777777" w:rsidR="004B11F5" w:rsidRDefault="004B11F5"/>
    <w:sectPr w:rsidR="004B1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E5AF5"/>
    <w:multiLevelType w:val="multilevel"/>
    <w:tmpl w:val="3ED8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484312"/>
    <w:multiLevelType w:val="multilevel"/>
    <w:tmpl w:val="98B0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548944">
    <w:abstractNumId w:val="1"/>
  </w:num>
  <w:num w:numId="2" w16cid:durableId="131780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F8"/>
    <w:rsid w:val="002E35F8"/>
    <w:rsid w:val="004B11F5"/>
    <w:rsid w:val="006C657B"/>
    <w:rsid w:val="007A3532"/>
    <w:rsid w:val="00954EFD"/>
    <w:rsid w:val="00E5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5218B"/>
  <w15:chartTrackingRefBased/>
  <w15:docId w15:val="{B16D72D0-1E67-4F7C-9D8D-357E645A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i-provider">
    <w:name w:val="ui-provider"/>
    <w:basedOn w:val="DefaultParagraphFont"/>
    <w:rsid w:val="002E3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Arsheeya Mashaw</dc:creator>
  <cp:keywords/>
  <dc:description/>
  <cp:lastModifiedBy>Arsheeya Mashaw</cp:lastModifiedBy>
  <cp:revision>2</cp:revision>
  <dcterms:created xsi:type="dcterms:W3CDTF">2023-09-14T23:28:00Z</dcterms:created>
  <dcterms:modified xsi:type="dcterms:W3CDTF">2023-09-14T23:28:00Z</dcterms:modified>
</cp:coreProperties>
</file>