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CF7D1" w14:textId="77777777" w:rsidR="005F19C0" w:rsidRPr="00A13031" w:rsidRDefault="005F19C0" w:rsidP="005F19C0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SUPPLEMENTARY</w:t>
      </w:r>
      <w:r w:rsidRPr="00A13031">
        <w:rPr>
          <w:rFonts w:ascii="Times New Roman" w:hAnsi="Times New Roman"/>
          <w:b/>
          <w:bCs/>
          <w:sz w:val="28"/>
          <w:szCs w:val="28"/>
        </w:rPr>
        <w:t xml:space="preserve"> MATERIALS</w:t>
      </w:r>
    </w:p>
    <w:p w14:paraId="4E7BECC2" w14:textId="77777777" w:rsidR="005F19C0" w:rsidRPr="00A13031" w:rsidRDefault="005F19C0" w:rsidP="005F19C0">
      <w:pPr>
        <w:jc w:val="both"/>
        <w:rPr>
          <w:rFonts w:ascii="Times New Roman" w:hAnsi="Times New Roman"/>
          <w:sz w:val="24"/>
          <w:szCs w:val="24"/>
        </w:rPr>
      </w:pPr>
    </w:p>
    <w:p w14:paraId="0336B488" w14:textId="77777777" w:rsidR="005F19C0" w:rsidRPr="00A13031" w:rsidRDefault="005F19C0" w:rsidP="005F19C0">
      <w:pPr>
        <w:jc w:val="both"/>
        <w:rPr>
          <w:rFonts w:ascii="Times New Roman" w:hAnsi="Times New Roman"/>
          <w:sz w:val="24"/>
          <w:szCs w:val="24"/>
        </w:rPr>
      </w:pPr>
      <w:r w:rsidRPr="00A13031">
        <w:rPr>
          <w:rFonts w:ascii="Times New Roman" w:hAnsi="Times New Roman"/>
          <w:b/>
          <w:bCs/>
          <w:sz w:val="24"/>
          <w:szCs w:val="24"/>
        </w:rPr>
        <w:t xml:space="preserve">Figure S1. </w:t>
      </w:r>
      <w:r w:rsidRPr="00A13031">
        <w:rPr>
          <w:rFonts w:ascii="Times New Roman" w:hAnsi="Times New Roman"/>
          <w:sz w:val="24"/>
          <w:szCs w:val="24"/>
        </w:rPr>
        <w:t xml:space="preserve">Age at MRI scan in the extremely preterm individuals. Every bar represents a child. The beginning of the bar represents the age at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A13031">
        <w:rPr>
          <w:rFonts w:ascii="Times New Roman" w:hAnsi="Times New Roman"/>
          <w:sz w:val="24"/>
          <w:szCs w:val="24"/>
        </w:rPr>
        <w:t xml:space="preserve">brain scan acquired at the beginning of the treatment, and the end of the bar represents the age at </w:t>
      </w:r>
      <w:r>
        <w:rPr>
          <w:rFonts w:ascii="Times New Roman" w:hAnsi="Times New Roman"/>
          <w:sz w:val="24"/>
          <w:szCs w:val="24"/>
        </w:rPr>
        <w:t xml:space="preserve">the </w:t>
      </w:r>
      <w:r w:rsidRPr="00A13031">
        <w:rPr>
          <w:rFonts w:ascii="Times New Roman" w:hAnsi="Times New Roman"/>
          <w:sz w:val="24"/>
          <w:szCs w:val="24"/>
        </w:rPr>
        <w:t>scan after treatment.</w:t>
      </w:r>
    </w:p>
    <w:p w14:paraId="64B88804" w14:textId="77777777" w:rsidR="005F19C0" w:rsidRDefault="005F19C0" w:rsidP="005F19C0">
      <w:pPr>
        <w:jc w:val="both"/>
        <w:rPr>
          <w:rFonts w:ascii="Times New Roman" w:hAnsi="Times New Roman"/>
          <w:sz w:val="24"/>
          <w:szCs w:val="24"/>
        </w:rPr>
      </w:pPr>
    </w:p>
    <w:p w14:paraId="1646EDA8" w14:textId="77777777" w:rsidR="005F19C0" w:rsidRPr="00A13031" w:rsidRDefault="005F19C0" w:rsidP="005F19C0">
      <w:pPr>
        <w:jc w:val="both"/>
        <w:rPr>
          <w:rFonts w:ascii="Times New Roman" w:hAnsi="Times New Roman"/>
          <w:sz w:val="24"/>
          <w:szCs w:val="24"/>
        </w:rPr>
      </w:pPr>
      <w:r w:rsidRPr="00A13031">
        <w:rPr>
          <w:rFonts w:ascii="Times New Roman" w:hAnsi="Times New Roman"/>
          <w:b/>
          <w:bCs/>
          <w:sz w:val="24"/>
          <w:szCs w:val="24"/>
        </w:rPr>
        <w:t>Figure S2.</w:t>
      </w:r>
      <w:r w:rsidRPr="00A13031">
        <w:rPr>
          <w:rFonts w:ascii="Times New Roman" w:hAnsi="Times New Roman"/>
          <w:sz w:val="24"/>
          <w:szCs w:val="24"/>
        </w:rPr>
        <w:t xml:space="preserve"> Representative segmentations of the subcortical structures in a participant of this work. CA, chronological age.</w:t>
      </w:r>
    </w:p>
    <w:p w14:paraId="3A17F53D" w14:textId="77777777" w:rsidR="005F19C0" w:rsidRDefault="005F19C0" w:rsidP="005F19C0">
      <w:pPr>
        <w:jc w:val="both"/>
        <w:rPr>
          <w:rFonts w:ascii="Times New Roman" w:hAnsi="Times New Roman"/>
          <w:sz w:val="24"/>
          <w:szCs w:val="24"/>
        </w:rPr>
      </w:pPr>
    </w:p>
    <w:p w14:paraId="4427E945" w14:textId="77777777" w:rsidR="005F19C0" w:rsidRPr="00A13031" w:rsidRDefault="005F19C0" w:rsidP="005F19C0">
      <w:pPr>
        <w:jc w:val="both"/>
        <w:rPr>
          <w:rFonts w:ascii="Times New Roman" w:hAnsi="Times New Roman"/>
          <w:sz w:val="24"/>
          <w:szCs w:val="24"/>
        </w:rPr>
      </w:pPr>
      <w:r w:rsidRPr="00A13031">
        <w:rPr>
          <w:rFonts w:ascii="Times New Roman" w:hAnsi="Times New Roman"/>
          <w:b/>
          <w:bCs/>
          <w:sz w:val="24"/>
          <w:szCs w:val="24"/>
        </w:rPr>
        <w:t>Figure S3.</w:t>
      </w:r>
      <w:r w:rsidRPr="00A13031">
        <w:rPr>
          <w:rFonts w:ascii="Times New Roman" w:hAnsi="Times New Roman"/>
          <w:sz w:val="24"/>
          <w:szCs w:val="24"/>
        </w:rPr>
        <w:t xml:space="preserve"> Bayley’s Mental (MDI) and Psychomotor (PDI) development scores </w:t>
      </w:r>
      <w:r>
        <w:rPr>
          <w:rFonts w:ascii="Times New Roman" w:hAnsi="Times New Roman"/>
          <w:sz w:val="24"/>
          <w:szCs w:val="24"/>
        </w:rPr>
        <w:t xml:space="preserve">are </w:t>
      </w:r>
      <w:r w:rsidRPr="00A13031">
        <w:rPr>
          <w:rFonts w:ascii="Times New Roman" w:hAnsi="Times New Roman"/>
          <w:sz w:val="24"/>
          <w:szCs w:val="24"/>
        </w:rPr>
        <w:t>associated with the number of treatment follow-up sessions attended.</w:t>
      </w:r>
    </w:p>
    <w:p w14:paraId="4A2CDA2D" w14:textId="77777777" w:rsidR="005F19C0" w:rsidRDefault="005F19C0" w:rsidP="005F19C0">
      <w:pPr>
        <w:jc w:val="both"/>
        <w:rPr>
          <w:rFonts w:ascii="Times New Roman" w:hAnsi="Times New Roman"/>
          <w:sz w:val="24"/>
          <w:szCs w:val="24"/>
        </w:rPr>
      </w:pPr>
    </w:p>
    <w:p w14:paraId="35BACF95" w14:textId="77777777" w:rsidR="005F19C0" w:rsidRDefault="005F19C0" w:rsidP="005F19C0">
      <w:pPr>
        <w:jc w:val="both"/>
        <w:rPr>
          <w:rFonts w:ascii="Times New Roman" w:hAnsi="Times New Roman"/>
          <w:sz w:val="24"/>
          <w:szCs w:val="24"/>
        </w:rPr>
        <w:sectPr w:rsidR="005F19C0" w:rsidSect="00D514CF">
          <w:pgSz w:w="12240" w:h="15840"/>
          <w:pgMar w:top="1701" w:right="1440" w:bottom="1440" w:left="1440" w:header="720" w:footer="720" w:gutter="0"/>
          <w:cols w:space="720"/>
          <w:docGrid w:linePitch="360"/>
        </w:sectPr>
      </w:pPr>
    </w:p>
    <w:tbl>
      <w:tblPr>
        <w:tblW w:w="12622" w:type="dxa"/>
        <w:jc w:val="center"/>
        <w:tblBorders>
          <w:top w:val="single" w:sz="18" w:space="0" w:color="auto"/>
          <w:bottom w:val="single" w:sz="18" w:space="0" w:color="auto"/>
          <w:insideH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6"/>
        <w:gridCol w:w="777"/>
        <w:gridCol w:w="1700"/>
        <w:gridCol w:w="850"/>
        <w:gridCol w:w="850"/>
        <w:gridCol w:w="850"/>
        <w:gridCol w:w="851"/>
        <w:gridCol w:w="850"/>
        <w:gridCol w:w="851"/>
        <w:gridCol w:w="850"/>
        <w:gridCol w:w="851"/>
        <w:gridCol w:w="850"/>
        <w:gridCol w:w="856"/>
      </w:tblGrid>
      <w:tr w:rsidR="005F19C0" w:rsidRPr="00F067BA" w14:paraId="3A6084B1" w14:textId="77777777" w:rsidTr="003C1697">
        <w:trPr>
          <w:trHeight w:val="170"/>
          <w:jc w:val="center"/>
        </w:trPr>
        <w:tc>
          <w:tcPr>
            <w:tcW w:w="12616" w:type="dxa"/>
            <w:gridSpan w:val="13"/>
            <w:tcBorders>
              <w:top w:val="nil"/>
              <w:bottom w:val="single" w:sz="18" w:space="0" w:color="auto"/>
            </w:tcBorders>
            <w:shd w:val="clear" w:color="auto" w:fill="auto"/>
            <w:vAlign w:val="bottom"/>
          </w:tcPr>
          <w:p w14:paraId="5ABA5BCC" w14:textId="77777777" w:rsidR="005F19C0" w:rsidRPr="00F067BA" w:rsidRDefault="005F19C0" w:rsidP="003C169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</w:rPr>
            </w:pPr>
            <w:r w:rsidRPr="00F067BA">
              <w:rPr>
                <w:rFonts w:ascii="Times New Roman" w:eastAsia="Times New Roman" w:hAnsi="Times New Roman"/>
                <w:b/>
                <w:bCs/>
              </w:rPr>
              <w:lastRenderedPageBreak/>
              <w:t>Table S1.</w:t>
            </w:r>
            <w:r w:rsidRPr="00F067BA">
              <w:rPr>
                <w:rFonts w:ascii="Times New Roman" w:eastAsia="Times New Roman" w:hAnsi="Times New Roman"/>
              </w:rPr>
              <w:t xml:space="preserve"> Non-parametric correlations controlled by sex</w:t>
            </w:r>
          </w:p>
        </w:tc>
      </w:tr>
      <w:tr w:rsidR="005F19C0" w:rsidRPr="00F067BA" w14:paraId="47897B35" w14:textId="77777777" w:rsidTr="003C1697">
        <w:trPr>
          <w:jc w:val="center"/>
        </w:trPr>
        <w:tc>
          <w:tcPr>
            <w:tcW w:w="1636" w:type="dxa"/>
            <w:vMerge w:val="restart"/>
            <w:tcBorders>
              <w:top w:val="single" w:sz="18" w:space="0" w:color="auto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23CF3D2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F067BA">
              <w:rPr>
                <w:rFonts w:ascii="Times New Roman" w:eastAsia="Times New Roman" w:hAnsi="Times New Roman"/>
                <w:b/>
                <w:bCs/>
              </w:rPr>
              <w:t>Measurement Time Point</w:t>
            </w:r>
          </w:p>
        </w:tc>
        <w:tc>
          <w:tcPr>
            <w:tcW w:w="777" w:type="dxa"/>
            <w:vMerge w:val="restart"/>
            <w:tcBorders>
              <w:top w:val="single" w:sz="18" w:space="0" w:color="auto"/>
              <w:left w:val="nil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6069427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F067BA">
              <w:rPr>
                <w:rFonts w:ascii="Times New Roman" w:eastAsia="Times New Roman" w:hAnsi="Times New Roman"/>
                <w:b/>
                <w:bCs/>
              </w:rPr>
              <w:t>Hemi</w:t>
            </w:r>
          </w:p>
        </w:tc>
        <w:tc>
          <w:tcPr>
            <w:tcW w:w="1700" w:type="dxa"/>
            <w:vMerge w:val="restart"/>
            <w:tcBorders>
              <w:top w:val="single" w:sz="18" w:space="0" w:color="auto"/>
              <w:left w:val="nil"/>
              <w:bottom w:val="single" w:sz="4" w:space="0" w:color="7F7F7F"/>
              <w:right w:val="nil"/>
            </w:tcBorders>
            <w:shd w:val="clear" w:color="auto" w:fill="auto"/>
            <w:vAlign w:val="center"/>
            <w:hideMark/>
          </w:tcPr>
          <w:p w14:paraId="412734B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F067BA">
              <w:rPr>
                <w:rFonts w:ascii="Times New Roman" w:eastAsia="Times New Roman" w:hAnsi="Times New Roman"/>
                <w:b/>
                <w:bCs/>
              </w:rPr>
              <w:t>Variable</w:t>
            </w:r>
          </w:p>
        </w:tc>
        <w:tc>
          <w:tcPr>
            <w:tcW w:w="1700" w:type="dxa"/>
            <w:gridSpan w:val="2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81DD20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  <w:t>Tx Adherence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B1035C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  <w:t>Age at Scan 1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D0E0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  <w:t>Time b/Scans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1105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  <w:t>MDI</w:t>
            </w:r>
          </w:p>
        </w:tc>
        <w:tc>
          <w:tcPr>
            <w:tcW w:w="1706" w:type="dxa"/>
            <w:gridSpan w:val="2"/>
            <w:tcBorders>
              <w:top w:val="single" w:sz="18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171CD0F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  <w:t>PDI</w:t>
            </w:r>
          </w:p>
        </w:tc>
      </w:tr>
      <w:tr w:rsidR="005F19C0" w:rsidRPr="00F067BA" w14:paraId="35D0261F" w14:textId="77777777" w:rsidTr="003C1697">
        <w:trPr>
          <w:jc w:val="center"/>
        </w:trPr>
        <w:tc>
          <w:tcPr>
            <w:tcW w:w="1636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0048742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9DA69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90D745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435AC7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R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A25155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p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BAF629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R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2674F5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p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05AC34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R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503118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p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1C4367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R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F6B606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p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55F41E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R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14:paraId="6271763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p</w:t>
            </w:r>
          </w:p>
        </w:tc>
      </w:tr>
      <w:tr w:rsidR="005F19C0" w:rsidRPr="00F067BA" w14:paraId="2C1FB4F0" w14:textId="77777777" w:rsidTr="003C1697">
        <w:trPr>
          <w:trHeight w:val="170"/>
          <w:jc w:val="center"/>
        </w:trPr>
        <w:tc>
          <w:tcPr>
            <w:tcW w:w="1636" w:type="dxa"/>
            <w:vMerge/>
            <w:tcBorders>
              <w:top w:val="single" w:sz="4" w:space="0" w:color="7F7F7F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0D53317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4B9CFFD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0FA6A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</w:rPr>
              <w:t>Age at Scan 1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78724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0.537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C547C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0.047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5EFD9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33B6C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-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F845E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9EF66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5EAEF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6A4D4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24AFE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317D39D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54DB5FF8" w14:textId="77777777" w:rsidTr="003C1697">
        <w:trPr>
          <w:trHeight w:val="170"/>
          <w:jc w:val="center"/>
        </w:trPr>
        <w:tc>
          <w:tcPr>
            <w:tcW w:w="1636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576D138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93390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FF753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</w:rPr>
              <w:t>Time b/Scans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41B21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5A5C7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9A5D4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FA60E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63BF5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B0C63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B0589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</w:rPr>
              <w:t>0.589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4345F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0.027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DFD58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</w:rPr>
              <w:t>0.547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51013F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0.043</w:t>
            </w:r>
          </w:p>
        </w:tc>
      </w:tr>
      <w:tr w:rsidR="005F19C0" w:rsidRPr="00F067BA" w14:paraId="6A17AC08" w14:textId="77777777" w:rsidTr="003C1697">
        <w:trPr>
          <w:trHeight w:val="113"/>
          <w:jc w:val="center"/>
        </w:trPr>
        <w:tc>
          <w:tcPr>
            <w:tcW w:w="1636" w:type="dxa"/>
            <w:vMerge/>
            <w:tcBorders>
              <w:top w:val="single" w:sz="4" w:space="0" w:color="7F7F7F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7EFD9A7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621C8EB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9CE71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MDI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593B1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0.653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3B9E2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2FAAC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B7F90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DA304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0.589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7A00D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0.027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7FCA3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7CA4B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C82EC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0.813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08B6DBB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0.000</w:t>
            </w:r>
          </w:p>
        </w:tc>
      </w:tr>
      <w:tr w:rsidR="005F19C0" w:rsidRPr="00F067BA" w14:paraId="12F00C53" w14:textId="77777777" w:rsidTr="003C1697">
        <w:trPr>
          <w:trHeight w:val="113"/>
          <w:jc w:val="center"/>
        </w:trPr>
        <w:tc>
          <w:tcPr>
            <w:tcW w:w="1636" w:type="dxa"/>
            <w:vMerge/>
            <w:tcBorders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92FA3B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3A8AA8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8A1D67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PDI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3ADE85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0.644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1B6A87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0.013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769E82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4FBCA8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A94826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0.547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E5B13C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0.043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7120D1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0.813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A8CD86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8562E2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</w:tcBorders>
            <w:shd w:val="clear" w:color="auto" w:fill="auto"/>
          </w:tcPr>
          <w:p w14:paraId="2D36308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-</w:t>
            </w:r>
          </w:p>
        </w:tc>
      </w:tr>
      <w:tr w:rsidR="005F19C0" w:rsidRPr="00F067BA" w14:paraId="7E6B455E" w14:textId="77777777" w:rsidTr="003C1697">
        <w:trPr>
          <w:trHeight w:val="227"/>
          <w:jc w:val="center"/>
        </w:trPr>
        <w:tc>
          <w:tcPr>
            <w:tcW w:w="1636" w:type="dxa"/>
            <w:vMerge w:val="restart"/>
            <w:tcBorders>
              <w:top w:val="single" w:sz="12" w:space="0" w:color="auto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1E1593D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  <w:t>Beginning of Treatment</w:t>
            </w:r>
          </w:p>
        </w:tc>
        <w:tc>
          <w:tcPr>
            <w:tcW w:w="777" w:type="dxa"/>
            <w:vMerge w:val="restart"/>
            <w:tcBorders>
              <w:top w:val="single" w:sz="12" w:space="0" w:color="auto"/>
              <w:left w:val="nil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3CD6323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  <w:t>L</w:t>
            </w: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24DC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Amygdala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E187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E6DC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5F84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-0.703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1BFB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0.005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48AB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BB53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124534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99AAEA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E2AB51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</w:tcPr>
          <w:p w14:paraId="77727E7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640D4D17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4511DC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6EF89F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DD27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Caudate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0802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1B00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B2EF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4E66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8249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04B2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A128D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A9512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9ACE6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7EC6C8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4A83038B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top w:val="single" w:sz="4" w:space="0" w:color="7F7F7F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6D534C7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2FA9344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7EA9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Hippocampus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FE91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EEF3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B666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-0.641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5107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610F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54B9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E0B4D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87958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7FE63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AB05A4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7A6F6111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F2BD17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0FF0F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BFDA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Pallidum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0073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12D8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D8E5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-0.857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B16D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92C5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81DA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06E4D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85DD0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7D35F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08C88F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1390C6BE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top w:val="single" w:sz="4" w:space="0" w:color="7F7F7F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1DEBB44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766EC47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381B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Putamen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5033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8D00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1C3B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-0.814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DD9C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9B92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02C8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C86B7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CE9D6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79399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-0.589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1A3CA3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0.027</w:t>
            </w:r>
          </w:p>
        </w:tc>
      </w:tr>
      <w:tr w:rsidR="005F19C0" w:rsidRPr="00F067BA" w14:paraId="73C31B14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3425340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24AA61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D1E81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Thalamus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3C1953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487520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6629C9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-0.910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01E936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00A30A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1FA87F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33FA34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B68386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849B93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</w:tcPr>
          <w:p w14:paraId="5F524F8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7A046B20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top w:val="single" w:sz="4" w:space="0" w:color="7F7F7F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1EF2D15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 w:val="restart"/>
            <w:tcBorders>
              <w:top w:val="single" w:sz="8" w:space="0" w:color="auto"/>
              <w:left w:val="nil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6454DE6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  <w:t>R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5D8C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Amygdala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B558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D6EE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3FFE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-0.669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D7AB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0.009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A907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5A73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16C850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B374EC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3D70DB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</w:tcBorders>
            <w:shd w:val="clear" w:color="auto" w:fill="auto"/>
          </w:tcPr>
          <w:p w14:paraId="0C35763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7BA48CDF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68E9A5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C3F53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3114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Caudate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9AF2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20C8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7F70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BB84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9709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1CAF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F44BB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0940D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0922A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483B43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6C2E5842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top w:val="single" w:sz="4" w:space="0" w:color="7F7F7F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72BD358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5FBB793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753C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Hippocampus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6F19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EC29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ECC09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-0.673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4A27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8972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A8AC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3BD50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95A3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B6F1E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A6B29C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3AE33F31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48FCD92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24A7A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FB73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Pallidum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655A4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-0.604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53BB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0.022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FF6B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-0.793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8257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22A6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61D25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D019E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7F27E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2BD45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37CEED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060B3894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top w:val="single" w:sz="4" w:space="0" w:color="7F7F7F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3AFBFE2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7052500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5BE7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Putamen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7C60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5A1C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B82C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-0.727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56E2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EAD4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B173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05CA2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9371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32A5F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615312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7783AD66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7863AF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390EE3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A0FC81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Thalamus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A7CDE6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36D9F9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F8F385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-0.835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4716A6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E0CA50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622BCD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DB2E3F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2E0312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DC9940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</w:tcPr>
          <w:p w14:paraId="6940D6F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26C037D4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top w:val="single" w:sz="4" w:space="0" w:color="7F7F7F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11A022E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2477" w:type="dxa"/>
            <w:gridSpan w:val="2"/>
            <w:tcBorders>
              <w:top w:val="single" w:sz="4" w:space="0" w:color="7F7F7F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68EE7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Subcortical Gray Matter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91E5B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2648B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C066E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-0.818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387E4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50C21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326F2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DE141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B66F2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D41EF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4DB4A8E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3BBA5DE4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372A834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FBFF2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Cortex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7887B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-0.553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FC07D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0.040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C5CD6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66A4E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D1886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6C0BF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134C6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67178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FEAFD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24ADD46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533F514E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top w:val="single" w:sz="4" w:space="0" w:color="7F7F7F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7B0D1E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572C36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White Matter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EBFDAF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0.758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140935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562623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A5F262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F48AE1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24C94F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EFB4F9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0.556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A297D4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0.039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4B78E1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</w:tcBorders>
            <w:shd w:val="clear" w:color="auto" w:fill="auto"/>
          </w:tcPr>
          <w:p w14:paraId="40D1FF6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67572B99" w14:textId="77777777" w:rsidTr="003C1697">
        <w:trPr>
          <w:trHeight w:val="227"/>
          <w:jc w:val="center"/>
        </w:trPr>
        <w:tc>
          <w:tcPr>
            <w:tcW w:w="1636" w:type="dxa"/>
            <w:vMerge w:val="restart"/>
            <w:tcBorders>
              <w:top w:val="single" w:sz="12" w:space="0" w:color="auto"/>
              <w:right w:val="nil"/>
            </w:tcBorders>
            <w:shd w:val="clear" w:color="auto" w:fill="auto"/>
            <w:vAlign w:val="center"/>
          </w:tcPr>
          <w:p w14:paraId="3F1EFD1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  <w:t>After Treatment</w:t>
            </w:r>
          </w:p>
        </w:tc>
        <w:tc>
          <w:tcPr>
            <w:tcW w:w="777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2E060C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  <w:t>L</w:t>
            </w:r>
          </w:p>
        </w:tc>
        <w:tc>
          <w:tcPr>
            <w:tcW w:w="17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E859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Amygdala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6F78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1AB9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07B4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607D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7B40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219C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82D73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B86DAC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F83EBE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nil"/>
            </w:tcBorders>
            <w:shd w:val="clear" w:color="auto" w:fill="auto"/>
          </w:tcPr>
          <w:p w14:paraId="32FE783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776DCA95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top w:val="single" w:sz="4" w:space="0" w:color="7F7F7F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1630875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5EC3F62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649A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Caudate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524B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EB3D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6D2E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64C9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65718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05F9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20279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9B3F0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CE608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459786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5BE29517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4A019FE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61333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6C94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Hippocampus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586A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AD1C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E08A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F786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C453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92C6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3811F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16790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2D562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A4F364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0140275F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top w:val="single" w:sz="4" w:space="0" w:color="7F7F7F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1E7E75E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747D59D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C2E7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Pallidum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EC52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F093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07F5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1B44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CC2F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0045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02BD6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28A2F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1687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D11DC6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74313DFB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533087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D92D8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4670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Putamen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E1449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0646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8118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F4CFD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6519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593B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01406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10969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6E23A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D59AC3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175A1536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top w:val="single" w:sz="4" w:space="0" w:color="7F7F7F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2023AB6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1373C44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3D5ED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Thalamus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C6C146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9588DE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54813B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928E33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0A1945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1C5966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42755A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40E502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42673A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</w:tcPr>
          <w:p w14:paraId="523005C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0D38F687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5EC666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921303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  <w:t>R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3B42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Amygdala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4086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31A0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A6AB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DB99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5A30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C473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2A4021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8F1C7D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E8B2FA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</w:tcBorders>
            <w:shd w:val="clear" w:color="auto" w:fill="auto"/>
          </w:tcPr>
          <w:p w14:paraId="7CB0299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053C61A5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top w:val="single" w:sz="4" w:space="0" w:color="7F7F7F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5D565D0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553ABF8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2D23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Caudate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88EC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B5F7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9F78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AB33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A1A6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3979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0B623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C369B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BC536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53D749F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3179520E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787AB3A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64A2CA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F3A8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Hippocampus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4908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8615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AC3C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4C73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B455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136C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4F9EB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891A0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B7DA2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437F33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49B754F4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top w:val="single" w:sz="4" w:space="0" w:color="7F7F7F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164D9FD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top w:val="single" w:sz="4" w:space="0" w:color="7F7F7F"/>
              <w:left w:val="nil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3AFA53F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35E6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Pallidum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8858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87C0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A80B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8CF7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BB9C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223DE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56ADB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5292C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D4DC8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F1D7FA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3DC2BE94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1942F75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916E71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C698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Putamen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9F3E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FC3A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1E7E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AB45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5D151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-0.615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BC42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DFE63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8F25E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AE77B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F33B56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182E11A7" w14:textId="77777777" w:rsidTr="003C1697">
        <w:trPr>
          <w:trHeight w:val="227"/>
          <w:jc w:val="center"/>
        </w:trPr>
        <w:tc>
          <w:tcPr>
            <w:tcW w:w="1636" w:type="dxa"/>
            <w:vMerge/>
            <w:tcBorders>
              <w:top w:val="single" w:sz="4" w:space="0" w:color="7F7F7F"/>
              <w:bottom w:val="single" w:sz="4" w:space="0" w:color="7F7F7F"/>
              <w:right w:val="nil"/>
            </w:tcBorders>
            <w:shd w:val="clear" w:color="auto" w:fill="auto"/>
            <w:vAlign w:val="center"/>
          </w:tcPr>
          <w:p w14:paraId="73161A4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777" w:type="dxa"/>
            <w:vMerge/>
            <w:tcBorders>
              <w:top w:val="single" w:sz="4" w:space="0" w:color="7F7F7F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FA8F2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51922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Thalamus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6169C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235EA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F29CB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72B183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109555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3D8DD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7707CF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736B77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EE70DA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3C6C0CA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4E83029B" w14:textId="77777777" w:rsidTr="003C1697">
        <w:trPr>
          <w:trHeight w:val="170"/>
          <w:jc w:val="center"/>
        </w:trPr>
        <w:tc>
          <w:tcPr>
            <w:tcW w:w="1636" w:type="dxa"/>
            <w:vMerge/>
            <w:tcBorders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3A67E2E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2477" w:type="dxa"/>
            <w:gridSpan w:val="2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3E776F7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i/>
                <w:iCs/>
                <w:color w:val="000000"/>
                <w:shd w:val="clear" w:color="auto" w:fill="FFFFFF"/>
              </w:rPr>
              <w:t>Cortex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06FCC629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2A4ACBC4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1277F2E0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1EAD3898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7660E20D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F067BA">
              <w:rPr>
                <w:rFonts w:ascii="Times New Roman" w:eastAsia="Times New Roman" w:hAnsi="Times New Roman"/>
              </w:rPr>
              <w:t>-0.621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7DCD0DD2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>0.018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3E98304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6F818296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567BB06C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8" w:space="0" w:color="auto"/>
            </w:tcBorders>
            <w:shd w:val="clear" w:color="auto" w:fill="auto"/>
          </w:tcPr>
          <w:p w14:paraId="622C09DB" w14:textId="77777777" w:rsidR="005F19C0" w:rsidRPr="00F067BA" w:rsidRDefault="005F19C0" w:rsidP="003C169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</w:pPr>
          </w:p>
        </w:tc>
      </w:tr>
      <w:tr w:rsidR="005F19C0" w:rsidRPr="00F067BA" w14:paraId="2D0F1E64" w14:textId="77777777" w:rsidTr="003C1697">
        <w:trPr>
          <w:trHeight w:val="113"/>
          <w:jc w:val="center"/>
        </w:trPr>
        <w:tc>
          <w:tcPr>
            <w:tcW w:w="12616" w:type="dxa"/>
            <w:gridSpan w:val="13"/>
            <w:tcBorders>
              <w:top w:val="single" w:sz="18" w:space="0" w:color="auto"/>
              <w:bottom w:val="nil"/>
            </w:tcBorders>
            <w:shd w:val="clear" w:color="auto" w:fill="auto"/>
          </w:tcPr>
          <w:p w14:paraId="1307CB4E" w14:textId="77777777" w:rsidR="005F19C0" w:rsidRPr="00F067BA" w:rsidRDefault="005F19C0" w:rsidP="003C169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</w:pPr>
            <w:r w:rsidRPr="00F067BA">
              <w:rPr>
                <w:rFonts w:ascii="Times New Roman" w:eastAsia="Times New Roman" w:hAnsi="Times New Roman"/>
                <w:b/>
                <w:bCs/>
                <w:color w:val="000000"/>
                <w:shd w:val="clear" w:color="auto" w:fill="FFFFFF"/>
              </w:rPr>
              <w:t>Note:</w:t>
            </w:r>
            <w:r w:rsidRPr="00F067BA">
              <w:rPr>
                <w:rFonts w:ascii="Times New Roman" w:eastAsia="Times New Roman" w:hAnsi="Times New Roman"/>
                <w:color w:val="000000"/>
                <w:shd w:val="clear" w:color="auto" w:fill="FFFFFF"/>
              </w:rPr>
              <w:t xml:space="preserve"> Hemi, hemisphere; MDI, Bayley’s mental development index; PDI, Bayley’s psychomotor development index; L, left; R, right; Time b/Scans, time between scans; Tx Adherence, treatment adherence.</w:t>
            </w:r>
          </w:p>
        </w:tc>
      </w:tr>
    </w:tbl>
    <w:p w14:paraId="380DBEDE" w14:textId="77777777" w:rsidR="005F19C0" w:rsidRDefault="005F19C0" w:rsidP="005F19C0">
      <w:pPr>
        <w:jc w:val="both"/>
        <w:rPr>
          <w:rFonts w:ascii="Times New Roman" w:hAnsi="Times New Roman"/>
          <w:sz w:val="24"/>
          <w:szCs w:val="24"/>
        </w:rPr>
      </w:pPr>
    </w:p>
    <w:p w14:paraId="02600AA4" w14:textId="77777777" w:rsidR="005F19C0" w:rsidRDefault="005F19C0" w:rsidP="005F19C0">
      <w:pPr>
        <w:jc w:val="both"/>
        <w:rPr>
          <w:rFonts w:ascii="Times New Roman" w:hAnsi="Times New Roman"/>
          <w:sz w:val="24"/>
          <w:szCs w:val="24"/>
        </w:rPr>
        <w:sectPr w:rsidR="005F19C0" w:rsidSect="00D4658F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3984EDB3" w14:textId="77777777" w:rsidR="005F19C0" w:rsidRPr="00A13031" w:rsidRDefault="005F19C0" w:rsidP="005F19C0">
      <w:pPr>
        <w:jc w:val="both"/>
        <w:rPr>
          <w:rFonts w:ascii="Times New Roman" w:hAnsi="Times New Roman"/>
          <w:sz w:val="24"/>
          <w:szCs w:val="24"/>
        </w:rPr>
      </w:pPr>
      <w:r w:rsidRPr="004D0D45">
        <w:rPr>
          <w:rFonts w:ascii="Times New Roman" w:hAnsi="Times New Roman"/>
          <w:b/>
          <w:bCs/>
          <w:sz w:val="24"/>
          <w:szCs w:val="24"/>
        </w:rPr>
        <w:lastRenderedPageBreak/>
        <w:t>Figure S1</w:t>
      </w:r>
    </w:p>
    <w:p w14:paraId="3B9FC7BE" w14:textId="73314CB9" w:rsidR="005F19C0" w:rsidRPr="00A13031" w:rsidRDefault="005F19C0" w:rsidP="005F19C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</w:rPr>
        <w:drawing>
          <wp:inline distT="0" distB="0" distL="0" distR="0" wp14:anchorId="4675410E" wp14:editId="215273CD">
            <wp:extent cx="5943600" cy="3600450"/>
            <wp:effectExtent l="0" t="0" r="0" b="0"/>
            <wp:docPr id="3" name="Chart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7BBE9B16" w14:textId="77777777" w:rsidR="005F19C0" w:rsidRPr="004D0D45" w:rsidRDefault="005F19C0" w:rsidP="005F19C0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A509DBE" w14:textId="77777777" w:rsidR="005F19C0" w:rsidRPr="00A13031" w:rsidRDefault="005F19C0" w:rsidP="005F19C0">
      <w:pPr>
        <w:jc w:val="both"/>
        <w:rPr>
          <w:rFonts w:ascii="Times New Roman" w:hAnsi="Times New Roman"/>
          <w:sz w:val="24"/>
          <w:szCs w:val="24"/>
        </w:rPr>
        <w:sectPr w:rsidR="005F19C0" w:rsidRPr="00A13031" w:rsidSect="00D514CF">
          <w:pgSz w:w="12240" w:h="15840"/>
          <w:pgMar w:top="1701" w:right="1440" w:bottom="1440" w:left="1440" w:header="720" w:footer="720" w:gutter="0"/>
          <w:cols w:space="720"/>
          <w:docGrid w:linePitch="360"/>
        </w:sectPr>
      </w:pPr>
    </w:p>
    <w:p w14:paraId="61C05A83" w14:textId="77777777" w:rsidR="005F19C0" w:rsidRPr="00A13031" w:rsidRDefault="005F19C0" w:rsidP="005F19C0">
      <w:pPr>
        <w:jc w:val="both"/>
        <w:rPr>
          <w:rFonts w:ascii="Times New Roman" w:hAnsi="Times New Roman"/>
          <w:sz w:val="24"/>
          <w:szCs w:val="24"/>
        </w:rPr>
      </w:pPr>
      <w:r w:rsidRPr="004D0D45">
        <w:rPr>
          <w:rFonts w:ascii="Times New Roman" w:hAnsi="Times New Roman"/>
          <w:b/>
          <w:bCs/>
          <w:sz w:val="24"/>
          <w:szCs w:val="24"/>
        </w:rPr>
        <w:lastRenderedPageBreak/>
        <w:t>Figure S2</w:t>
      </w:r>
    </w:p>
    <w:p w14:paraId="2B5D4149" w14:textId="3FD562B6" w:rsidR="005F19C0" w:rsidRPr="00A13031" w:rsidRDefault="005F19C0" w:rsidP="005F19C0">
      <w:pPr>
        <w:spacing w:after="4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B4D9373" wp14:editId="39E5CC24">
            <wp:extent cx="5937250" cy="508635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E645D" w14:textId="77777777" w:rsidR="005F19C0" w:rsidRPr="004D0D45" w:rsidRDefault="005F19C0" w:rsidP="005F19C0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E7D0B44" w14:textId="77777777" w:rsidR="005F19C0" w:rsidRPr="004D0D45" w:rsidRDefault="005F19C0" w:rsidP="005F19C0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E26147A" w14:textId="77777777" w:rsidR="005F19C0" w:rsidRPr="00A13031" w:rsidRDefault="005F19C0" w:rsidP="005F19C0">
      <w:pPr>
        <w:jc w:val="both"/>
        <w:rPr>
          <w:rFonts w:ascii="Times New Roman" w:hAnsi="Times New Roman"/>
          <w:b/>
          <w:bCs/>
          <w:sz w:val="24"/>
          <w:szCs w:val="24"/>
        </w:rPr>
        <w:sectPr w:rsidR="005F19C0" w:rsidRPr="00A13031" w:rsidSect="004D0D4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EC984A" w14:textId="77777777" w:rsidR="005F19C0" w:rsidRPr="004D0D45" w:rsidRDefault="005F19C0" w:rsidP="005F19C0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4D0D45">
        <w:rPr>
          <w:rFonts w:ascii="Times New Roman" w:hAnsi="Times New Roman"/>
          <w:b/>
          <w:bCs/>
          <w:sz w:val="24"/>
          <w:szCs w:val="24"/>
        </w:rPr>
        <w:lastRenderedPageBreak/>
        <w:t>Figure S3</w:t>
      </w:r>
    </w:p>
    <w:p w14:paraId="309B0E0C" w14:textId="67521B53" w:rsidR="005F19C0" w:rsidRPr="00A13031" w:rsidRDefault="005F19C0" w:rsidP="005F19C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A1E62B2" wp14:editId="47717995">
            <wp:extent cx="4989195" cy="3274060"/>
            <wp:effectExtent l="0" t="0" r="1905" b="2540"/>
            <wp:docPr id="1" name="Chart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776C0EB" w14:textId="77777777" w:rsidR="005F19C0" w:rsidRPr="00A13031" w:rsidRDefault="005F19C0" w:rsidP="005F19C0">
      <w:pPr>
        <w:jc w:val="both"/>
        <w:rPr>
          <w:rFonts w:ascii="Times New Roman" w:hAnsi="Times New Roman"/>
          <w:sz w:val="24"/>
          <w:szCs w:val="24"/>
        </w:rPr>
      </w:pPr>
    </w:p>
    <w:p w14:paraId="0201D4AB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9C0"/>
    <w:rsid w:val="005F19C0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3AF35"/>
  <w15:chartTrackingRefBased/>
  <w15:docId w15:val="{663DDF5A-A891-4C06-9343-288F7B1D7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19C0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D:\UIND\PrematurosExtremos\PrematurosExtremosLongitudinal-Compartido\manuscript-16may2023\PrematurosExtremos_Longitudinal_15sub_DatosFreesurferYExpedientes_18mayo2023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D:\UIND\PrematurosExtremos\PrematurosExtremosLongitudinal-Compartido\manuscript-16may2023\PrematurosExtremos_Longitudinal_15sub_DatosFreesurferYExpedientes_18mayo2023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1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n-US" b="1" spc="100" baseline="0">
                <a:solidFill>
                  <a:sysClr val="windowText" lastClr="000000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Age at MRI Scan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10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6.870116097301919E-2"/>
          <c:y val="0.13361750694582325"/>
          <c:w val="0.89500515181869622"/>
          <c:h val="0.71126952015850764"/>
        </c:manualLayout>
      </c:layout>
      <c:barChart>
        <c:barDir val="bar"/>
        <c:grouping val="stacked"/>
        <c:varyColors val="0"/>
        <c:ser>
          <c:idx val="0"/>
          <c:order val="0"/>
          <c:tx>
            <c:strRef>
              <c:f>Sheet1!$E$1</c:f>
              <c:strCache>
                <c:ptCount val="1"/>
                <c:pt idx="0">
                  <c:v>Beginning of Treatment</c:v>
                </c:pt>
              </c:strCache>
            </c:strRef>
          </c:tx>
          <c:spPr>
            <a:noFill/>
            <a:ln>
              <a:noFill/>
            </a:ln>
            <a:effectLst/>
          </c:spPr>
          <c:invertIfNegative val="0"/>
          <c:cat>
            <c:strRef>
              <c:f>Sheet1!$A$2:$A$16</c:f>
              <c:strCache>
                <c:ptCount val="15"/>
                <c:pt idx="0">
                  <c:v>s454</c:v>
                </c:pt>
                <c:pt idx="1">
                  <c:v>s801</c:v>
                </c:pt>
                <c:pt idx="2">
                  <c:v>s833</c:v>
                </c:pt>
                <c:pt idx="3">
                  <c:v>s838</c:v>
                </c:pt>
                <c:pt idx="4">
                  <c:v>s862</c:v>
                </c:pt>
                <c:pt idx="5">
                  <c:v>s863</c:v>
                </c:pt>
                <c:pt idx="6">
                  <c:v>s940</c:v>
                </c:pt>
                <c:pt idx="7">
                  <c:v>s947</c:v>
                </c:pt>
                <c:pt idx="8">
                  <c:v>s974</c:v>
                </c:pt>
                <c:pt idx="9">
                  <c:v>s995</c:v>
                </c:pt>
                <c:pt idx="10">
                  <c:v>s1045</c:v>
                </c:pt>
                <c:pt idx="11">
                  <c:v>s1055</c:v>
                </c:pt>
                <c:pt idx="12">
                  <c:v>s1083</c:v>
                </c:pt>
                <c:pt idx="13">
                  <c:v>s1330</c:v>
                </c:pt>
                <c:pt idx="14">
                  <c:v>s1749</c:v>
                </c:pt>
              </c:strCache>
            </c:strRef>
          </c:cat>
          <c:val>
            <c:numRef>
              <c:f>Sheet1!$E$2:$E$16</c:f>
              <c:numCache>
                <c:formatCode>0</c:formatCode>
                <c:ptCount val="15"/>
                <c:pt idx="0">
                  <c:v>43.714285714285722</c:v>
                </c:pt>
                <c:pt idx="1">
                  <c:v>69.285714285714292</c:v>
                </c:pt>
                <c:pt idx="2">
                  <c:v>76</c:v>
                </c:pt>
                <c:pt idx="3">
                  <c:v>46</c:v>
                </c:pt>
                <c:pt idx="4">
                  <c:v>34.571428571428569</c:v>
                </c:pt>
                <c:pt idx="5">
                  <c:v>42</c:v>
                </c:pt>
                <c:pt idx="6">
                  <c:v>27.428571428571431</c:v>
                </c:pt>
                <c:pt idx="7">
                  <c:v>4.7142857142857153</c:v>
                </c:pt>
                <c:pt idx="8">
                  <c:v>-3</c:v>
                </c:pt>
                <c:pt idx="9">
                  <c:v>11.142857142857139</c:v>
                </c:pt>
                <c:pt idx="10">
                  <c:v>10.571428571428569</c:v>
                </c:pt>
                <c:pt idx="11">
                  <c:v>12.571428571428569</c:v>
                </c:pt>
                <c:pt idx="12">
                  <c:v>7.5714285714285694</c:v>
                </c:pt>
                <c:pt idx="13">
                  <c:v>8.4285714285714306</c:v>
                </c:pt>
                <c:pt idx="14">
                  <c:v>9.5714285714285694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8C3-483C-885E-A015D4DC2403}"/>
            </c:ext>
          </c:extLst>
        </c:ser>
        <c:ser>
          <c:idx val="1"/>
          <c:order val="1"/>
          <c:tx>
            <c:strRef>
              <c:f>Sheet1!$G$1</c:f>
              <c:strCache>
                <c:ptCount val="1"/>
                <c:pt idx="0">
                  <c:v>After Treatment</c:v>
                </c:pt>
              </c:strCache>
            </c:strRef>
          </c:tx>
          <c:spPr>
            <a:solidFill>
              <a:srgbClr val="0070C0"/>
            </a:solidFill>
            <a:ln>
              <a:solidFill>
                <a:schemeClr val="accent5">
                  <a:lumMod val="50000"/>
                </a:schemeClr>
              </a:solidFill>
            </a:ln>
            <a:effectLst/>
          </c:spPr>
          <c:invertIfNegative val="0"/>
          <c:cat>
            <c:strRef>
              <c:f>Sheet1!$A$2:$A$16</c:f>
              <c:strCache>
                <c:ptCount val="15"/>
                <c:pt idx="0">
                  <c:v>s454</c:v>
                </c:pt>
                <c:pt idx="1">
                  <c:v>s801</c:v>
                </c:pt>
                <c:pt idx="2">
                  <c:v>s833</c:v>
                </c:pt>
                <c:pt idx="3">
                  <c:v>s838</c:v>
                </c:pt>
                <c:pt idx="4">
                  <c:v>s862</c:v>
                </c:pt>
                <c:pt idx="5">
                  <c:v>s863</c:v>
                </c:pt>
                <c:pt idx="6">
                  <c:v>s940</c:v>
                </c:pt>
                <c:pt idx="7">
                  <c:v>s947</c:v>
                </c:pt>
                <c:pt idx="8">
                  <c:v>s974</c:v>
                </c:pt>
                <c:pt idx="9">
                  <c:v>s995</c:v>
                </c:pt>
                <c:pt idx="10">
                  <c:v>s1045</c:v>
                </c:pt>
                <c:pt idx="11">
                  <c:v>s1055</c:v>
                </c:pt>
                <c:pt idx="12">
                  <c:v>s1083</c:v>
                </c:pt>
                <c:pt idx="13">
                  <c:v>s1330</c:v>
                </c:pt>
                <c:pt idx="14">
                  <c:v>s1749</c:v>
                </c:pt>
              </c:strCache>
            </c:strRef>
          </c:cat>
          <c:val>
            <c:numRef>
              <c:f>Sheet1!$G$2:$G$16</c:f>
              <c:numCache>
                <c:formatCode>0</c:formatCode>
                <c:ptCount val="15"/>
                <c:pt idx="0">
                  <c:v>263</c:v>
                </c:pt>
                <c:pt idx="1">
                  <c:v>201</c:v>
                </c:pt>
                <c:pt idx="2">
                  <c:v>454.28571428571428</c:v>
                </c:pt>
                <c:pt idx="3">
                  <c:v>92.285714285714278</c:v>
                </c:pt>
                <c:pt idx="4">
                  <c:v>87.142857142857139</c:v>
                </c:pt>
                <c:pt idx="5">
                  <c:v>255.85714285714283</c:v>
                </c:pt>
                <c:pt idx="6">
                  <c:v>273.14285714285717</c:v>
                </c:pt>
                <c:pt idx="7">
                  <c:v>138.85714285714286</c:v>
                </c:pt>
                <c:pt idx="8">
                  <c:v>134</c:v>
                </c:pt>
                <c:pt idx="9">
                  <c:v>107.71428571428572</c:v>
                </c:pt>
                <c:pt idx="10">
                  <c:v>87.714285714285708</c:v>
                </c:pt>
                <c:pt idx="11">
                  <c:v>244.71428571428572</c:v>
                </c:pt>
                <c:pt idx="12">
                  <c:v>197</c:v>
                </c:pt>
                <c:pt idx="13">
                  <c:v>143.71428571428572</c:v>
                </c:pt>
                <c:pt idx="14">
                  <c:v>103.85714285714286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8C3-483C-885E-A015D4DC240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113246943"/>
        <c:axId val="113248383"/>
      </c:barChart>
      <c:catAx>
        <c:axId val="11324694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bg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3248383"/>
        <c:crosses val="autoZero"/>
        <c:auto val="1"/>
        <c:lblAlgn val="ctr"/>
        <c:lblOffset val="100"/>
        <c:noMultiLvlLbl val="0"/>
      </c:catAx>
      <c:valAx>
        <c:axId val="113248383"/>
        <c:scaling>
          <c:orientation val="minMax"/>
          <c:max val="540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sz="1100" b="1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Corrected</a:t>
                </a:r>
                <a:r>
                  <a:rPr lang="en-US" sz="1100" b="1" baseline="0">
                    <a:solidFill>
                      <a:schemeClr val="tx1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 Age at Scan (weeks)</a:t>
                </a:r>
                <a:endParaRPr lang="en-US" sz="1100" b="1">
                  <a:solidFill>
                    <a:schemeClr val="tx1"/>
                  </a:solidFill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layout>
            <c:manualLayout>
              <c:xMode val="edge"/>
              <c:yMode val="edge"/>
              <c:x val="0.35911242431303791"/>
              <c:y val="0.9242444347234373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13246943"/>
        <c:crosses val="autoZero"/>
        <c:crossBetween val="between"/>
        <c:majorUnit val="52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spc="0" baseline="0">
                <a:solidFill>
                  <a:sysClr val="windowText" lastClr="000000"/>
                </a:solidFill>
                <a:latin typeface="Bahnschrift" panose="020B0502040204020203" pitchFamily="34" charset="0"/>
                <a:ea typeface="+mn-ea"/>
                <a:cs typeface="+mn-cs"/>
              </a:defRPr>
            </a:pPr>
            <a:r>
              <a:rPr lang="en-US" sz="1800" b="1">
                <a:solidFill>
                  <a:sysClr val="windowText" lastClr="000000"/>
                </a:solidFill>
                <a:latin typeface="Bahnschrift" panose="020B0502040204020203" pitchFamily="34" charset="0"/>
              </a:rPr>
              <a:t>Neurodevelopmental</a:t>
            </a:r>
            <a:r>
              <a:rPr lang="en-US" sz="1800" b="1" baseline="0">
                <a:solidFill>
                  <a:sysClr val="windowText" lastClr="000000"/>
                </a:solidFill>
                <a:latin typeface="Bahnschrift" panose="020B0502040204020203" pitchFamily="34" charset="0"/>
              </a:rPr>
              <a:t> Outcomes</a:t>
            </a:r>
            <a:endParaRPr lang="en-US" sz="1800" b="1">
              <a:solidFill>
                <a:sysClr val="windowText" lastClr="000000"/>
              </a:solidFill>
              <a:latin typeface="Bahnschrift" panose="020B0502040204020203" pitchFamily="34" charset="0"/>
            </a:endParaRPr>
          </a:p>
        </c:rich>
      </c:tx>
      <c:layout>
        <c:manualLayout>
          <c:xMode val="edge"/>
          <c:yMode val="edge"/>
          <c:x val="0.16938931297709922"/>
          <c:y val="1.552795031055900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spc="0" baseline="0">
              <a:solidFill>
                <a:sysClr val="windowText" lastClr="000000"/>
              </a:solidFill>
              <a:latin typeface="Bahnschrift" panose="020B0502040204020203" pitchFamily="34" charset="0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PorSujeto!$J$1</c:f>
              <c:strCache>
                <c:ptCount val="1"/>
                <c:pt idx="0">
                  <c:v>MDI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0070C0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5875" cap="rnd">
                <a:solidFill>
                  <a:schemeClr val="accent1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PorSujeto!$H$2:$H$16</c:f>
              <c:numCache>
                <c:formatCode>0</c:formatCode>
                <c:ptCount val="15"/>
                <c:pt idx="0">
                  <c:v>4</c:v>
                </c:pt>
                <c:pt idx="1">
                  <c:v>11</c:v>
                </c:pt>
                <c:pt idx="2">
                  <c:v>11</c:v>
                </c:pt>
                <c:pt idx="3">
                  <c:v>9</c:v>
                </c:pt>
                <c:pt idx="4">
                  <c:v>10</c:v>
                </c:pt>
                <c:pt idx="5">
                  <c:v>11</c:v>
                </c:pt>
                <c:pt idx="6">
                  <c:v>6</c:v>
                </c:pt>
                <c:pt idx="7">
                  <c:v>10</c:v>
                </c:pt>
                <c:pt idx="8">
                  <c:v>9</c:v>
                </c:pt>
                <c:pt idx="9" formatCode="General">
                  <c:v>0</c:v>
                </c:pt>
                <c:pt idx="10">
                  <c:v>10</c:v>
                </c:pt>
                <c:pt idx="11">
                  <c:v>10</c:v>
                </c:pt>
                <c:pt idx="12">
                  <c:v>9</c:v>
                </c:pt>
                <c:pt idx="13">
                  <c:v>4</c:v>
                </c:pt>
                <c:pt idx="14">
                  <c:v>8</c:v>
                </c:pt>
              </c:numCache>
            </c:numRef>
          </c:xVal>
          <c:yVal>
            <c:numRef>
              <c:f>PorSujeto!$J$2:$J$16</c:f>
              <c:numCache>
                <c:formatCode>General</c:formatCode>
                <c:ptCount val="15"/>
                <c:pt idx="0">
                  <c:v>50</c:v>
                </c:pt>
                <c:pt idx="1">
                  <c:v>106</c:v>
                </c:pt>
                <c:pt idx="2">
                  <c:v>108</c:v>
                </c:pt>
                <c:pt idx="3">
                  <c:v>89</c:v>
                </c:pt>
                <c:pt idx="4">
                  <c:v>106</c:v>
                </c:pt>
                <c:pt idx="5">
                  <c:v>118</c:v>
                </c:pt>
                <c:pt idx="6">
                  <c:v>107</c:v>
                </c:pt>
                <c:pt idx="7">
                  <c:v>102</c:v>
                </c:pt>
                <c:pt idx="8">
                  <c:v>87</c:v>
                </c:pt>
                <c:pt idx="9">
                  <c:v>50</c:v>
                </c:pt>
                <c:pt idx="10">
                  <c:v>63</c:v>
                </c:pt>
                <c:pt idx="11">
                  <c:v>94</c:v>
                </c:pt>
                <c:pt idx="12">
                  <c:v>98</c:v>
                </c:pt>
                <c:pt idx="13">
                  <c:v>93</c:v>
                </c:pt>
                <c:pt idx="14">
                  <c:v>65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243-4082-A9BF-929738A276C9}"/>
            </c:ext>
          </c:extLst>
        </c:ser>
        <c:ser>
          <c:idx val="1"/>
          <c:order val="1"/>
          <c:tx>
            <c:strRef>
              <c:f>PorSujeto!$K$1</c:f>
              <c:strCache>
                <c:ptCount val="1"/>
                <c:pt idx="0">
                  <c:v>PDI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FF6600"/>
              </a:solidFill>
              <a:ln w="9525">
                <a:solidFill>
                  <a:schemeClr val="accent2"/>
                </a:solidFill>
              </a:ln>
              <a:effectLst/>
            </c:spPr>
          </c:marker>
          <c:trendline>
            <c:spPr>
              <a:ln w="15875" cap="rnd" cmpd="sng">
                <a:solidFill>
                  <a:schemeClr val="accent2"/>
                </a:solidFill>
                <a:prstDash val="solid"/>
              </a:ln>
              <a:effectLst/>
            </c:spPr>
            <c:trendlineType val="linear"/>
            <c:dispRSqr val="0"/>
            <c:dispEq val="0"/>
          </c:trendline>
          <c:xVal>
            <c:numRef>
              <c:f>PorSujeto!$H$2:$H$16</c:f>
              <c:numCache>
                <c:formatCode>0</c:formatCode>
                <c:ptCount val="15"/>
                <c:pt idx="0">
                  <c:v>4</c:v>
                </c:pt>
                <c:pt idx="1">
                  <c:v>11</c:v>
                </c:pt>
                <c:pt idx="2">
                  <c:v>11</c:v>
                </c:pt>
                <c:pt idx="3">
                  <c:v>9</c:v>
                </c:pt>
                <c:pt idx="4">
                  <c:v>10</c:v>
                </c:pt>
                <c:pt idx="5">
                  <c:v>11</c:v>
                </c:pt>
                <c:pt idx="6">
                  <c:v>6</c:v>
                </c:pt>
                <c:pt idx="7">
                  <c:v>10</c:v>
                </c:pt>
                <c:pt idx="8">
                  <c:v>9</c:v>
                </c:pt>
                <c:pt idx="9" formatCode="General">
                  <c:v>0</c:v>
                </c:pt>
                <c:pt idx="10">
                  <c:v>10</c:v>
                </c:pt>
                <c:pt idx="11">
                  <c:v>10</c:v>
                </c:pt>
                <c:pt idx="12">
                  <c:v>9</c:v>
                </c:pt>
                <c:pt idx="13">
                  <c:v>4</c:v>
                </c:pt>
                <c:pt idx="14">
                  <c:v>8</c:v>
                </c:pt>
              </c:numCache>
            </c:numRef>
          </c:xVal>
          <c:yVal>
            <c:numRef>
              <c:f>PorSujeto!$K$2:$K$16</c:f>
              <c:numCache>
                <c:formatCode>General</c:formatCode>
                <c:ptCount val="15"/>
                <c:pt idx="0">
                  <c:v>50</c:v>
                </c:pt>
                <c:pt idx="1">
                  <c:v>116</c:v>
                </c:pt>
                <c:pt idx="2">
                  <c:v>121</c:v>
                </c:pt>
                <c:pt idx="3">
                  <c:v>91</c:v>
                </c:pt>
                <c:pt idx="4">
                  <c:v>119</c:v>
                </c:pt>
                <c:pt idx="5">
                  <c:v>125</c:v>
                </c:pt>
                <c:pt idx="6">
                  <c:v>105</c:v>
                </c:pt>
                <c:pt idx="7">
                  <c:v>52</c:v>
                </c:pt>
                <c:pt idx="8">
                  <c:v>92</c:v>
                </c:pt>
                <c:pt idx="9">
                  <c:v>50</c:v>
                </c:pt>
                <c:pt idx="10">
                  <c:v>61</c:v>
                </c:pt>
                <c:pt idx="11">
                  <c:v>116</c:v>
                </c:pt>
                <c:pt idx="12">
                  <c:v>88</c:v>
                </c:pt>
                <c:pt idx="13">
                  <c:v>92</c:v>
                </c:pt>
                <c:pt idx="14">
                  <c:v>73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5243-4082-A9BF-929738A276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23721760"/>
        <c:axId val="723715040"/>
      </c:scatterChart>
      <c:valAx>
        <c:axId val="7237217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Bahnschrift" panose="020B0502040204020203" pitchFamily="34" charset="0"/>
                    <a:ea typeface="+mn-ea"/>
                    <a:cs typeface="+mn-cs"/>
                  </a:defRPr>
                </a:pPr>
                <a:r>
                  <a:rPr lang="en-US" sz="1200">
                    <a:solidFill>
                      <a:sysClr val="windowText" lastClr="000000"/>
                    </a:solidFill>
                    <a:latin typeface="Bahnschrift" panose="020B0502040204020203" pitchFamily="34" charset="0"/>
                  </a:rPr>
                  <a:t>Treatment</a:t>
                </a:r>
                <a:r>
                  <a:rPr lang="en-US" sz="1200" baseline="0">
                    <a:solidFill>
                      <a:sysClr val="windowText" lastClr="000000"/>
                    </a:solidFill>
                    <a:latin typeface="Bahnschrift" panose="020B0502040204020203" pitchFamily="34" charset="0"/>
                  </a:rPr>
                  <a:t> Follow-Up Sessions Attended</a:t>
                </a:r>
                <a:endParaRPr lang="en-US" sz="1200">
                  <a:solidFill>
                    <a:sysClr val="windowText" lastClr="000000"/>
                  </a:solidFill>
                  <a:latin typeface="Bahnschrift" panose="020B0502040204020203" pitchFamily="34" charset="0"/>
                </a:endParaRPr>
              </a:p>
            </c:rich>
          </c:tx>
          <c:layout>
            <c:manualLayout>
              <c:xMode val="edge"/>
              <c:yMode val="edge"/>
              <c:x val="0.20801486646230291"/>
              <c:y val="0.9052691484113821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Bahnschrift" panose="020B0502040204020203" pitchFamily="34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23715040"/>
        <c:crosses val="autoZero"/>
        <c:crossBetween val="midCat"/>
      </c:valAx>
      <c:valAx>
        <c:axId val="723715040"/>
        <c:scaling>
          <c:orientation val="minMax"/>
          <c:max val="140"/>
          <c:min val="3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Bahnschrift" panose="020B0502040204020203" pitchFamily="34" charset="0"/>
                    <a:ea typeface="+mn-ea"/>
                    <a:cs typeface="+mn-cs"/>
                  </a:defRPr>
                </a:pPr>
                <a:r>
                  <a:rPr lang="en-US" sz="1200">
                    <a:solidFill>
                      <a:sysClr val="windowText" lastClr="000000"/>
                    </a:solidFill>
                    <a:latin typeface="Bahnschrift" panose="020B0502040204020203" pitchFamily="34" charset="0"/>
                  </a:rPr>
                  <a:t>Neurodevelopment</a:t>
                </a:r>
                <a:r>
                  <a:rPr lang="en-US" sz="1200" baseline="0">
                    <a:solidFill>
                      <a:sysClr val="windowText" lastClr="000000"/>
                    </a:solidFill>
                    <a:latin typeface="Bahnschrift" panose="020B0502040204020203" pitchFamily="34" charset="0"/>
                  </a:rPr>
                  <a:t> Score</a:t>
                </a:r>
                <a:endParaRPr lang="en-US" sz="1200">
                  <a:solidFill>
                    <a:sysClr val="windowText" lastClr="000000"/>
                  </a:solidFill>
                  <a:latin typeface="Bahnschrift" panose="020B0502040204020203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Bahnschrift" panose="020B0502040204020203" pitchFamily="34" charset="0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23721760"/>
        <c:crosses val="autoZero"/>
        <c:crossBetween val="midCat"/>
        <c:majorUnit val="30"/>
      </c:valAx>
      <c:spPr>
        <a:noFill/>
        <a:ln>
          <a:noFill/>
        </a:ln>
        <a:effectLst/>
      </c:spPr>
    </c:plotArea>
    <c:legend>
      <c:legendPos val="r"/>
      <c:legendEntry>
        <c:idx val="2"/>
        <c:delete val="1"/>
      </c:legendEntry>
      <c:legendEntry>
        <c:idx val="3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Bahnschrift" panose="020B0502040204020203" pitchFamily="34" charset="0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303</Words>
  <Characters>1732</Characters>
  <Application>Microsoft Office Word</Application>
  <DocSecurity>0</DocSecurity>
  <Lines>14</Lines>
  <Paragraphs>4</Paragraphs>
  <ScaleCrop>false</ScaleCrop>
  <Company>Springer Nature</Company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2023-10-03T04:27:00Z</dcterms:created>
  <dcterms:modified xsi:type="dcterms:W3CDTF">2023-10-03T04:27:00Z</dcterms:modified>
</cp:coreProperties>
</file>