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="240" w:lineRule="auto"/>
        <w:jc w:val="center"/>
        <w:rPr>
          <w:sz w:val="44"/>
          <w:szCs w:val="44"/>
        </w:rPr>
      </w:pPr>
      <w:r w:rsidDel="00000000" w:rsidR="00000000" w:rsidRPr="00000000">
        <w:rPr>
          <w:sz w:val="44"/>
          <w:szCs w:val="44"/>
          <w:rtl w:val="0"/>
        </w:rPr>
        <w:t xml:space="preserve">Supplementary information</w:t>
      </w:r>
    </w:p>
    <w:p w:rsidR="00000000" w:rsidDel="00000000" w:rsidP="00000000" w:rsidRDefault="00000000" w:rsidRPr="00000000" w14:paraId="00000002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="360" w:lineRule="auto"/>
        <w:jc w:val="center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Scanpro: robust proportion analysis for single cell resolution data</w:t>
      </w:r>
    </w:p>
    <w:p w:rsidR="00000000" w:rsidDel="00000000" w:rsidP="00000000" w:rsidRDefault="00000000" w:rsidRPr="00000000" w14:paraId="00000004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Yousef Alayoubi, Mette Bentsen, Mario Looso</w: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line="240" w:lineRule="auto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0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0" w:line="360" w:lineRule="auto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Content</w:t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0B">
          <w:pPr>
            <w:widowControl w:val="0"/>
            <w:tabs>
              <w:tab w:val="right" w:leader="dot" w:pos="12000"/>
            </w:tabs>
            <w:spacing w:before="60" w:line="24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2,2,Heading 3,3,Heading 4,4,Heading 5,5,Heading 6,6,"</w:instrText>
            <w:fldChar w:fldCharType="separate"/>
          </w:r>
          <w:hyperlink w:anchor="_805cm993pdij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Supplementary figures</w:t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C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7sxnfwmz8fd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Supplementary Figure 1: Choice of FDR for scCODA analysis</w:t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D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luum3y2x796d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Supplementary Figure 2: Proportions of cells per sample across clusters</w:t>
              <w:tab/>
              <w:t xml:space="preserve">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E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g8r9sdm2jy8l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Supplementary Figure 3: Comparison of Scanpro with propeller and scCODA for heart development data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F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pbtk74v505os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Supplementary Figure 4: Scanpro results on COVID-19 data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0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abeq8f6tcril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Supplementary Figure 5: Scanpro results on unreplicated COVID-19 data using pseudo-replicates</w:t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1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pye6q2eybzm1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Supplementary Figure 6: Percent correct assignments for Scanpro runs</w:t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2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l7br512wuxtf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Supplementary Figure 7: Human myocardial infarction atlas cell type proportions</w:t>
              <w:tab/>
              <w:t xml:space="preserve">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3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dullpx48lknt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Supplementary Figure 8: Human myocardial infarction atlas cell type proportions using pseudo-replicates</w:t>
              <w:tab/>
              <w:t xml:space="preserve">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4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k5xnmxuynles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Supplementary Figure 9: Fetal scATAC atlas cell type proportions for all tissues</w:t>
              <w:tab/>
              <w:t xml:space="preserve">10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5">
          <w:pPr>
            <w:widowControl w:val="0"/>
            <w:tabs>
              <w:tab w:val="right" w:leader="dot" w:pos="12000"/>
            </w:tabs>
            <w:spacing w:before="60" w:line="24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m1o5s3vq9gee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Supplementary methods</w:t>
              <w:tab/>
              <w:t xml:space="preserve">11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6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gym94svqaoiu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Scanpro software architecture</w:t>
              <w:tab/>
              <w:t xml:space="preserve">11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7">
          <w:pPr>
            <w:widowControl w:val="0"/>
            <w:tabs>
              <w:tab w:val="right" w:leader="dot" w:pos="12000"/>
            </w:tabs>
            <w:spacing w:before="60" w:line="24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gu3cy9439auj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Transform Proportions</w:t>
              <w:tab/>
              <w:t xml:space="preserve">11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8">
          <w:pPr>
            <w:widowControl w:val="0"/>
            <w:tabs>
              <w:tab w:val="right" w:leader="dot" w:pos="12000"/>
            </w:tabs>
            <w:spacing w:before="60" w:line="24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krq79qojaqo3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Empirical Bayes statistics</w:t>
              <w:tab/>
              <w:t xml:space="preserve">11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9">
          <w:pPr>
            <w:widowControl w:val="0"/>
            <w:tabs>
              <w:tab w:val="right" w:leader="dot" w:pos="12000"/>
            </w:tabs>
            <w:spacing w:before="60" w:line="240" w:lineRule="auto"/>
            <w:ind w:left="72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3klyd4rxmajw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Bootstrapping method to simulate replicates for unreplicated data</w:t>
              <w:tab/>
              <w:t xml:space="preserve">12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1A">
      <w:pPr>
        <w:spacing w:after="20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0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0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1"/>
        <w:spacing w:after="200" w:line="240" w:lineRule="auto"/>
        <w:jc w:val="both"/>
        <w:rPr/>
      </w:pPr>
      <w:bookmarkStart w:colFirst="0" w:colLast="0" w:name="_805cm993pdij" w:id="0"/>
      <w:bookmarkEnd w:id="0"/>
      <w:r w:rsidDel="00000000" w:rsidR="00000000" w:rsidRPr="00000000">
        <w:rPr>
          <w:rtl w:val="0"/>
        </w:rPr>
        <w:t xml:space="preserve">S</w:t>
      </w:r>
      <w:r w:rsidDel="00000000" w:rsidR="00000000" w:rsidRPr="00000000">
        <w:rPr>
          <w:rtl w:val="0"/>
        </w:rPr>
        <w:t xml:space="preserve">upplementary figures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/>
        <w:drawing>
          <wp:inline distB="114300" distT="114300" distL="114300" distR="114300">
            <wp:extent cx="5738813" cy="7006690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8813" cy="70066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spacing w:after="0" w:lineRule="auto"/>
        <w:jc w:val="both"/>
        <w:rPr>
          <w:b w:val="1"/>
          <w:sz w:val="24"/>
          <w:szCs w:val="24"/>
        </w:rPr>
      </w:pPr>
      <w:bookmarkStart w:colFirst="0" w:colLast="0" w:name="_h7sxnfwmz8fd" w:id="1"/>
      <w:bookmarkEnd w:id="1"/>
      <w:r w:rsidDel="00000000" w:rsidR="00000000" w:rsidRPr="00000000">
        <w:rPr>
          <w:b w:val="1"/>
          <w:sz w:val="24"/>
          <w:szCs w:val="24"/>
          <w:rtl w:val="0"/>
        </w:rPr>
        <w:t xml:space="preserve">Supplementary Figure 1: Choice of FDR for scCODA analysis</w:t>
      </w:r>
    </w:p>
    <w:p w:rsidR="00000000" w:rsidDel="00000000" w:rsidP="00000000" w:rsidRDefault="00000000" w:rsidRPr="00000000" w14:paraId="00000026">
      <w:pPr>
        <w:jc w:val="both"/>
        <w:rPr/>
      </w:pPr>
      <w:r w:rsidDel="00000000" w:rsidR="00000000" w:rsidRPr="00000000">
        <w:rPr>
          <w:rtl w:val="0"/>
        </w:rPr>
        <w:t xml:space="preserve">scCODA was run for all three datasets with increasing FDR and the credible effect of each cluster was estimated at each FDR level. Red blocks indicate the chosen FDR level.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6362700"/>
            <wp:effectExtent b="0" l="0" r="0" t="0"/>
            <wp:docPr id="2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36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spacing w:after="0" w:lineRule="auto"/>
        <w:jc w:val="both"/>
        <w:rPr>
          <w:b w:val="1"/>
          <w:sz w:val="24"/>
          <w:szCs w:val="24"/>
        </w:rPr>
      </w:pPr>
      <w:bookmarkStart w:colFirst="0" w:colLast="0" w:name="_luum3y2x796d" w:id="2"/>
      <w:bookmarkEnd w:id="2"/>
      <w:r w:rsidDel="00000000" w:rsidR="00000000" w:rsidRPr="00000000">
        <w:rPr>
          <w:b w:val="1"/>
          <w:sz w:val="24"/>
          <w:szCs w:val="24"/>
          <w:rtl w:val="0"/>
        </w:rPr>
        <w:t xml:space="preserve">Supplementary Figure 2: Proportions of cells per sample across clusters</w:t>
      </w:r>
    </w:p>
    <w:p w:rsidR="00000000" w:rsidDel="00000000" w:rsidP="00000000" w:rsidRDefault="00000000" w:rsidRPr="00000000" w14:paraId="0000002D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a) Output from Scanpro showing the raw proportions of cells from the PBMC dataset in each cluster. The samples are split between male and female samples per cluster. OF = Old female; YF = Young female; OM = Old male; YM = Young male. The p-values are calculated by Scanpro using “logit” transformed data. b) Comparison of Scanpro runs with/without covariates and for transformation “logit”/“arcsin”. Left shows -log10 transformed p-values for young vs. old samples per cluster; right side shows male vs. female per cluster.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457700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45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2"/>
        <w:spacing w:after="0" w:line="276" w:lineRule="auto"/>
        <w:jc w:val="both"/>
        <w:rPr>
          <w:b w:val="1"/>
          <w:sz w:val="24"/>
          <w:szCs w:val="24"/>
        </w:rPr>
      </w:pPr>
      <w:bookmarkStart w:colFirst="0" w:colLast="0" w:name="_g8r9sdm2jy8l" w:id="3"/>
      <w:bookmarkEnd w:id="3"/>
      <w:r w:rsidDel="00000000" w:rsidR="00000000" w:rsidRPr="00000000">
        <w:rPr>
          <w:b w:val="1"/>
          <w:sz w:val="24"/>
          <w:szCs w:val="24"/>
          <w:rtl w:val="0"/>
        </w:rPr>
        <w:t xml:space="preserve">Supplementary Figure 3: Comparison of Scanpro with propeller and scCODA for heart development data</w:t>
      </w:r>
    </w:p>
    <w:p w:rsidR="00000000" w:rsidDel="00000000" w:rsidP="00000000" w:rsidRDefault="00000000" w:rsidRPr="00000000" w14:paraId="00000032">
      <w:pPr>
        <w:spacing w:before="0" w:line="276" w:lineRule="auto"/>
        <w:jc w:val="both"/>
        <w:rPr/>
      </w:pPr>
      <w:r w:rsidDel="00000000" w:rsidR="00000000" w:rsidRPr="00000000">
        <w:rPr>
          <w:rtl w:val="0"/>
        </w:rPr>
        <w:t xml:space="preserve">-log10(p-values) were calculated for scanpro and propeller (red color in the heatmap). For scCODA, credible effects are plotted. Asterisks denote significant changes (p-value &lt; 0.05 or credible effect=TRUE). For scCODA, default settings were used.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spacing w:after="0" w:line="276" w:lineRule="auto"/>
        <w:jc w:val="both"/>
        <w:rPr/>
      </w:pPr>
      <w:bookmarkStart w:colFirst="0" w:colLast="0" w:name="_ffdcs9zai9er" w:id="4"/>
      <w:bookmarkEnd w:id="4"/>
      <w:r w:rsidDel="00000000" w:rsidR="00000000" w:rsidRPr="00000000">
        <w:rPr/>
        <w:drawing>
          <wp:inline distB="114300" distT="114300" distL="114300" distR="114300">
            <wp:extent cx="5731200" cy="2971800"/>
            <wp:effectExtent b="0" l="0" r="0" t="0"/>
            <wp:docPr id="1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7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39">
      <w:pPr>
        <w:pStyle w:val="Heading2"/>
        <w:spacing w:after="0" w:line="276" w:lineRule="auto"/>
        <w:jc w:val="both"/>
        <w:rPr>
          <w:b w:val="1"/>
          <w:sz w:val="24"/>
          <w:szCs w:val="24"/>
        </w:rPr>
      </w:pPr>
      <w:bookmarkStart w:colFirst="0" w:colLast="0" w:name="_pbtk74v505os" w:id="5"/>
      <w:bookmarkEnd w:id="5"/>
      <w:r w:rsidDel="00000000" w:rsidR="00000000" w:rsidRPr="00000000">
        <w:rPr>
          <w:b w:val="1"/>
          <w:sz w:val="24"/>
          <w:szCs w:val="24"/>
          <w:rtl w:val="0"/>
        </w:rPr>
        <w:t xml:space="preserve">Supplementary Figure 4: Scanpro results on COVID-19 data</w:t>
      </w:r>
    </w:p>
    <w:p w:rsidR="00000000" w:rsidDel="00000000" w:rsidP="00000000" w:rsidRDefault="00000000" w:rsidRPr="00000000" w14:paraId="0000003A">
      <w:pPr>
        <w:spacing w:before="0" w:line="240" w:lineRule="auto"/>
        <w:jc w:val="both"/>
        <w:rPr/>
      </w:pPr>
      <w:r w:rsidDel="00000000" w:rsidR="00000000" w:rsidRPr="00000000">
        <w:rPr>
          <w:rtl w:val="0"/>
        </w:rPr>
        <w:t xml:space="preserve">Output from Scanpro showing </w:t>
      </w:r>
      <w:r w:rsidDel="00000000" w:rsidR="00000000" w:rsidRPr="00000000">
        <w:rPr>
          <w:rtl w:val="0"/>
        </w:rPr>
        <w:t xml:space="preserve">the proportion of each cell type per sample. p-values represent ANOVA comparison of Healthy, Moderate and Severe groups with arcsin transformation. HC = Healthy control; M = Moderate; S = Severe.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0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2"/>
        <w:spacing w:after="200" w:line="240" w:lineRule="auto"/>
        <w:jc w:val="both"/>
        <w:rPr>
          <w:sz w:val="24"/>
          <w:szCs w:val="24"/>
        </w:rPr>
      </w:pPr>
      <w:bookmarkStart w:colFirst="0" w:colLast="0" w:name="_wtq43pcxzig6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2"/>
        <w:spacing w:after="200" w:line="240" w:lineRule="auto"/>
        <w:jc w:val="both"/>
        <w:rPr>
          <w:sz w:val="24"/>
          <w:szCs w:val="24"/>
        </w:rPr>
      </w:pPr>
      <w:bookmarkStart w:colFirst="0" w:colLast="0" w:name="_d01y8bodvr6y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2"/>
        <w:spacing w:after="200" w:line="240" w:lineRule="auto"/>
        <w:jc w:val="both"/>
        <w:rPr>
          <w:sz w:val="24"/>
          <w:szCs w:val="24"/>
        </w:rPr>
      </w:pPr>
      <w:bookmarkStart w:colFirst="0" w:colLast="0" w:name="_xvdohq6h28va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2"/>
        <w:spacing w:after="0" w:lineRule="auto"/>
        <w:jc w:val="both"/>
        <w:rPr/>
      </w:pPr>
      <w:bookmarkStart w:colFirst="0" w:colLast="0" w:name="_5izadw9aqfd2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2"/>
        <w:spacing w:after="0" w:lineRule="auto"/>
        <w:jc w:val="both"/>
        <w:rPr/>
      </w:pPr>
      <w:bookmarkStart w:colFirst="0" w:colLast="0" w:name="_iompa7yk9tct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Heading2"/>
        <w:spacing w:after="0" w:lineRule="auto"/>
        <w:jc w:val="both"/>
        <w:rPr/>
      </w:pPr>
      <w:bookmarkStart w:colFirst="0" w:colLast="0" w:name="_u04al6jzlxoi" w:id="11"/>
      <w:bookmarkEnd w:id="11"/>
      <w:r w:rsidDel="00000000" w:rsidR="00000000" w:rsidRPr="00000000">
        <w:rPr/>
        <w:drawing>
          <wp:inline distB="114300" distT="114300" distL="114300" distR="114300">
            <wp:extent cx="5731200" cy="2641600"/>
            <wp:effectExtent b="0" l="0" r="0" t="0"/>
            <wp:docPr id="1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4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2"/>
        <w:spacing w:after="0" w:lineRule="auto"/>
        <w:jc w:val="both"/>
        <w:rPr>
          <w:sz w:val="24"/>
          <w:szCs w:val="24"/>
        </w:rPr>
      </w:pPr>
      <w:bookmarkStart w:colFirst="0" w:colLast="0" w:name="_abeq8f6tcril" w:id="12"/>
      <w:bookmarkEnd w:id="12"/>
      <w:r w:rsidDel="00000000" w:rsidR="00000000" w:rsidRPr="00000000">
        <w:rPr>
          <w:b w:val="1"/>
          <w:sz w:val="24"/>
          <w:szCs w:val="24"/>
          <w:rtl w:val="0"/>
        </w:rPr>
        <w:t xml:space="preserve">Supplementary Figure 5: Scanpro results on unreplicated COVID-19 data using pseudo-replicates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Stripplots show the proportion of each cell type per sample. The group means are plotted in black circles. The colored squares represent simulated replicates per group/cluster. p-value is calculated in arcsin transformed data.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2"/>
        <w:rPr>
          <w:b w:val="1"/>
          <w:sz w:val="24"/>
          <w:szCs w:val="24"/>
        </w:rPr>
      </w:pPr>
      <w:bookmarkStart w:colFirst="0" w:colLast="0" w:name="_6oj19j5eif81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2"/>
        <w:rPr>
          <w:b w:val="1"/>
          <w:sz w:val="24"/>
          <w:szCs w:val="24"/>
        </w:rPr>
      </w:pPr>
      <w:bookmarkStart w:colFirst="0" w:colLast="0" w:name="_cpg8w9rj2d57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340100"/>
            <wp:effectExtent b="0" l="0" r="0" t="0"/>
            <wp:docPr id="11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2"/>
        <w:rPr>
          <w:b w:val="1"/>
          <w:sz w:val="24"/>
          <w:szCs w:val="24"/>
        </w:rPr>
      </w:pPr>
      <w:bookmarkStart w:colFirst="0" w:colLast="0" w:name="_pye6q2eybzm1" w:id="15"/>
      <w:bookmarkEnd w:id="15"/>
      <w:r w:rsidDel="00000000" w:rsidR="00000000" w:rsidRPr="00000000">
        <w:rPr>
          <w:b w:val="1"/>
          <w:sz w:val="24"/>
          <w:szCs w:val="24"/>
          <w:rtl w:val="0"/>
        </w:rPr>
        <w:t xml:space="preserve">Supplementary Figure 6: Percent correct assignments for Scanpro runs</w:t>
      </w:r>
    </w:p>
    <w:p w:rsidR="00000000" w:rsidDel="00000000" w:rsidP="00000000" w:rsidRDefault="00000000" w:rsidRPr="00000000" w14:paraId="00000053">
      <w:pPr>
        <w:jc w:val="both"/>
        <w:rPr/>
      </w:pPr>
      <w:r w:rsidDel="00000000" w:rsidR="00000000" w:rsidRPr="00000000">
        <w:rPr>
          <w:rtl w:val="0"/>
        </w:rPr>
        <w:t xml:space="preserve">a) Results of a null simulation where none of the clusters are significantly changed. Left shows replicated data, right shows unreplicated data. b) Results of a simulation with differences in three of seven clusters with logit transformation. Left shows replicated data, right shows unreplicated data. Lines represent the mean values given by 100 iterations.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Style w:val="Heading2"/>
        <w:spacing w:after="200" w:line="240" w:lineRule="auto"/>
        <w:jc w:val="both"/>
        <w:rPr>
          <w:sz w:val="24"/>
          <w:szCs w:val="24"/>
        </w:rPr>
      </w:pPr>
      <w:bookmarkStart w:colFirst="0" w:colLast="0" w:name="_tw05yv5rm6di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Heading2"/>
        <w:spacing w:after="200" w:line="240" w:lineRule="auto"/>
        <w:jc w:val="both"/>
        <w:rPr>
          <w:sz w:val="24"/>
          <w:szCs w:val="24"/>
        </w:rPr>
      </w:pPr>
      <w:bookmarkStart w:colFirst="0" w:colLast="0" w:name="_ifnrmgz0h9ce" w:id="17"/>
      <w:bookmarkEnd w:id="17"/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731200" cy="4864100"/>
            <wp:effectExtent b="0" l="0" r="0" t="0"/>
            <wp:docPr id="7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864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Style w:val="Heading2"/>
        <w:spacing w:after="0" w:line="276" w:lineRule="auto"/>
        <w:jc w:val="both"/>
        <w:rPr>
          <w:b w:val="1"/>
          <w:sz w:val="24"/>
          <w:szCs w:val="24"/>
        </w:rPr>
      </w:pPr>
      <w:bookmarkStart w:colFirst="0" w:colLast="0" w:name="_l7br512wuxtf" w:id="18"/>
      <w:bookmarkEnd w:id="18"/>
      <w:r w:rsidDel="00000000" w:rsidR="00000000" w:rsidRPr="00000000">
        <w:rPr>
          <w:b w:val="1"/>
          <w:sz w:val="24"/>
          <w:szCs w:val="24"/>
          <w:rtl w:val="0"/>
        </w:rPr>
        <w:t xml:space="preserve">Supplementary Figure 7: Human myocardial infarction atlas cell type proportions </w:t>
      </w:r>
    </w:p>
    <w:p w:rsidR="00000000" w:rsidDel="00000000" w:rsidP="00000000" w:rsidRDefault="00000000" w:rsidRPr="00000000" w14:paraId="00000059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S</w:t>
      </w:r>
      <w:r w:rsidDel="00000000" w:rsidR="00000000" w:rsidRPr="00000000">
        <w:rPr>
          <w:rtl w:val="0"/>
        </w:rPr>
        <w:t xml:space="preserve">canpro stripplots showing the proportion of cell types within the original samples. p-values are calculated between control and Ischaemic groups with arcsin transformation.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Style w:val="Heading2"/>
        <w:rPr/>
      </w:pPr>
      <w:bookmarkStart w:colFirst="0" w:colLast="0" w:name="_st55fw7ae9t" w:id="19"/>
      <w:bookmarkEnd w:id="19"/>
      <w:r w:rsidDel="00000000" w:rsidR="00000000" w:rsidRPr="00000000">
        <w:rPr/>
        <w:drawing>
          <wp:inline distB="114300" distT="114300" distL="114300" distR="114300">
            <wp:extent cx="5731200" cy="4432300"/>
            <wp:effectExtent b="0" l="0" r="0" t="0"/>
            <wp:docPr id="8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432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Style w:val="Heading2"/>
        <w:spacing w:after="0" w:lineRule="auto"/>
        <w:jc w:val="both"/>
        <w:rPr>
          <w:sz w:val="24"/>
          <w:szCs w:val="24"/>
        </w:rPr>
      </w:pPr>
      <w:bookmarkStart w:colFirst="0" w:colLast="0" w:name="_dullpx48lknt" w:id="20"/>
      <w:bookmarkEnd w:id="20"/>
      <w:r w:rsidDel="00000000" w:rsidR="00000000" w:rsidRPr="00000000">
        <w:rPr>
          <w:b w:val="1"/>
          <w:sz w:val="24"/>
          <w:szCs w:val="24"/>
          <w:rtl w:val="0"/>
        </w:rPr>
        <w:t xml:space="preserve">Supplementary Figure 8: Human myocardial infarction atlas cell type proportions using pseudo-replicates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Stripplots show the proportion of each cell type per sample. The group means are plotted in black circles. The colored squares represent simulated replicates per group/cluster. p-value is calculated in arcsin transformed data.</w:t>
      </w:r>
    </w:p>
    <w:p w:rsidR="00000000" w:rsidDel="00000000" w:rsidP="00000000" w:rsidRDefault="00000000" w:rsidRPr="00000000" w14:paraId="0000005D">
      <w:pPr>
        <w:pStyle w:val="Heading2"/>
        <w:spacing w:after="200" w:line="240" w:lineRule="auto"/>
        <w:jc w:val="both"/>
        <w:rPr/>
      </w:pPr>
      <w:bookmarkStart w:colFirst="0" w:colLast="0" w:name="_6s98ds6t21wr" w:id="21"/>
      <w:bookmarkEnd w:id="2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Style w:val="Heading1"/>
        <w:keepNext w:val="1"/>
        <w:spacing w:after="200" w:line="240" w:lineRule="auto"/>
        <w:jc w:val="both"/>
        <w:rPr/>
      </w:pPr>
      <w:bookmarkStart w:colFirst="0" w:colLast="0" w:name="_fc2owd8oi7y2" w:id="22"/>
      <w:bookmarkEnd w:id="2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Style w:val="Heading1"/>
        <w:keepNext w:val="1"/>
        <w:spacing w:after="200" w:line="240" w:lineRule="auto"/>
        <w:jc w:val="both"/>
        <w:rPr/>
      </w:pPr>
      <w:bookmarkStart w:colFirst="0" w:colLast="0" w:name="_ght5m5rp49og" w:id="23"/>
      <w:bookmarkEnd w:id="2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Style w:val="Heading1"/>
        <w:keepNext w:val="1"/>
        <w:spacing w:after="200" w:line="240" w:lineRule="auto"/>
        <w:jc w:val="both"/>
        <w:rPr/>
      </w:pPr>
      <w:bookmarkStart w:colFirst="0" w:colLast="0" w:name="_353uvidc0h0t" w:id="24"/>
      <w:bookmarkEnd w:id="2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Style w:val="Heading2"/>
        <w:spacing w:after="0" w:line="240" w:lineRule="auto"/>
        <w:jc w:val="both"/>
        <w:rPr>
          <w:b w:val="1"/>
          <w:sz w:val="24"/>
          <w:szCs w:val="24"/>
        </w:rPr>
      </w:pPr>
      <w:bookmarkStart w:colFirst="0" w:colLast="0" w:name="_afbm59ekn4kt" w:id="25"/>
      <w:bookmarkEnd w:id="25"/>
      <w:r w:rsidDel="00000000" w:rsidR="00000000" w:rsidRPr="00000000">
        <w:rPr>
          <w:b w:val="1"/>
          <w:sz w:val="24"/>
          <w:szCs w:val="24"/>
        </w:rPr>
        <w:drawing>
          <wp:inline distB="114300" distT="114300" distL="114300" distR="114300">
            <wp:extent cx="5731200" cy="3505200"/>
            <wp:effectExtent b="0" l="0" r="0" t="0"/>
            <wp:docPr id="6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05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Style w:val="Heading2"/>
        <w:spacing w:after="0" w:line="240" w:lineRule="auto"/>
        <w:jc w:val="both"/>
        <w:rPr>
          <w:b w:val="1"/>
          <w:sz w:val="24"/>
          <w:szCs w:val="24"/>
        </w:rPr>
      </w:pPr>
      <w:bookmarkStart w:colFirst="0" w:colLast="0" w:name="_k5xnmxuynles" w:id="26"/>
      <w:bookmarkEnd w:id="26"/>
      <w:r w:rsidDel="00000000" w:rsidR="00000000" w:rsidRPr="00000000">
        <w:rPr>
          <w:b w:val="1"/>
          <w:sz w:val="24"/>
          <w:szCs w:val="24"/>
          <w:rtl w:val="0"/>
        </w:rPr>
        <w:t xml:space="preserve">Supplementary Figure 9: Fetal scATAC atlas cell type proportions for all tissues</w:t>
      </w:r>
    </w:p>
    <w:p w:rsidR="00000000" w:rsidDel="00000000" w:rsidP="00000000" w:rsidRDefault="00000000" w:rsidRPr="00000000" w14:paraId="00000065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Stripplots show the proportion of each cell type per sample across all tissues. The p-values are calculated on arcsin transformed data. a) The proportions of original samples. b) The proportions of pseudoreplicates simulated by Scanpro.</w:t>
      </w:r>
    </w:p>
    <w:p w:rsidR="00000000" w:rsidDel="00000000" w:rsidP="00000000" w:rsidRDefault="00000000" w:rsidRPr="00000000" w14:paraId="00000066">
      <w:pPr>
        <w:pStyle w:val="Heading2"/>
        <w:spacing w:after="200" w:line="240" w:lineRule="auto"/>
        <w:jc w:val="both"/>
        <w:rPr>
          <w:sz w:val="24"/>
          <w:szCs w:val="24"/>
        </w:rPr>
      </w:pPr>
      <w:bookmarkStart w:colFirst="0" w:colLast="0" w:name="_8mbc6zshwzh4" w:id="27"/>
      <w:bookmarkEnd w:id="2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Style w:val="Heading1"/>
        <w:rPr/>
      </w:pPr>
      <w:bookmarkStart w:colFirst="0" w:colLast="0" w:name="_m1o5s3vq9gee" w:id="28"/>
      <w:bookmarkEnd w:id="28"/>
      <w:r w:rsidDel="00000000" w:rsidR="00000000" w:rsidRPr="00000000">
        <w:rPr>
          <w:rtl w:val="0"/>
        </w:rPr>
        <w:t xml:space="preserve">Supplementary methods</w:t>
      </w:r>
    </w:p>
    <w:p w:rsidR="00000000" w:rsidDel="00000000" w:rsidP="00000000" w:rsidRDefault="00000000" w:rsidRPr="00000000" w14:paraId="00000079">
      <w:pPr>
        <w:pStyle w:val="Heading2"/>
        <w:rPr/>
      </w:pPr>
      <w:bookmarkStart w:colFirst="0" w:colLast="0" w:name="_gym94svqaoiu" w:id="29"/>
      <w:bookmarkEnd w:id="29"/>
      <w:r w:rsidDel="00000000" w:rsidR="00000000" w:rsidRPr="00000000">
        <w:rPr>
          <w:rtl w:val="0"/>
        </w:rPr>
        <w:t xml:space="preserve">Scanpro software architecture</w:t>
      </w:r>
    </w:p>
    <w:p w:rsidR="00000000" w:rsidDel="00000000" w:rsidP="00000000" w:rsidRDefault="00000000" w:rsidRPr="00000000" w14:paraId="0000007A">
      <w:pPr>
        <w:pStyle w:val="Heading3"/>
        <w:rPr/>
      </w:pPr>
      <w:bookmarkStart w:colFirst="0" w:colLast="0" w:name="_gu3cy9439auj" w:id="30"/>
      <w:bookmarkEnd w:id="30"/>
      <w:r w:rsidDel="00000000" w:rsidR="00000000" w:rsidRPr="00000000">
        <w:rPr>
          <w:rtl w:val="0"/>
        </w:rPr>
        <w:t xml:space="preserve">Transform Proportions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The workflow of the {get_transformed_props} function is shown below:</w:t>
      </w:r>
    </w:p>
    <w:p w:rsidR="00000000" w:rsidDel="00000000" w:rsidP="00000000" w:rsidRDefault="00000000" w:rsidRPr="00000000" w14:paraId="0000007D">
      <w:pPr>
        <w:spacing w:line="360" w:lineRule="auto"/>
        <w:jc w:val="center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</w:rPr>
        <w:drawing>
          <wp:inline distB="114300" distT="114300" distL="114300" distR="114300">
            <wp:extent cx="5731200" cy="3632200"/>
            <wp:effectExtent b="0" l="0" r="0" t="0"/>
            <wp:docPr id="9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632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The function returns three matrices: counts (top), proportions (middle), and transformed proportions (bottom).</w:t>
      </w:r>
    </w:p>
    <w:p w:rsidR="00000000" w:rsidDel="00000000" w:rsidP="00000000" w:rsidRDefault="00000000" w:rsidRPr="00000000" w14:paraId="0000007F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Style w:val="Heading3"/>
        <w:jc w:val="both"/>
        <w:rPr/>
      </w:pPr>
      <w:bookmarkStart w:colFirst="0" w:colLast="0" w:name="_krq79qojaqo3" w:id="31"/>
      <w:bookmarkEnd w:id="31"/>
      <w:r w:rsidDel="00000000" w:rsidR="00000000" w:rsidRPr="00000000">
        <w:rPr>
          <w:rtl w:val="0"/>
        </w:rPr>
        <w:t xml:space="preserve">Empirical Bayes statistics</w:t>
      </w:r>
    </w:p>
    <w:p w:rsidR="00000000" w:rsidDel="00000000" w:rsidP="00000000" w:rsidRDefault="00000000" w:rsidRPr="00000000" w14:paraId="00000082">
      <w:pPr>
        <w:spacing w:line="360" w:lineRule="auto"/>
        <w:ind w:firstLine="357"/>
        <w:jc w:val="both"/>
        <w:rPr/>
      </w:pPr>
      <w:r w:rsidDel="00000000" w:rsidR="00000000" w:rsidRPr="00000000">
        <w:rPr>
          <w:rtl w:val="0"/>
        </w:rPr>
        <w:t xml:space="preserve">The empirical bayes method is implemented in scanpro as {ebayes}. To test significance, empirical bayes moderated t-test (for two conditions) and ANOVA (for more than two conditions) are used. Estimated p-values are then adjusted for multiple testing using the Benjamini-Hochberg method. The two functions {t_test} and {anova} are implemented as wrapper functions to perform the linear model fitting and empirical bayes statistics. The function {run_scanpro} is implemented to perform all steps.The function takes a cell proportion matrix and a design matrix as input. The output is p-values and adjusted p-values.</w:t>
      </w:r>
    </w:p>
    <w:p w:rsidR="00000000" w:rsidDel="00000000" w:rsidP="00000000" w:rsidRDefault="00000000" w:rsidRPr="00000000" w14:paraId="00000083">
      <w:pPr>
        <w:spacing w:line="360" w:lineRule="auto"/>
        <w:ind w:firstLine="35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360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276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The workflow of the {run_scanpro} function is: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1"/>
        <w:spacing w:line="360" w:lineRule="auto"/>
        <w:ind w:firstLine="357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731200" cy="4038600"/>
            <wp:effectExtent b="0" l="0" r="0" t="0"/>
            <wp:docPr id="1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03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Style w:val="Heading3"/>
        <w:jc w:val="both"/>
        <w:rPr/>
      </w:pPr>
      <w:bookmarkStart w:colFirst="0" w:colLast="0" w:name="_3klyd4rxmajw" w:id="32"/>
      <w:bookmarkEnd w:id="32"/>
      <w:r w:rsidDel="00000000" w:rsidR="00000000" w:rsidRPr="00000000">
        <w:rPr>
          <w:rtl w:val="0"/>
        </w:rPr>
        <w:t xml:space="preserve">Bootstrapping method to simulate replicates for unreplicated data</w:t>
      </w:r>
    </w:p>
    <w:p w:rsidR="00000000" w:rsidDel="00000000" w:rsidP="00000000" w:rsidRDefault="00000000" w:rsidRPr="00000000" w14:paraId="00000088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The bootstrapping method to generate replicates is implemented as {generate_reps} function. The function {sim_scanpro} is a wrapper function that performs the simulations. It also allows setting the number of simulations {n_sims} and the number of replicates {n_reps} manually. The default value for {n_sims} is 100 and for {n_reps} is 8. The bootstrapping without replacement method generates pseudo-replicates for each sample to run the scanpro method. The workflow of the {generate_reps} function is as follows:</w:t>
      </w:r>
    </w:p>
    <w:p w:rsidR="00000000" w:rsidDel="00000000" w:rsidP="00000000" w:rsidRDefault="00000000" w:rsidRPr="00000000" w14:paraId="00000089">
      <w:pPr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</w:rPr>
        <w:drawing>
          <wp:inline distB="114300" distT="114300" distL="114300" distR="114300">
            <wp:extent cx="5731200" cy="2717800"/>
            <wp:effectExtent b="0" l="0" r="0" t="0"/>
            <wp:docPr id="3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17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The adjusted p-values from {n_sims} runs are collected and the median is calculated as a final result: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1"/>
        <w:spacing w:line="36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i w:val="1"/>
        </w:rPr>
        <w:drawing>
          <wp:inline distB="114300" distT="114300" distL="114300" distR="114300">
            <wp:extent cx="5731200" cy="1765300"/>
            <wp:effectExtent b="0" l="0" r="0" t="0"/>
            <wp:docPr id="1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6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footerReference r:id="rId19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D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2.png"/><Relationship Id="rId10" Type="http://schemas.openxmlformats.org/officeDocument/2006/relationships/image" Target="media/image6.png"/><Relationship Id="rId13" Type="http://schemas.openxmlformats.org/officeDocument/2006/relationships/image" Target="media/image9.png"/><Relationship Id="rId12" Type="http://schemas.openxmlformats.org/officeDocument/2006/relationships/image" Target="media/image10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15" Type="http://schemas.openxmlformats.org/officeDocument/2006/relationships/image" Target="media/image5.png"/><Relationship Id="rId14" Type="http://schemas.openxmlformats.org/officeDocument/2006/relationships/image" Target="media/image8.png"/><Relationship Id="rId17" Type="http://schemas.openxmlformats.org/officeDocument/2006/relationships/image" Target="media/image13.png"/><Relationship Id="rId16" Type="http://schemas.openxmlformats.org/officeDocument/2006/relationships/image" Target="media/image1.png"/><Relationship Id="rId5" Type="http://schemas.openxmlformats.org/officeDocument/2006/relationships/styles" Target="styles.xml"/><Relationship Id="rId19" Type="http://schemas.openxmlformats.org/officeDocument/2006/relationships/footer" Target="footer1.xml"/><Relationship Id="rId6" Type="http://schemas.openxmlformats.org/officeDocument/2006/relationships/image" Target="media/image2.png"/><Relationship Id="rId18" Type="http://schemas.openxmlformats.org/officeDocument/2006/relationships/image" Target="media/image4.png"/><Relationship Id="rId7" Type="http://schemas.openxmlformats.org/officeDocument/2006/relationships/image" Target="media/image1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