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77917" w14:textId="54E7EF51" w:rsidR="005245BC" w:rsidRPr="00C30433" w:rsidRDefault="005245BC" w:rsidP="004D1682">
      <w:pPr>
        <w:spacing w:line="360" w:lineRule="auto"/>
        <w:rPr>
          <w:b/>
          <w:bCs/>
          <w:color w:val="000000" w:themeColor="text1"/>
          <w:sz w:val="28"/>
          <w:szCs w:val="28"/>
        </w:rPr>
      </w:pPr>
      <w:r w:rsidRPr="00C30433">
        <w:rPr>
          <w:b/>
          <w:bCs/>
          <w:color w:val="000000" w:themeColor="text1"/>
          <w:sz w:val="28"/>
          <w:szCs w:val="28"/>
        </w:rPr>
        <w:t>Supplementary Figures</w:t>
      </w:r>
    </w:p>
    <w:p w14:paraId="096DA031" w14:textId="77777777" w:rsidR="005245BC" w:rsidRPr="00C30433" w:rsidRDefault="005245BC" w:rsidP="004D1682">
      <w:pPr>
        <w:spacing w:line="360" w:lineRule="auto"/>
        <w:rPr>
          <w:color w:val="000000" w:themeColor="text1"/>
          <w:sz w:val="22"/>
          <w:szCs w:val="22"/>
        </w:rPr>
      </w:pPr>
      <w:r w:rsidRPr="00C30433">
        <w:rPr>
          <w:b/>
          <w:color w:val="000000" w:themeColor="text1"/>
          <w:sz w:val="22"/>
          <w:szCs w:val="22"/>
        </w:rPr>
        <w:t>Figure S1</w:t>
      </w:r>
      <w:r w:rsidRPr="00C30433">
        <w:rPr>
          <w:color w:val="000000" w:themeColor="text1"/>
          <w:sz w:val="22"/>
          <w:szCs w:val="22"/>
        </w:rPr>
        <w:t xml:space="preserve">. Aggregate plots of chromatin features profiled by differential sensitivity </w:t>
      </w:r>
      <w:proofErr w:type="spellStart"/>
      <w:r w:rsidRPr="00C30433">
        <w:rPr>
          <w:color w:val="000000" w:themeColor="text1"/>
          <w:sz w:val="22"/>
          <w:szCs w:val="22"/>
        </w:rPr>
        <w:t>MNase</w:t>
      </w:r>
      <w:proofErr w:type="spellEnd"/>
      <w:r w:rsidRPr="00C30433">
        <w:rPr>
          <w:color w:val="000000" w:themeColor="text1"/>
          <w:sz w:val="22"/>
          <w:szCs w:val="22"/>
        </w:rPr>
        <w:t xml:space="preserve">-seq. For each species, genome-wide nucleosome occupancy by heavy (NO_H) and light (NO_L) </w:t>
      </w:r>
      <w:proofErr w:type="spellStart"/>
      <w:r w:rsidRPr="00C30433">
        <w:rPr>
          <w:color w:val="000000" w:themeColor="text1"/>
          <w:sz w:val="22"/>
          <w:szCs w:val="22"/>
        </w:rPr>
        <w:t>MNase</w:t>
      </w:r>
      <w:proofErr w:type="spellEnd"/>
      <w:r w:rsidRPr="00C30433">
        <w:rPr>
          <w:color w:val="000000" w:themeColor="text1"/>
          <w:sz w:val="22"/>
          <w:szCs w:val="22"/>
        </w:rPr>
        <w:t xml:space="preserve"> digestion, differential nuclease sensitivity (DNS), and subnucleosomal particle occupancy (SPO) were plotted over scaled gene regions.  The scaled gene region encompasses 1.5 kb upstream of the transcription start site (TSS), the metagene scaled to 3 kb, and 1.5 kb downstream of the transcription end site (TES). Gene groups Q1 to Q4 represent the increasing expression quantiles, and Q0 represents the group of non-expressed genes. </w:t>
      </w:r>
    </w:p>
    <w:p w14:paraId="4DA72582" w14:textId="77777777" w:rsidR="005245BC" w:rsidRPr="00C30433" w:rsidRDefault="005245BC" w:rsidP="004D1682">
      <w:pPr>
        <w:spacing w:line="360" w:lineRule="auto"/>
        <w:rPr>
          <w:color w:val="000000" w:themeColor="text1"/>
          <w:sz w:val="22"/>
          <w:szCs w:val="22"/>
        </w:rPr>
      </w:pPr>
      <w:r w:rsidRPr="00C30433">
        <w:rPr>
          <w:b/>
          <w:color w:val="000000" w:themeColor="text1"/>
          <w:sz w:val="22"/>
          <w:szCs w:val="22"/>
        </w:rPr>
        <w:t>Figure S2</w:t>
      </w:r>
      <w:r w:rsidRPr="00C30433">
        <w:rPr>
          <w:color w:val="000000" w:themeColor="text1"/>
          <w:sz w:val="22"/>
          <w:szCs w:val="22"/>
        </w:rPr>
        <w:t xml:space="preserve">. Aggregate plots of chromatin features profiled by ATAC-seq and DNase-seq. </w:t>
      </w:r>
      <w:r w:rsidRPr="00C30433">
        <w:rPr>
          <w:b/>
          <w:color w:val="000000" w:themeColor="text1"/>
          <w:sz w:val="22"/>
          <w:szCs w:val="22"/>
        </w:rPr>
        <w:t>A</w:t>
      </w:r>
      <w:r w:rsidRPr="00C30433">
        <w:rPr>
          <w:color w:val="000000" w:themeColor="text1"/>
          <w:sz w:val="22"/>
          <w:szCs w:val="22"/>
        </w:rPr>
        <w:t xml:space="preserve">. Gene groups Q0-Q4 were categorized using young leaf expression data. </w:t>
      </w:r>
      <w:r w:rsidRPr="00C30433">
        <w:rPr>
          <w:b/>
          <w:color w:val="000000" w:themeColor="text1"/>
          <w:sz w:val="22"/>
          <w:szCs w:val="22"/>
        </w:rPr>
        <w:t>B</w:t>
      </w:r>
      <w:r w:rsidRPr="00C30433">
        <w:rPr>
          <w:color w:val="000000" w:themeColor="text1"/>
          <w:sz w:val="22"/>
          <w:szCs w:val="22"/>
        </w:rPr>
        <w:t xml:space="preserve">. Gene groups Q0-Q4 were categorized using mature leaf expression data. </w:t>
      </w:r>
    </w:p>
    <w:p w14:paraId="07B4D688" w14:textId="4F4BFFA8" w:rsidR="005245BC" w:rsidRPr="00C30433" w:rsidRDefault="005245BC" w:rsidP="004D1682">
      <w:pPr>
        <w:spacing w:line="360" w:lineRule="auto"/>
        <w:rPr>
          <w:color w:val="000000" w:themeColor="text1"/>
          <w:sz w:val="22"/>
          <w:szCs w:val="22"/>
        </w:rPr>
      </w:pPr>
      <w:r w:rsidRPr="00C30433">
        <w:rPr>
          <w:b/>
          <w:color w:val="000000" w:themeColor="text1"/>
          <w:sz w:val="22"/>
          <w:szCs w:val="22"/>
        </w:rPr>
        <w:t>Figure S3</w:t>
      </w:r>
      <w:r w:rsidRPr="00C30433">
        <w:rPr>
          <w:color w:val="000000" w:themeColor="text1"/>
          <w:sz w:val="22"/>
          <w:szCs w:val="22"/>
        </w:rPr>
        <w:t xml:space="preserve">. Comparing various chromatin profiles in </w:t>
      </w:r>
      <w:r w:rsidRPr="00C30433">
        <w:rPr>
          <w:i/>
          <w:color w:val="000000" w:themeColor="text1"/>
          <w:sz w:val="22"/>
          <w:szCs w:val="22"/>
        </w:rPr>
        <w:t xml:space="preserve">G. </w:t>
      </w:r>
      <w:proofErr w:type="spellStart"/>
      <w:r w:rsidRPr="00C30433">
        <w:rPr>
          <w:i/>
          <w:color w:val="000000" w:themeColor="text1"/>
          <w:sz w:val="22"/>
          <w:szCs w:val="22"/>
        </w:rPr>
        <w:t>raimondii</w:t>
      </w:r>
      <w:proofErr w:type="spellEnd"/>
      <w:r w:rsidRPr="00C30433">
        <w:rPr>
          <w:color w:val="000000" w:themeColor="text1"/>
          <w:sz w:val="22"/>
          <w:szCs w:val="22"/>
        </w:rPr>
        <w:t xml:space="preserve">. </w:t>
      </w:r>
      <w:r w:rsidRPr="00C30433">
        <w:rPr>
          <w:b/>
          <w:color w:val="000000" w:themeColor="text1"/>
          <w:sz w:val="22"/>
          <w:szCs w:val="22"/>
        </w:rPr>
        <w:t>A</w:t>
      </w:r>
      <w:r w:rsidRPr="00C30433">
        <w:rPr>
          <w:color w:val="000000" w:themeColor="text1"/>
          <w:sz w:val="22"/>
          <w:szCs w:val="22"/>
        </w:rPr>
        <w:t xml:space="preserve">. PCA analysis and eigenvalues. B. Heatmap and clustering based on Pearson’s correlation coefficients. ATAC-seq and DNase-seq were most correlated with each other (Pearson’s </w:t>
      </w:r>
      <w:r w:rsidRPr="00C30433">
        <w:rPr>
          <w:i/>
          <w:color w:val="000000" w:themeColor="text1"/>
          <w:sz w:val="22"/>
          <w:szCs w:val="22"/>
        </w:rPr>
        <w:t>r</w:t>
      </w:r>
      <w:r w:rsidRPr="00C30433">
        <w:rPr>
          <w:color w:val="000000" w:themeColor="text1"/>
          <w:sz w:val="22"/>
          <w:szCs w:val="22"/>
        </w:rPr>
        <w:t xml:space="preserve"> = 0.63-0.74), followed by DNS versus SPO (</w:t>
      </w:r>
      <w:r w:rsidRPr="00C30433">
        <w:rPr>
          <w:i/>
          <w:color w:val="000000" w:themeColor="text1"/>
          <w:sz w:val="22"/>
          <w:szCs w:val="22"/>
        </w:rPr>
        <w:t>r</w:t>
      </w:r>
      <w:r w:rsidRPr="00C30433">
        <w:rPr>
          <w:color w:val="000000" w:themeColor="text1"/>
          <w:sz w:val="22"/>
          <w:szCs w:val="22"/>
        </w:rPr>
        <w:t xml:space="preserve"> = 0.53-0.69). Despite the tissue difference, SPO signals were also well correlated with the DNase-seq results (</w:t>
      </w:r>
      <w:r w:rsidRPr="00C30433">
        <w:rPr>
          <w:i/>
          <w:color w:val="000000" w:themeColor="text1"/>
          <w:sz w:val="22"/>
          <w:szCs w:val="22"/>
        </w:rPr>
        <w:t>r</w:t>
      </w:r>
      <w:r w:rsidRPr="00C30433">
        <w:rPr>
          <w:color w:val="000000" w:themeColor="text1"/>
          <w:sz w:val="22"/>
          <w:szCs w:val="22"/>
        </w:rPr>
        <w:t xml:space="preserve"> = 0.46-0.52). The lowest correlation was observed between DNS and ATAC-seq (</w:t>
      </w:r>
      <w:r w:rsidRPr="00C30433">
        <w:rPr>
          <w:i/>
          <w:color w:val="000000" w:themeColor="text1"/>
          <w:sz w:val="22"/>
          <w:szCs w:val="22"/>
        </w:rPr>
        <w:t>r</w:t>
      </w:r>
      <w:r w:rsidRPr="00C30433">
        <w:rPr>
          <w:color w:val="000000" w:themeColor="text1"/>
          <w:sz w:val="22"/>
          <w:szCs w:val="22"/>
        </w:rPr>
        <w:t xml:space="preserve"> = 0.12-0.14). </w:t>
      </w:r>
    </w:p>
    <w:p w14:paraId="3F96CE89" w14:textId="77777777" w:rsidR="005245BC" w:rsidRPr="00C30433" w:rsidRDefault="005245BC" w:rsidP="004D1682">
      <w:pPr>
        <w:spacing w:line="360" w:lineRule="auto"/>
        <w:rPr>
          <w:color w:val="000000" w:themeColor="text1"/>
          <w:sz w:val="22"/>
          <w:szCs w:val="22"/>
        </w:rPr>
      </w:pPr>
      <w:r w:rsidRPr="00C30433">
        <w:rPr>
          <w:b/>
          <w:color w:val="000000" w:themeColor="text1"/>
          <w:sz w:val="22"/>
          <w:szCs w:val="22"/>
        </w:rPr>
        <w:t>Figure S4</w:t>
      </w:r>
      <w:r w:rsidRPr="00C30433">
        <w:rPr>
          <w:bCs/>
          <w:color w:val="000000" w:themeColor="text1"/>
          <w:sz w:val="22"/>
          <w:szCs w:val="22"/>
        </w:rPr>
        <w:t>.</w:t>
      </w:r>
      <w:r w:rsidRPr="00C30433">
        <w:rPr>
          <w:b/>
          <w:color w:val="000000" w:themeColor="text1"/>
          <w:sz w:val="22"/>
          <w:szCs w:val="22"/>
        </w:rPr>
        <w:t xml:space="preserve"> </w:t>
      </w:r>
      <w:proofErr w:type="spellStart"/>
      <w:r w:rsidRPr="00C30433">
        <w:rPr>
          <w:color w:val="000000" w:themeColor="text1"/>
          <w:sz w:val="22"/>
          <w:szCs w:val="22"/>
        </w:rPr>
        <w:t>Phasograms</w:t>
      </w:r>
      <w:proofErr w:type="spellEnd"/>
      <w:r w:rsidRPr="00C30433">
        <w:rPr>
          <w:color w:val="000000" w:themeColor="text1"/>
          <w:sz w:val="22"/>
          <w:szCs w:val="22"/>
        </w:rPr>
        <w:t xml:space="preserve"> of nucleosomes in diploid, hybrid, and allopolyploid cotton. </w:t>
      </w:r>
      <w:proofErr w:type="spellStart"/>
      <w:r w:rsidRPr="00C30433">
        <w:rPr>
          <w:color w:val="000000" w:themeColor="text1"/>
          <w:sz w:val="22"/>
          <w:szCs w:val="22"/>
        </w:rPr>
        <w:t>Phasograms</w:t>
      </w:r>
      <w:proofErr w:type="spellEnd"/>
      <w:r w:rsidRPr="00C30433">
        <w:rPr>
          <w:color w:val="000000" w:themeColor="text1"/>
          <w:sz w:val="22"/>
          <w:szCs w:val="22"/>
        </w:rPr>
        <w:t xml:space="preserve"> are histograms of distances between the midpoints of neighboring nucleosome cores (i.e., center of paired-end reads), which reveal consistent spacing of positioned nucleosomes by exhibiting a wave-like pattern with a period that represents genome-average </w:t>
      </w:r>
      <w:proofErr w:type="spellStart"/>
      <w:r w:rsidRPr="00C30433">
        <w:rPr>
          <w:color w:val="000000" w:themeColor="text1"/>
          <w:sz w:val="22"/>
          <w:szCs w:val="22"/>
        </w:rPr>
        <w:t>internucleosomal</w:t>
      </w:r>
      <w:proofErr w:type="spellEnd"/>
      <w:r w:rsidRPr="00C30433">
        <w:rPr>
          <w:color w:val="000000" w:themeColor="text1"/>
          <w:sz w:val="22"/>
          <w:szCs w:val="22"/>
        </w:rPr>
        <w:t xml:space="preserve"> spacing. The x-axis shows the range of recorded phases in base pair (bp). The y-axis shows frequencies of corresponding phases by read counts. Inset presents a linear fit to the positions of the phase peaks, where the slope represents the estimated nucleosome repeat length (NRL). For example, in the upper left panel, the NRL was estimated 198 bp in A</w:t>
      </w:r>
      <w:r w:rsidRPr="00C30433">
        <w:rPr>
          <w:color w:val="000000" w:themeColor="text1"/>
          <w:sz w:val="22"/>
          <w:szCs w:val="22"/>
          <w:vertAlign w:val="subscript"/>
        </w:rPr>
        <w:t>2</w:t>
      </w:r>
      <w:r w:rsidRPr="00C30433">
        <w:rPr>
          <w:color w:val="000000" w:themeColor="text1"/>
          <w:sz w:val="22"/>
          <w:szCs w:val="22"/>
        </w:rPr>
        <w:t xml:space="preserve">.  </w:t>
      </w:r>
    </w:p>
    <w:p w14:paraId="17BBCEF4" w14:textId="437EB4A8" w:rsidR="005245BC" w:rsidRPr="00C30433" w:rsidRDefault="005245BC" w:rsidP="004D1682">
      <w:pPr>
        <w:spacing w:line="360" w:lineRule="auto"/>
        <w:rPr>
          <w:color w:val="000000" w:themeColor="text1"/>
          <w:sz w:val="22"/>
          <w:szCs w:val="22"/>
        </w:rPr>
      </w:pPr>
      <w:r w:rsidRPr="00C30433">
        <w:rPr>
          <w:b/>
          <w:color w:val="000000" w:themeColor="text1"/>
          <w:sz w:val="22"/>
          <w:szCs w:val="22"/>
        </w:rPr>
        <w:t>Figure S5</w:t>
      </w:r>
      <w:r w:rsidRPr="00C30433">
        <w:rPr>
          <w:bCs/>
          <w:color w:val="000000" w:themeColor="text1"/>
          <w:sz w:val="22"/>
          <w:szCs w:val="22"/>
        </w:rPr>
        <w:t>.</w:t>
      </w:r>
      <w:r w:rsidRPr="00C30433">
        <w:rPr>
          <w:b/>
          <w:color w:val="000000" w:themeColor="text1"/>
          <w:sz w:val="22"/>
          <w:szCs w:val="22"/>
        </w:rPr>
        <w:t xml:space="preserve"> </w:t>
      </w:r>
      <w:r w:rsidRPr="00C30433">
        <w:rPr>
          <w:color w:val="000000" w:themeColor="text1"/>
          <w:sz w:val="22"/>
          <w:szCs w:val="22"/>
        </w:rPr>
        <w:t xml:space="preserve">XSTREME </w:t>
      </w:r>
      <w:r w:rsidRPr="00C30433">
        <w:rPr>
          <w:i/>
          <w:color w:val="000000" w:themeColor="text1"/>
          <w:sz w:val="22"/>
          <w:szCs w:val="22"/>
        </w:rPr>
        <w:t xml:space="preserve">de novo </w:t>
      </w:r>
      <w:r w:rsidRPr="00C30433">
        <w:rPr>
          <w:color w:val="000000" w:themeColor="text1"/>
          <w:sz w:val="22"/>
          <w:szCs w:val="22"/>
        </w:rPr>
        <w:t xml:space="preserve">motif discovery. A total of 184 motifs were enriched in 1 kb promoter </w:t>
      </w:r>
      <w:proofErr w:type="spellStart"/>
      <w:r w:rsidRPr="00C30433">
        <w:rPr>
          <w:color w:val="000000" w:themeColor="text1"/>
          <w:sz w:val="22"/>
          <w:szCs w:val="22"/>
        </w:rPr>
        <w:t>pACRs</w:t>
      </w:r>
      <w:proofErr w:type="spellEnd"/>
      <w:r w:rsidRPr="00C30433">
        <w:rPr>
          <w:color w:val="000000" w:themeColor="text1"/>
          <w:sz w:val="22"/>
          <w:szCs w:val="22"/>
        </w:rPr>
        <w:t>: A</w:t>
      </w:r>
      <w:r w:rsidRPr="00C30433">
        <w:rPr>
          <w:color w:val="000000" w:themeColor="text1"/>
          <w:sz w:val="22"/>
          <w:szCs w:val="22"/>
          <w:vertAlign w:val="subscript"/>
        </w:rPr>
        <w:t>2</w:t>
      </w:r>
      <w:r w:rsidRPr="00C30433">
        <w:rPr>
          <w:color w:val="000000" w:themeColor="text1"/>
          <w:sz w:val="22"/>
          <w:szCs w:val="22"/>
        </w:rPr>
        <w:t xml:space="preserve"> = 25, D</w:t>
      </w:r>
      <w:r w:rsidRPr="00C30433">
        <w:rPr>
          <w:color w:val="000000" w:themeColor="text1"/>
          <w:sz w:val="22"/>
          <w:szCs w:val="22"/>
          <w:vertAlign w:val="subscript"/>
        </w:rPr>
        <w:t>5</w:t>
      </w:r>
      <w:r w:rsidRPr="00C30433">
        <w:rPr>
          <w:color w:val="000000" w:themeColor="text1"/>
          <w:sz w:val="22"/>
          <w:szCs w:val="22"/>
        </w:rPr>
        <w:t xml:space="preserve"> = 36; F</w:t>
      </w:r>
      <w:proofErr w:type="gramStart"/>
      <w:r w:rsidRPr="00C30433">
        <w:rPr>
          <w:color w:val="000000" w:themeColor="text1"/>
          <w:sz w:val="22"/>
          <w:szCs w:val="22"/>
          <w:vertAlign w:val="subscript"/>
        </w:rPr>
        <w:t>1</w:t>
      </w:r>
      <w:r w:rsidRPr="00C30433">
        <w:rPr>
          <w:color w:val="000000" w:themeColor="text1"/>
          <w:sz w:val="22"/>
          <w:szCs w:val="22"/>
        </w:rPr>
        <w:t>:At</w:t>
      </w:r>
      <w:proofErr w:type="gramEnd"/>
      <w:r w:rsidRPr="00C30433">
        <w:rPr>
          <w:color w:val="000000" w:themeColor="text1"/>
          <w:sz w:val="22"/>
          <w:szCs w:val="22"/>
        </w:rPr>
        <w:t xml:space="preserve"> = 3, F</w:t>
      </w:r>
      <w:r w:rsidRPr="00C30433">
        <w:rPr>
          <w:color w:val="000000" w:themeColor="text1"/>
          <w:sz w:val="22"/>
          <w:szCs w:val="22"/>
          <w:vertAlign w:val="subscript"/>
        </w:rPr>
        <w:t>1</w:t>
      </w:r>
      <w:r w:rsidRPr="00C30433">
        <w:rPr>
          <w:color w:val="000000" w:themeColor="text1"/>
          <w:sz w:val="22"/>
          <w:szCs w:val="22"/>
        </w:rPr>
        <w:t>:Dt  = 28; AD</w:t>
      </w:r>
      <w:r w:rsidRPr="00C30433">
        <w:rPr>
          <w:color w:val="000000" w:themeColor="text1"/>
          <w:sz w:val="22"/>
          <w:szCs w:val="22"/>
          <w:vertAlign w:val="subscript"/>
        </w:rPr>
        <w:t>1</w:t>
      </w:r>
      <w:r w:rsidRPr="00C30433">
        <w:rPr>
          <w:color w:val="000000" w:themeColor="text1"/>
          <w:sz w:val="22"/>
          <w:szCs w:val="22"/>
        </w:rPr>
        <w:t>:At = 47, AD</w:t>
      </w:r>
      <w:r w:rsidRPr="00C30433">
        <w:rPr>
          <w:color w:val="000000" w:themeColor="text1"/>
          <w:sz w:val="22"/>
          <w:szCs w:val="22"/>
          <w:vertAlign w:val="subscript"/>
        </w:rPr>
        <w:t>1</w:t>
      </w:r>
      <w:r w:rsidRPr="00C30433">
        <w:rPr>
          <w:color w:val="000000" w:themeColor="text1"/>
          <w:sz w:val="22"/>
          <w:szCs w:val="22"/>
        </w:rPr>
        <w:t xml:space="preserve">:Dt = 45. A global hierarchical tree was built by RSAT matrix-clustering for visualization and to inspect redundancy between similar motifs, which separated 184 motifs into 48 clusters. Each cluster has a different branch color from neighboring clusters. </w:t>
      </w:r>
    </w:p>
    <w:p w14:paraId="1AFF364B" w14:textId="77777777" w:rsidR="005245BC" w:rsidRPr="00C30433" w:rsidRDefault="005245BC" w:rsidP="004D1682">
      <w:pPr>
        <w:spacing w:line="360" w:lineRule="auto"/>
        <w:rPr>
          <w:color w:val="000000" w:themeColor="text1"/>
          <w:sz w:val="22"/>
          <w:szCs w:val="22"/>
        </w:rPr>
      </w:pPr>
      <w:r w:rsidRPr="00C30433">
        <w:rPr>
          <w:b/>
          <w:bCs/>
          <w:color w:val="000000" w:themeColor="text1"/>
          <w:sz w:val="22"/>
          <w:szCs w:val="22"/>
        </w:rPr>
        <w:t>Figure S6</w:t>
      </w:r>
      <w:r w:rsidRPr="00C30433">
        <w:rPr>
          <w:color w:val="000000" w:themeColor="text1"/>
          <w:sz w:val="22"/>
          <w:szCs w:val="22"/>
        </w:rPr>
        <w:t>. Distribution of TEs relative to transcription start sites in A- and D- cotton genomes.</w:t>
      </w:r>
    </w:p>
    <w:p w14:paraId="4BD291F1" w14:textId="77777777" w:rsidR="005245BC" w:rsidRPr="00C30433" w:rsidRDefault="005245BC" w:rsidP="004D1682">
      <w:pPr>
        <w:spacing w:line="360" w:lineRule="auto"/>
        <w:rPr>
          <w:color w:val="000000" w:themeColor="text1"/>
          <w:sz w:val="22"/>
          <w:szCs w:val="22"/>
        </w:rPr>
      </w:pPr>
      <w:r w:rsidRPr="00C30433">
        <w:rPr>
          <w:b/>
          <w:bCs/>
          <w:color w:val="000000" w:themeColor="text1"/>
          <w:sz w:val="22"/>
          <w:szCs w:val="22"/>
        </w:rPr>
        <w:t>Figure S7</w:t>
      </w:r>
      <w:r w:rsidRPr="00C30433">
        <w:rPr>
          <w:color w:val="000000" w:themeColor="text1"/>
          <w:sz w:val="22"/>
          <w:szCs w:val="22"/>
        </w:rPr>
        <w:t xml:space="preserve">. Sizes of TE superfamilies in different genomic regions. </w:t>
      </w:r>
    </w:p>
    <w:p w14:paraId="07190FF8" w14:textId="606481D9" w:rsidR="005245BC" w:rsidRPr="00C30433" w:rsidRDefault="005245BC" w:rsidP="004D1682">
      <w:pPr>
        <w:spacing w:line="360" w:lineRule="auto"/>
        <w:rPr>
          <w:color w:val="000000" w:themeColor="text1"/>
          <w:sz w:val="22"/>
          <w:szCs w:val="22"/>
        </w:rPr>
      </w:pPr>
      <w:r w:rsidRPr="00C30433">
        <w:rPr>
          <w:b/>
          <w:bCs/>
          <w:color w:val="000000" w:themeColor="text1"/>
          <w:sz w:val="22"/>
          <w:szCs w:val="22"/>
        </w:rPr>
        <w:t>Figure S8</w:t>
      </w:r>
      <w:r w:rsidRPr="00C30433">
        <w:rPr>
          <w:color w:val="000000" w:themeColor="text1"/>
          <w:sz w:val="22"/>
          <w:szCs w:val="22"/>
        </w:rPr>
        <w:t>. Heatmap and clustering of expressed TE families.</w:t>
      </w:r>
    </w:p>
    <w:p w14:paraId="67865EBB" w14:textId="77777777" w:rsidR="005245BC" w:rsidRPr="00C30433" w:rsidRDefault="005245BC" w:rsidP="004D1682">
      <w:pPr>
        <w:spacing w:line="360" w:lineRule="auto"/>
        <w:rPr>
          <w:color w:val="000000" w:themeColor="text1"/>
          <w:sz w:val="22"/>
          <w:szCs w:val="22"/>
        </w:rPr>
      </w:pPr>
      <w:r w:rsidRPr="00C30433">
        <w:rPr>
          <w:b/>
          <w:color w:val="000000" w:themeColor="text1"/>
          <w:sz w:val="22"/>
          <w:szCs w:val="22"/>
        </w:rPr>
        <w:lastRenderedPageBreak/>
        <w:t>Figure S9</w:t>
      </w:r>
      <w:r w:rsidRPr="00C30433">
        <w:rPr>
          <w:bCs/>
          <w:color w:val="000000" w:themeColor="text1"/>
          <w:sz w:val="22"/>
          <w:szCs w:val="22"/>
        </w:rPr>
        <w:t xml:space="preserve">. </w:t>
      </w:r>
      <w:r w:rsidRPr="00C30433">
        <w:rPr>
          <w:color w:val="000000" w:themeColor="text1"/>
          <w:sz w:val="22"/>
          <w:szCs w:val="22"/>
        </w:rPr>
        <w:t xml:space="preserve">Promoter accessibility of all, OG, and </w:t>
      </w:r>
      <w:proofErr w:type="spellStart"/>
      <w:r w:rsidRPr="00C30433">
        <w:rPr>
          <w:color w:val="000000" w:themeColor="text1"/>
          <w:sz w:val="22"/>
          <w:szCs w:val="22"/>
        </w:rPr>
        <w:t>nonOG</w:t>
      </w:r>
      <w:proofErr w:type="spellEnd"/>
      <w:r w:rsidRPr="00C30433">
        <w:rPr>
          <w:color w:val="000000" w:themeColor="text1"/>
          <w:sz w:val="22"/>
          <w:szCs w:val="22"/>
        </w:rPr>
        <w:t xml:space="preserve"> genes in diploid and allopolyploid cottons. Aggregation plots of DNS signals around TSS were present in diploids (top row), F</w:t>
      </w:r>
      <w:r w:rsidRPr="00C30433">
        <w:rPr>
          <w:color w:val="000000" w:themeColor="text1"/>
          <w:sz w:val="22"/>
          <w:szCs w:val="22"/>
          <w:vertAlign w:val="subscript"/>
        </w:rPr>
        <w:t>1</w:t>
      </w:r>
      <w:r w:rsidRPr="00C30433">
        <w:rPr>
          <w:b/>
          <w:i/>
          <w:color w:val="000000" w:themeColor="text1"/>
          <w:sz w:val="22"/>
          <w:szCs w:val="22"/>
        </w:rPr>
        <w:t xml:space="preserve"> </w:t>
      </w:r>
      <w:r w:rsidRPr="00C30433">
        <w:rPr>
          <w:color w:val="000000" w:themeColor="text1"/>
          <w:sz w:val="22"/>
          <w:szCs w:val="22"/>
        </w:rPr>
        <w:t>(middle two rows), and AD</w:t>
      </w:r>
      <w:r w:rsidRPr="00C30433">
        <w:rPr>
          <w:color w:val="000000" w:themeColor="text1"/>
          <w:sz w:val="22"/>
          <w:szCs w:val="22"/>
          <w:vertAlign w:val="subscript"/>
        </w:rPr>
        <w:t>1</w:t>
      </w:r>
      <w:r w:rsidRPr="00C30433">
        <w:rPr>
          <w:b/>
          <w:i/>
          <w:color w:val="000000" w:themeColor="text1"/>
          <w:sz w:val="22"/>
          <w:szCs w:val="22"/>
        </w:rPr>
        <w:t xml:space="preserve"> </w:t>
      </w:r>
      <w:r w:rsidRPr="00C30433">
        <w:rPr>
          <w:color w:val="000000" w:themeColor="text1"/>
          <w:sz w:val="22"/>
          <w:szCs w:val="22"/>
        </w:rPr>
        <w:t xml:space="preserve">(bottom row).  </w:t>
      </w:r>
    </w:p>
    <w:p w14:paraId="28ED0A45" w14:textId="77777777" w:rsidR="005245BC" w:rsidRPr="00C30433" w:rsidRDefault="005245BC" w:rsidP="004D1682">
      <w:pPr>
        <w:spacing w:line="360" w:lineRule="auto"/>
        <w:rPr>
          <w:color w:val="000000" w:themeColor="text1"/>
          <w:sz w:val="22"/>
          <w:szCs w:val="22"/>
        </w:rPr>
      </w:pPr>
      <w:r w:rsidRPr="00C30433">
        <w:rPr>
          <w:b/>
          <w:color w:val="000000" w:themeColor="text1"/>
          <w:sz w:val="22"/>
          <w:szCs w:val="22"/>
        </w:rPr>
        <w:t>Figure S10</w:t>
      </w:r>
      <w:r w:rsidRPr="00C30433">
        <w:rPr>
          <w:bCs/>
          <w:color w:val="000000" w:themeColor="text1"/>
          <w:sz w:val="22"/>
          <w:szCs w:val="22"/>
        </w:rPr>
        <w:t xml:space="preserve">. </w:t>
      </w:r>
      <w:r w:rsidRPr="00C30433">
        <w:rPr>
          <w:color w:val="000000" w:themeColor="text1"/>
          <w:sz w:val="22"/>
          <w:szCs w:val="22"/>
        </w:rPr>
        <w:t>A- and D-genome promoter accessibility based on A</w:t>
      </w:r>
      <w:r w:rsidRPr="00C30433">
        <w:rPr>
          <w:color w:val="000000" w:themeColor="text1"/>
          <w:sz w:val="22"/>
          <w:szCs w:val="22"/>
          <w:vertAlign w:val="subscript"/>
        </w:rPr>
        <w:t>2</w:t>
      </w:r>
      <w:r w:rsidRPr="00C30433">
        <w:rPr>
          <w:color w:val="000000" w:themeColor="text1"/>
          <w:sz w:val="22"/>
          <w:szCs w:val="22"/>
        </w:rPr>
        <w:t xml:space="preserve"> and D</w:t>
      </w:r>
      <w:r w:rsidRPr="00C30433">
        <w:rPr>
          <w:color w:val="000000" w:themeColor="text1"/>
          <w:sz w:val="22"/>
          <w:szCs w:val="22"/>
          <w:vertAlign w:val="subscript"/>
        </w:rPr>
        <w:t>5</w:t>
      </w:r>
      <w:r w:rsidRPr="00C30433">
        <w:rPr>
          <w:color w:val="000000" w:themeColor="text1"/>
          <w:sz w:val="22"/>
          <w:szCs w:val="22"/>
        </w:rPr>
        <w:t xml:space="preserve"> references, respectively.  </w:t>
      </w:r>
    </w:p>
    <w:p w14:paraId="55601CC5" w14:textId="4F559EC9" w:rsidR="005245BC" w:rsidRPr="00C30433" w:rsidRDefault="005245BC" w:rsidP="004D1682">
      <w:pPr>
        <w:spacing w:line="360" w:lineRule="auto"/>
        <w:rPr>
          <w:color w:val="000000" w:themeColor="text1"/>
          <w:sz w:val="22"/>
          <w:szCs w:val="22"/>
        </w:rPr>
      </w:pPr>
      <w:r w:rsidRPr="00C30433">
        <w:rPr>
          <w:b/>
          <w:color w:val="000000" w:themeColor="text1"/>
          <w:sz w:val="22"/>
          <w:szCs w:val="22"/>
        </w:rPr>
        <w:t>Figure S11</w:t>
      </w:r>
      <w:r w:rsidRPr="00C30433">
        <w:rPr>
          <w:color w:val="000000" w:themeColor="text1"/>
          <w:sz w:val="22"/>
          <w:szCs w:val="22"/>
        </w:rPr>
        <w:t>. A- and D-genome promoter accessibility based on AD</w:t>
      </w:r>
      <w:r w:rsidRPr="00C30433">
        <w:rPr>
          <w:color w:val="000000" w:themeColor="text1"/>
          <w:sz w:val="22"/>
          <w:szCs w:val="22"/>
          <w:vertAlign w:val="subscript"/>
        </w:rPr>
        <w:t>1</w:t>
      </w:r>
      <w:r w:rsidRPr="00C30433">
        <w:rPr>
          <w:color w:val="000000" w:themeColor="text1"/>
          <w:sz w:val="22"/>
          <w:szCs w:val="22"/>
        </w:rPr>
        <w:t xml:space="preserve"> references, respectively. </w:t>
      </w:r>
      <w:r w:rsidRPr="00C30433">
        <w:rPr>
          <w:b/>
          <w:color w:val="000000" w:themeColor="text1"/>
          <w:sz w:val="22"/>
          <w:szCs w:val="22"/>
        </w:rPr>
        <w:t xml:space="preserve">A. </w:t>
      </w:r>
      <w:r w:rsidRPr="00C30433">
        <w:rPr>
          <w:color w:val="000000" w:themeColor="text1"/>
          <w:sz w:val="22"/>
          <w:szCs w:val="22"/>
        </w:rPr>
        <w:t>HEB and impacts of genome evolution.</w:t>
      </w:r>
      <w:r w:rsidRPr="00C30433">
        <w:rPr>
          <w:b/>
          <w:color w:val="000000" w:themeColor="text1"/>
          <w:sz w:val="22"/>
          <w:szCs w:val="22"/>
        </w:rPr>
        <w:t xml:space="preserve"> B. </w:t>
      </w:r>
      <w:r w:rsidRPr="00C30433">
        <w:rPr>
          <w:color w:val="000000" w:themeColor="text1"/>
          <w:sz w:val="22"/>
          <w:szCs w:val="22"/>
        </w:rPr>
        <w:t>nonadditive expression in F</w:t>
      </w:r>
      <w:r w:rsidRPr="00C30433">
        <w:rPr>
          <w:color w:val="000000" w:themeColor="text1"/>
          <w:sz w:val="22"/>
          <w:szCs w:val="22"/>
          <w:vertAlign w:val="subscript"/>
        </w:rPr>
        <w:t>1</w:t>
      </w:r>
      <w:r w:rsidRPr="00C30433">
        <w:rPr>
          <w:color w:val="000000" w:themeColor="text1"/>
          <w:sz w:val="22"/>
          <w:szCs w:val="22"/>
        </w:rPr>
        <w:t xml:space="preserve">. </w:t>
      </w:r>
      <w:r w:rsidRPr="00C30433">
        <w:rPr>
          <w:b/>
          <w:color w:val="000000" w:themeColor="text1"/>
          <w:sz w:val="22"/>
          <w:szCs w:val="22"/>
        </w:rPr>
        <w:t>C</w:t>
      </w:r>
      <w:r w:rsidRPr="00C30433">
        <w:rPr>
          <w:color w:val="000000" w:themeColor="text1"/>
          <w:sz w:val="22"/>
          <w:szCs w:val="22"/>
        </w:rPr>
        <w:t>. nonadditive expression in AD</w:t>
      </w:r>
      <w:r w:rsidRPr="00C30433">
        <w:rPr>
          <w:color w:val="000000" w:themeColor="text1"/>
          <w:sz w:val="22"/>
          <w:szCs w:val="22"/>
          <w:vertAlign w:val="subscript"/>
        </w:rPr>
        <w:t>1</w:t>
      </w:r>
      <w:r w:rsidRPr="00C30433">
        <w:rPr>
          <w:color w:val="000000" w:themeColor="text1"/>
          <w:sz w:val="22"/>
          <w:szCs w:val="22"/>
        </w:rPr>
        <w:t>.</w:t>
      </w:r>
    </w:p>
    <w:p w14:paraId="633C888E" w14:textId="77777777" w:rsidR="005245BC" w:rsidRPr="00C30433" w:rsidRDefault="005245BC" w:rsidP="004D1682">
      <w:pPr>
        <w:spacing w:line="360" w:lineRule="auto"/>
        <w:rPr>
          <w:color w:val="000000" w:themeColor="text1"/>
          <w:sz w:val="22"/>
          <w:szCs w:val="22"/>
        </w:rPr>
      </w:pPr>
      <w:r w:rsidRPr="00C30433">
        <w:rPr>
          <w:b/>
          <w:color w:val="000000" w:themeColor="text1"/>
          <w:sz w:val="22"/>
          <w:szCs w:val="22"/>
        </w:rPr>
        <w:t>Figure S12</w:t>
      </w:r>
      <w:r w:rsidRPr="00C30433">
        <w:rPr>
          <w:color w:val="000000" w:themeColor="text1"/>
          <w:sz w:val="22"/>
          <w:szCs w:val="22"/>
        </w:rPr>
        <w:t xml:space="preserve">. </w:t>
      </w:r>
      <w:proofErr w:type="spellStart"/>
      <w:r w:rsidRPr="00C30433">
        <w:rPr>
          <w:color w:val="000000" w:themeColor="text1"/>
          <w:sz w:val="22"/>
          <w:szCs w:val="22"/>
        </w:rPr>
        <w:t>Barplot</w:t>
      </w:r>
      <w:proofErr w:type="spellEnd"/>
      <w:r w:rsidRPr="00C30433">
        <w:rPr>
          <w:color w:val="000000" w:themeColor="text1"/>
          <w:sz w:val="22"/>
          <w:szCs w:val="22"/>
        </w:rPr>
        <w:t xml:space="preserve"> of histone gene expression by variants.</w:t>
      </w:r>
    </w:p>
    <w:p w14:paraId="244FAB5F" w14:textId="77777777" w:rsidR="005245BC" w:rsidRPr="00C30433" w:rsidRDefault="005245BC" w:rsidP="004D1682">
      <w:pPr>
        <w:spacing w:line="360" w:lineRule="auto"/>
        <w:rPr>
          <w:color w:val="000000" w:themeColor="text1"/>
          <w:sz w:val="22"/>
          <w:szCs w:val="22"/>
        </w:rPr>
      </w:pPr>
      <w:r w:rsidRPr="00C30433">
        <w:rPr>
          <w:b/>
          <w:color w:val="000000" w:themeColor="text1"/>
          <w:sz w:val="22"/>
          <w:szCs w:val="22"/>
        </w:rPr>
        <w:t>Figure S13</w:t>
      </w:r>
      <w:r w:rsidRPr="00C30433">
        <w:rPr>
          <w:color w:val="000000" w:themeColor="text1"/>
          <w:sz w:val="22"/>
          <w:szCs w:val="22"/>
        </w:rPr>
        <w:t>. Genomic tracks illustration of representative genes of histone variants</w:t>
      </w:r>
    </w:p>
    <w:p w14:paraId="7046560D" w14:textId="77777777" w:rsidR="005245BC" w:rsidRPr="00C30433" w:rsidRDefault="005245BC" w:rsidP="004D1682">
      <w:pPr>
        <w:spacing w:line="360" w:lineRule="auto"/>
        <w:rPr>
          <w:color w:val="000000" w:themeColor="text1"/>
          <w:sz w:val="22"/>
          <w:szCs w:val="22"/>
        </w:rPr>
      </w:pPr>
    </w:p>
    <w:p w14:paraId="61975D6D" w14:textId="05F93DD4" w:rsidR="00C30433" w:rsidRPr="00C30433" w:rsidRDefault="00C30433" w:rsidP="004D1682">
      <w:pPr>
        <w:spacing w:line="360" w:lineRule="auto"/>
        <w:rPr>
          <w:b/>
          <w:bCs/>
          <w:color w:val="000000" w:themeColor="text1"/>
          <w:sz w:val="28"/>
          <w:szCs w:val="28"/>
        </w:rPr>
      </w:pPr>
      <w:r w:rsidRPr="00C30433">
        <w:rPr>
          <w:b/>
          <w:bCs/>
          <w:color w:val="000000" w:themeColor="text1"/>
          <w:sz w:val="28"/>
          <w:szCs w:val="28"/>
        </w:rPr>
        <w:t xml:space="preserve">Supplementary </w:t>
      </w:r>
      <w:r>
        <w:rPr>
          <w:b/>
          <w:bCs/>
          <w:color w:val="000000" w:themeColor="text1"/>
          <w:sz w:val="28"/>
          <w:szCs w:val="28"/>
        </w:rPr>
        <w:t>Tables</w:t>
      </w:r>
    </w:p>
    <w:p w14:paraId="43B62323" w14:textId="77777777" w:rsidR="00C30433" w:rsidRDefault="00C30433" w:rsidP="004D1682">
      <w:pPr>
        <w:spacing w:line="360" w:lineRule="auto"/>
        <w:rPr>
          <w:color w:val="000000" w:themeColor="text1"/>
          <w:sz w:val="22"/>
          <w:szCs w:val="22"/>
        </w:rPr>
      </w:pPr>
      <w:r w:rsidRPr="00C30433">
        <w:rPr>
          <w:b/>
          <w:bCs/>
          <w:color w:val="000000" w:themeColor="text1"/>
          <w:sz w:val="22"/>
          <w:szCs w:val="22"/>
        </w:rPr>
        <w:t xml:space="preserve">Table </w:t>
      </w:r>
      <w:r w:rsidRPr="00C30433">
        <w:rPr>
          <w:b/>
          <w:bCs/>
          <w:color w:val="000000" w:themeColor="text1"/>
          <w:sz w:val="22"/>
          <w:szCs w:val="22"/>
        </w:rPr>
        <w:t>S</w:t>
      </w:r>
      <w:r w:rsidRPr="00C30433">
        <w:rPr>
          <w:b/>
          <w:bCs/>
          <w:color w:val="000000" w:themeColor="text1"/>
          <w:sz w:val="22"/>
          <w:szCs w:val="22"/>
        </w:rPr>
        <w:t>1</w:t>
      </w:r>
      <w:r w:rsidRPr="00C30433">
        <w:rPr>
          <w:color w:val="000000" w:themeColor="text1"/>
          <w:sz w:val="22"/>
          <w:szCs w:val="22"/>
        </w:rPr>
        <w:t>. Summary of sequencing data in this study</w:t>
      </w:r>
      <w:bookmarkStart w:id="0" w:name="_k7nb60mfk4ur" w:colFirst="0" w:colLast="0"/>
      <w:bookmarkEnd w:id="0"/>
    </w:p>
    <w:p w14:paraId="261969D3" w14:textId="77777777" w:rsidR="00C30433" w:rsidRDefault="00C30433" w:rsidP="004D1682">
      <w:pPr>
        <w:spacing w:line="360" w:lineRule="auto"/>
        <w:rPr>
          <w:color w:val="000000" w:themeColor="text1"/>
          <w:sz w:val="22"/>
          <w:szCs w:val="22"/>
        </w:rPr>
      </w:pPr>
      <w:r w:rsidRPr="00C30433">
        <w:rPr>
          <w:b/>
          <w:bCs/>
          <w:color w:val="000000" w:themeColor="text1"/>
          <w:sz w:val="22"/>
          <w:szCs w:val="22"/>
        </w:rPr>
        <w:t xml:space="preserve">Table </w:t>
      </w:r>
      <w:r w:rsidRPr="00C30433">
        <w:rPr>
          <w:b/>
          <w:bCs/>
          <w:color w:val="000000" w:themeColor="text1"/>
        </w:rPr>
        <w:t>S</w:t>
      </w:r>
      <w:r w:rsidRPr="00C30433">
        <w:rPr>
          <w:b/>
          <w:bCs/>
          <w:color w:val="000000" w:themeColor="text1"/>
          <w:sz w:val="22"/>
          <w:szCs w:val="22"/>
        </w:rPr>
        <w:t>2</w:t>
      </w:r>
      <w:r w:rsidRPr="00C30433">
        <w:rPr>
          <w:color w:val="000000" w:themeColor="text1"/>
          <w:sz w:val="22"/>
          <w:szCs w:val="22"/>
        </w:rPr>
        <w:t xml:space="preserve">. Summary of </w:t>
      </w:r>
      <w:proofErr w:type="spellStart"/>
      <w:r w:rsidRPr="00C30433">
        <w:rPr>
          <w:color w:val="000000" w:themeColor="text1"/>
          <w:sz w:val="22"/>
          <w:szCs w:val="22"/>
        </w:rPr>
        <w:t>MNase</w:t>
      </w:r>
      <w:proofErr w:type="spellEnd"/>
      <w:r w:rsidRPr="00C30433">
        <w:rPr>
          <w:color w:val="000000" w:themeColor="text1"/>
          <w:sz w:val="22"/>
          <w:szCs w:val="22"/>
        </w:rPr>
        <w:t>-seq data</w:t>
      </w:r>
    </w:p>
    <w:p w14:paraId="5742E042" w14:textId="10E0F704" w:rsidR="00C30433" w:rsidRDefault="00C30433" w:rsidP="004D1682">
      <w:pPr>
        <w:spacing w:line="360" w:lineRule="auto"/>
        <w:rPr>
          <w:color w:val="000000" w:themeColor="text1"/>
          <w:sz w:val="22"/>
          <w:szCs w:val="22"/>
        </w:rPr>
      </w:pPr>
      <w:r w:rsidRPr="00C30433">
        <w:rPr>
          <w:b/>
          <w:bCs/>
          <w:color w:val="000000"/>
          <w:sz w:val="22"/>
          <w:szCs w:val="22"/>
        </w:rPr>
        <w:t xml:space="preserve">Table </w:t>
      </w:r>
      <w:r w:rsidRPr="00C30433">
        <w:rPr>
          <w:b/>
          <w:bCs/>
          <w:color w:val="000000"/>
          <w:sz w:val="22"/>
          <w:szCs w:val="22"/>
        </w:rPr>
        <w:t>S</w:t>
      </w:r>
      <w:r w:rsidRPr="00C30433">
        <w:rPr>
          <w:b/>
          <w:bCs/>
          <w:color w:val="000000"/>
          <w:sz w:val="22"/>
          <w:szCs w:val="22"/>
        </w:rPr>
        <w:t>3</w:t>
      </w:r>
      <w:r w:rsidRPr="00C30433">
        <w:rPr>
          <w:color w:val="000000"/>
          <w:sz w:val="22"/>
          <w:szCs w:val="22"/>
        </w:rPr>
        <w:t xml:space="preserve">. Nucleosome identification and </w:t>
      </w:r>
      <w:r>
        <w:rPr>
          <w:color w:val="000000"/>
          <w:sz w:val="22"/>
          <w:szCs w:val="22"/>
        </w:rPr>
        <w:t>classification</w:t>
      </w:r>
    </w:p>
    <w:p w14:paraId="51B3BC7E" w14:textId="2171181E" w:rsidR="00C30433" w:rsidRDefault="00C30433" w:rsidP="004D1682">
      <w:pPr>
        <w:spacing w:line="360" w:lineRule="auto"/>
        <w:rPr>
          <w:color w:val="000000" w:themeColor="text1"/>
          <w:sz w:val="22"/>
          <w:szCs w:val="22"/>
        </w:rPr>
      </w:pPr>
      <w:r w:rsidRPr="00C30433">
        <w:rPr>
          <w:b/>
          <w:bCs/>
          <w:color w:val="000000"/>
          <w:sz w:val="22"/>
          <w:szCs w:val="22"/>
        </w:rPr>
        <w:t xml:space="preserve">Table </w:t>
      </w:r>
      <w:r w:rsidRPr="00C30433">
        <w:rPr>
          <w:b/>
          <w:bCs/>
          <w:color w:val="000000"/>
          <w:sz w:val="22"/>
          <w:szCs w:val="22"/>
        </w:rPr>
        <w:t>S</w:t>
      </w:r>
      <w:r w:rsidRPr="00C30433">
        <w:rPr>
          <w:b/>
          <w:bCs/>
          <w:color w:val="000000"/>
          <w:sz w:val="22"/>
          <w:szCs w:val="22"/>
        </w:rPr>
        <w:t>4</w:t>
      </w:r>
      <w:r w:rsidRPr="00C30433">
        <w:rPr>
          <w:color w:val="000000"/>
          <w:sz w:val="22"/>
          <w:szCs w:val="22"/>
        </w:rPr>
        <w:t>. Summary of ATAC-seq and DNase-seq data</w:t>
      </w:r>
    </w:p>
    <w:p w14:paraId="284EC3B7" w14:textId="77777777" w:rsidR="00C30433" w:rsidRDefault="00C30433" w:rsidP="004D1682">
      <w:pPr>
        <w:spacing w:line="360" w:lineRule="auto"/>
        <w:rPr>
          <w:color w:val="000000"/>
          <w:sz w:val="22"/>
          <w:szCs w:val="22"/>
        </w:rPr>
      </w:pPr>
      <w:r w:rsidRPr="00C30433">
        <w:rPr>
          <w:b/>
          <w:bCs/>
          <w:color w:val="000000"/>
          <w:sz w:val="22"/>
          <w:szCs w:val="22"/>
        </w:rPr>
        <w:t xml:space="preserve">Table </w:t>
      </w:r>
      <w:r w:rsidRPr="00C30433">
        <w:rPr>
          <w:b/>
          <w:bCs/>
          <w:color w:val="000000"/>
          <w:sz w:val="22"/>
          <w:szCs w:val="22"/>
        </w:rPr>
        <w:t>S</w:t>
      </w:r>
      <w:r w:rsidRPr="00C30433">
        <w:rPr>
          <w:b/>
          <w:bCs/>
          <w:color w:val="000000"/>
          <w:sz w:val="22"/>
          <w:szCs w:val="22"/>
        </w:rPr>
        <w:t>5</w:t>
      </w:r>
      <w:r w:rsidRPr="00C30433">
        <w:rPr>
          <w:color w:val="000000"/>
          <w:sz w:val="22"/>
          <w:szCs w:val="22"/>
        </w:rPr>
        <w:t xml:space="preserve">. Comparison of ACR identification in </w:t>
      </w:r>
      <w:r w:rsidRPr="00C30433">
        <w:rPr>
          <w:i/>
          <w:iCs/>
          <w:color w:val="000000"/>
          <w:sz w:val="22"/>
          <w:szCs w:val="22"/>
        </w:rPr>
        <w:t xml:space="preserve">G. </w:t>
      </w:r>
      <w:proofErr w:type="spellStart"/>
      <w:r w:rsidRPr="00C30433">
        <w:rPr>
          <w:i/>
          <w:iCs/>
          <w:color w:val="000000"/>
          <w:sz w:val="22"/>
          <w:szCs w:val="22"/>
        </w:rPr>
        <w:t>raimondii</w:t>
      </w:r>
      <w:proofErr w:type="spellEnd"/>
    </w:p>
    <w:p w14:paraId="3287C52D" w14:textId="77777777" w:rsidR="00C30433" w:rsidRDefault="00C30433" w:rsidP="004D1682">
      <w:pPr>
        <w:spacing w:line="360" w:lineRule="auto"/>
        <w:rPr>
          <w:color w:val="000000"/>
          <w:sz w:val="22"/>
          <w:szCs w:val="22"/>
        </w:rPr>
      </w:pPr>
      <w:r w:rsidRPr="00C30433">
        <w:rPr>
          <w:b/>
          <w:bCs/>
          <w:color w:val="000000"/>
          <w:sz w:val="22"/>
          <w:szCs w:val="22"/>
        </w:rPr>
        <w:t xml:space="preserve">Table </w:t>
      </w:r>
      <w:r w:rsidRPr="00C30433">
        <w:rPr>
          <w:b/>
          <w:bCs/>
          <w:color w:val="000000"/>
          <w:sz w:val="22"/>
          <w:szCs w:val="22"/>
        </w:rPr>
        <w:t>S</w:t>
      </w:r>
      <w:r w:rsidRPr="00C30433">
        <w:rPr>
          <w:b/>
          <w:bCs/>
          <w:color w:val="000000"/>
          <w:sz w:val="22"/>
          <w:szCs w:val="22"/>
        </w:rPr>
        <w:t>6</w:t>
      </w:r>
      <w:r w:rsidRPr="00C30433">
        <w:rPr>
          <w:color w:val="000000"/>
          <w:sz w:val="22"/>
          <w:szCs w:val="22"/>
        </w:rPr>
        <w:t xml:space="preserve">. Overlaps of ACR identification in </w:t>
      </w:r>
      <w:r w:rsidRPr="00C30433">
        <w:rPr>
          <w:i/>
          <w:iCs/>
          <w:color w:val="000000"/>
          <w:sz w:val="22"/>
          <w:szCs w:val="22"/>
        </w:rPr>
        <w:t xml:space="preserve">G. </w:t>
      </w:r>
      <w:proofErr w:type="spellStart"/>
      <w:r w:rsidRPr="00C30433">
        <w:rPr>
          <w:i/>
          <w:iCs/>
          <w:color w:val="000000"/>
          <w:sz w:val="22"/>
          <w:szCs w:val="22"/>
        </w:rPr>
        <w:t>raimondii</w:t>
      </w:r>
      <w:proofErr w:type="spellEnd"/>
    </w:p>
    <w:p w14:paraId="71B31AA0" w14:textId="56EF0CDF" w:rsidR="00C30433" w:rsidRDefault="00C30433" w:rsidP="004D1682">
      <w:pPr>
        <w:spacing w:line="360" w:lineRule="auto"/>
        <w:rPr>
          <w:color w:val="000000"/>
          <w:sz w:val="22"/>
          <w:szCs w:val="22"/>
        </w:rPr>
      </w:pPr>
      <w:r w:rsidRPr="00C30433">
        <w:rPr>
          <w:b/>
          <w:bCs/>
          <w:color w:val="000000"/>
          <w:sz w:val="22"/>
          <w:szCs w:val="22"/>
        </w:rPr>
        <w:t xml:space="preserve">Table </w:t>
      </w:r>
      <w:r w:rsidRPr="00C30433">
        <w:rPr>
          <w:b/>
          <w:bCs/>
          <w:color w:val="000000"/>
          <w:sz w:val="22"/>
          <w:szCs w:val="22"/>
        </w:rPr>
        <w:t>S</w:t>
      </w:r>
      <w:r w:rsidRPr="00C30433">
        <w:rPr>
          <w:b/>
          <w:bCs/>
          <w:color w:val="000000"/>
          <w:sz w:val="22"/>
          <w:szCs w:val="22"/>
        </w:rPr>
        <w:t>7</w:t>
      </w:r>
      <w:r w:rsidRPr="00C30433">
        <w:rPr>
          <w:color w:val="000000"/>
          <w:sz w:val="22"/>
          <w:szCs w:val="22"/>
        </w:rPr>
        <w:t xml:space="preserve">. Estimation of nucleosome repeat length (bp) by </w:t>
      </w:r>
      <w:proofErr w:type="gramStart"/>
      <w:r>
        <w:rPr>
          <w:color w:val="000000"/>
          <w:sz w:val="22"/>
          <w:szCs w:val="22"/>
        </w:rPr>
        <w:t>chromosome</w:t>
      </w:r>
      <w:proofErr w:type="gramEnd"/>
    </w:p>
    <w:p w14:paraId="0FA41AD8" w14:textId="50746316" w:rsidR="00C30433" w:rsidRPr="00C30433" w:rsidRDefault="00C30433" w:rsidP="004D1682">
      <w:pPr>
        <w:spacing w:line="360" w:lineRule="auto"/>
        <w:rPr>
          <w:color w:val="000000"/>
          <w:sz w:val="22"/>
          <w:szCs w:val="22"/>
        </w:rPr>
      </w:pPr>
      <w:r w:rsidRPr="00C30433">
        <w:rPr>
          <w:b/>
          <w:bCs/>
          <w:color w:val="000000"/>
          <w:sz w:val="22"/>
          <w:szCs w:val="22"/>
        </w:rPr>
        <w:t xml:space="preserve">Table </w:t>
      </w:r>
      <w:r>
        <w:rPr>
          <w:b/>
          <w:bCs/>
          <w:color w:val="000000"/>
          <w:sz w:val="22"/>
          <w:szCs w:val="22"/>
        </w:rPr>
        <w:t>S</w:t>
      </w:r>
      <w:r w:rsidRPr="00C30433">
        <w:rPr>
          <w:b/>
          <w:bCs/>
          <w:color w:val="000000"/>
          <w:sz w:val="22"/>
          <w:szCs w:val="22"/>
        </w:rPr>
        <w:t>8</w:t>
      </w:r>
      <w:r w:rsidRPr="00C30433">
        <w:rPr>
          <w:color w:val="000000"/>
          <w:sz w:val="22"/>
          <w:szCs w:val="22"/>
        </w:rPr>
        <w:t xml:space="preserve">. ACR identification by differential nuclease sensitivity analysis (BC=6.0) and subnucleosomal occupancy analysis (BC=4.0) in </w:t>
      </w:r>
      <w:proofErr w:type="spellStart"/>
      <w:proofErr w:type="gramStart"/>
      <w:r w:rsidRPr="00C30433">
        <w:rPr>
          <w:i/>
          <w:iCs/>
          <w:color w:val="000000"/>
          <w:sz w:val="22"/>
          <w:szCs w:val="22"/>
        </w:rPr>
        <w:t>G.arboreum</w:t>
      </w:r>
      <w:proofErr w:type="spellEnd"/>
      <w:proofErr w:type="gramEnd"/>
    </w:p>
    <w:p w14:paraId="7F581942" w14:textId="43C0AC71" w:rsidR="00C30433" w:rsidRPr="00C30433" w:rsidRDefault="00C30433" w:rsidP="004D1682">
      <w:pPr>
        <w:spacing w:line="360" w:lineRule="auto"/>
        <w:rPr>
          <w:color w:val="000000"/>
          <w:sz w:val="22"/>
          <w:szCs w:val="22"/>
        </w:rPr>
      </w:pPr>
      <w:r w:rsidRPr="00C30433">
        <w:rPr>
          <w:b/>
          <w:bCs/>
          <w:color w:val="000000"/>
          <w:sz w:val="22"/>
          <w:szCs w:val="22"/>
        </w:rPr>
        <w:t>T</w:t>
      </w:r>
      <w:r w:rsidRPr="00C30433">
        <w:rPr>
          <w:b/>
          <w:bCs/>
          <w:color w:val="000000"/>
          <w:sz w:val="22"/>
          <w:szCs w:val="22"/>
        </w:rPr>
        <w:t xml:space="preserve">able </w:t>
      </w:r>
      <w:r w:rsidRPr="00C30433">
        <w:rPr>
          <w:b/>
          <w:bCs/>
          <w:color w:val="000000"/>
          <w:sz w:val="22"/>
          <w:szCs w:val="22"/>
        </w:rPr>
        <w:t>S</w:t>
      </w:r>
      <w:r w:rsidRPr="00C30433">
        <w:rPr>
          <w:b/>
          <w:bCs/>
          <w:color w:val="000000"/>
          <w:sz w:val="22"/>
          <w:szCs w:val="22"/>
        </w:rPr>
        <w:t>9</w:t>
      </w:r>
      <w:r w:rsidRPr="00C30433">
        <w:rPr>
          <w:color w:val="000000"/>
          <w:sz w:val="22"/>
          <w:szCs w:val="22"/>
        </w:rPr>
        <w:t xml:space="preserve">. ACR identification by differential nuclease sensitivity analysis (BC=6.0) and subnucleosomal occupancy analysis (BC=5.0) in </w:t>
      </w:r>
      <w:proofErr w:type="spellStart"/>
      <w:proofErr w:type="gramStart"/>
      <w:r w:rsidRPr="00C30433">
        <w:rPr>
          <w:i/>
          <w:iCs/>
          <w:color w:val="000000"/>
          <w:sz w:val="22"/>
          <w:szCs w:val="22"/>
        </w:rPr>
        <w:t>G.raimondii</w:t>
      </w:r>
      <w:proofErr w:type="spellEnd"/>
      <w:proofErr w:type="gramEnd"/>
    </w:p>
    <w:p w14:paraId="0A5333EE" w14:textId="51A45021" w:rsidR="00C30433" w:rsidRPr="00C30433" w:rsidRDefault="00C30433" w:rsidP="004D1682">
      <w:pPr>
        <w:spacing w:line="360" w:lineRule="auto"/>
        <w:rPr>
          <w:color w:val="000000"/>
          <w:sz w:val="22"/>
          <w:szCs w:val="22"/>
        </w:rPr>
      </w:pPr>
      <w:r w:rsidRPr="00C30433">
        <w:rPr>
          <w:b/>
          <w:bCs/>
          <w:color w:val="000000"/>
          <w:sz w:val="22"/>
          <w:szCs w:val="22"/>
        </w:rPr>
        <w:t xml:space="preserve">Table </w:t>
      </w:r>
      <w:r>
        <w:rPr>
          <w:b/>
          <w:bCs/>
          <w:color w:val="000000"/>
          <w:sz w:val="22"/>
          <w:szCs w:val="22"/>
        </w:rPr>
        <w:t>S</w:t>
      </w:r>
      <w:r w:rsidRPr="00C30433">
        <w:rPr>
          <w:b/>
          <w:bCs/>
          <w:color w:val="000000"/>
          <w:sz w:val="22"/>
          <w:szCs w:val="22"/>
        </w:rPr>
        <w:t>10</w:t>
      </w:r>
      <w:r w:rsidRPr="00C30433">
        <w:rPr>
          <w:color w:val="000000"/>
          <w:sz w:val="22"/>
          <w:szCs w:val="22"/>
        </w:rPr>
        <w:t xml:space="preserve">. ACR identification by differential nuclease sensitivity analysis (BC=6.0) and subnucleosomal occupancy analysis (BC=4) in </w:t>
      </w:r>
      <w:proofErr w:type="spellStart"/>
      <w:proofErr w:type="gramStart"/>
      <w:r w:rsidRPr="00C30433">
        <w:rPr>
          <w:i/>
          <w:iCs/>
          <w:color w:val="000000"/>
          <w:sz w:val="22"/>
          <w:szCs w:val="22"/>
        </w:rPr>
        <w:t>G.hirsutum</w:t>
      </w:r>
      <w:proofErr w:type="spellEnd"/>
      <w:proofErr w:type="gramEnd"/>
    </w:p>
    <w:p w14:paraId="227D28B6" w14:textId="77777777" w:rsidR="00C30433" w:rsidRPr="00C30433" w:rsidRDefault="00C30433" w:rsidP="004D1682">
      <w:pPr>
        <w:spacing w:line="360" w:lineRule="auto"/>
        <w:rPr>
          <w:color w:val="000000"/>
          <w:sz w:val="22"/>
          <w:szCs w:val="22"/>
        </w:rPr>
      </w:pPr>
      <w:r w:rsidRPr="00D72FE6">
        <w:rPr>
          <w:b/>
          <w:bCs/>
          <w:color w:val="000000"/>
          <w:sz w:val="22"/>
          <w:szCs w:val="22"/>
        </w:rPr>
        <w:t>Table S11</w:t>
      </w:r>
      <w:r w:rsidRPr="00C30433">
        <w:rPr>
          <w:color w:val="000000"/>
          <w:sz w:val="22"/>
          <w:szCs w:val="22"/>
        </w:rPr>
        <w:t xml:space="preserve">. ACR identification by differential nuclease sensitivity analysis (BC=6.0) and subnucleosomal occupancy analysis (BC=4.5) in </w:t>
      </w:r>
      <w:r w:rsidRPr="00C30433">
        <w:rPr>
          <w:i/>
          <w:iCs/>
          <w:color w:val="000000"/>
          <w:sz w:val="22"/>
          <w:szCs w:val="22"/>
        </w:rPr>
        <w:t xml:space="preserve">G. </w:t>
      </w:r>
      <w:proofErr w:type="spellStart"/>
      <w:r w:rsidRPr="00C30433">
        <w:rPr>
          <w:i/>
          <w:iCs/>
          <w:color w:val="000000"/>
          <w:sz w:val="22"/>
          <w:szCs w:val="22"/>
        </w:rPr>
        <w:t>arboreum</w:t>
      </w:r>
      <w:proofErr w:type="spellEnd"/>
      <w:r w:rsidRPr="00C30433">
        <w:rPr>
          <w:color w:val="000000"/>
          <w:sz w:val="22"/>
          <w:szCs w:val="22"/>
        </w:rPr>
        <w:t xml:space="preserve"> X </w:t>
      </w:r>
      <w:r w:rsidRPr="00C30433">
        <w:rPr>
          <w:i/>
          <w:iCs/>
          <w:color w:val="000000"/>
          <w:sz w:val="22"/>
          <w:szCs w:val="22"/>
        </w:rPr>
        <w:t xml:space="preserve">G. </w:t>
      </w:r>
      <w:proofErr w:type="spellStart"/>
      <w:r w:rsidRPr="00C30433">
        <w:rPr>
          <w:i/>
          <w:iCs/>
          <w:color w:val="000000"/>
          <w:sz w:val="22"/>
          <w:szCs w:val="22"/>
        </w:rPr>
        <w:t>raimondii</w:t>
      </w:r>
      <w:proofErr w:type="spellEnd"/>
    </w:p>
    <w:p w14:paraId="18C04251" w14:textId="424EB113" w:rsidR="00C30433" w:rsidRPr="00C30433" w:rsidRDefault="00C30433" w:rsidP="004D1682">
      <w:pPr>
        <w:spacing w:line="360" w:lineRule="auto"/>
        <w:rPr>
          <w:color w:val="000000"/>
          <w:sz w:val="22"/>
          <w:szCs w:val="22"/>
        </w:rPr>
      </w:pPr>
      <w:r w:rsidRPr="00D72FE6">
        <w:rPr>
          <w:b/>
          <w:bCs/>
          <w:color w:val="000000"/>
          <w:sz w:val="22"/>
          <w:szCs w:val="22"/>
        </w:rPr>
        <w:t xml:space="preserve">Table </w:t>
      </w:r>
      <w:r w:rsidRPr="00D72FE6">
        <w:rPr>
          <w:b/>
          <w:bCs/>
          <w:color w:val="000000"/>
          <w:sz w:val="22"/>
          <w:szCs w:val="22"/>
        </w:rPr>
        <w:t>S</w:t>
      </w:r>
      <w:r w:rsidRPr="00D72FE6">
        <w:rPr>
          <w:b/>
          <w:bCs/>
          <w:color w:val="000000"/>
          <w:sz w:val="22"/>
          <w:szCs w:val="22"/>
        </w:rPr>
        <w:t>12</w:t>
      </w:r>
      <w:r w:rsidRPr="00C30433">
        <w:rPr>
          <w:color w:val="000000"/>
          <w:sz w:val="22"/>
          <w:szCs w:val="22"/>
        </w:rPr>
        <w:t>. Ranking of significantly enriched motifs in 1 kb promoter ACRs</w:t>
      </w:r>
    </w:p>
    <w:p w14:paraId="1C82CCE7" w14:textId="5FEBFD0B" w:rsidR="00C30433" w:rsidRPr="00C30433" w:rsidRDefault="00C30433" w:rsidP="004D1682">
      <w:pPr>
        <w:spacing w:line="360" w:lineRule="auto"/>
        <w:rPr>
          <w:color w:val="000000"/>
          <w:sz w:val="22"/>
          <w:szCs w:val="22"/>
        </w:rPr>
      </w:pPr>
      <w:r w:rsidRPr="00D72FE6">
        <w:rPr>
          <w:b/>
          <w:bCs/>
          <w:color w:val="000000"/>
          <w:sz w:val="22"/>
          <w:szCs w:val="22"/>
        </w:rPr>
        <w:t xml:space="preserve">Table </w:t>
      </w:r>
      <w:r w:rsidRPr="00D72FE6">
        <w:rPr>
          <w:b/>
          <w:bCs/>
          <w:color w:val="000000"/>
          <w:sz w:val="22"/>
          <w:szCs w:val="22"/>
        </w:rPr>
        <w:t>S</w:t>
      </w:r>
      <w:r w:rsidRPr="00D72FE6">
        <w:rPr>
          <w:b/>
          <w:bCs/>
          <w:color w:val="000000"/>
          <w:sz w:val="22"/>
          <w:szCs w:val="22"/>
        </w:rPr>
        <w:t>13</w:t>
      </w:r>
      <w:r w:rsidRPr="00C30433">
        <w:rPr>
          <w:color w:val="000000"/>
          <w:sz w:val="22"/>
          <w:szCs w:val="22"/>
        </w:rPr>
        <w:t>. Genome-wide TE classification and composition</w:t>
      </w:r>
    </w:p>
    <w:p w14:paraId="12E6A737" w14:textId="21DE1F47" w:rsidR="00C30433" w:rsidRPr="00C30433" w:rsidRDefault="00C30433" w:rsidP="004D1682">
      <w:pPr>
        <w:spacing w:line="360" w:lineRule="auto"/>
        <w:rPr>
          <w:color w:val="000000"/>
          <w:sz w:val="22"/>
          <w:szCs w:val="22"/>
        </w:rPr>
      </w:pPr>
      <w:r w:rsidRPr="00D72FE6">
        <w:rPr>
          <w:b/>
          <w:bCs/>
          <w:color w:val="000000"/>
          <w:sz w:val="22"/>
          <w:szCs w:val="22"/>
        </w:rPr>
        <w:t xml:space="preserve">Table </w:t>
      </w:r>
      <w:r w:rsidR="00D72FE6">
        <w:rPr>
          <w:b/>
          <w:bCs/>
          <w:color w:val="000000"/>
          <w:sz w:val="22"/>
          <w:szCs w:val="22"/>
        </w:rPr>
        <w:t>S</w:t>
      </w:r>
      <w:r w:rsidRPr="00D72FE6">
        <w:rPr>
          <w:b/>
          <w:bCs/>
          <w:color w:val="000000"/>
          <w:sz w:val="22"/>
          <w:szCs w:val="22"/>
        </w:rPr>
        <w:t>14</w:t>
      </w:r>
      <w:r w:rsidRPr="00C30433">
        <w:rPr>
          <w:color w:val="000000"/>
          <w:sz w:val="22"/>
          <w:szCs w:val="22"/>
        </w:rPr>
        <w:t>. TE-derived ACR distribution and composition</w:t>
      </w:r>
    </w:p>
    <w:p w14:paraId="0168AC24" w14:textId="616299F8" w:rsidR="00C30433" w:rsidRPr="00C30433" w:rsidRDefault="00C30433" w:rsidP="004D1682">
      <w:pPr>
        <w:spacing w:line="360" w:lineRule="auto"/>
        <w:rPr>
          <w:color w:val="000000"/>
          <w:sz w:val="22"/>
          <w:szCs w:val="22"/>
        </w:rPr>
      </w:pPr>
      <w:r w:rsidRPr="00D72FE6">
        <w:rPr>
          <w:b/>
          <w:bCs/>
          <w:color w:val="000000"/>
          <w:sz w:val="22"/>
          <w:szCs w:val="22"/>
        </w:rPr>
        <w:t xml:space="preserve">Table </w:t>
      </w:r>
      <w:r w:rsidR="00D72FE6">
        <w:rPr>
          <w:b/>
          <w:bCs/>
          <w:color w:val="000000"/>
          <w:sz w:val="22"/>
          <w:szCs w:val="22"/>
        </w:rPr>
        <w:t>S</w:t>
      </w:r>
      <w:r w:rsidRPr="00D72FE6">
        <w:rPr>
          <w:b/>
          <w:bCs/>
          <w:color w:val="000000"/>
          <w:sz w:val="22"/>
          <w:szCs w:val="22"/>
        </w:rPr>
        <w:t>15</w:t>
      </w:r>
      <w:r w:rsidRPr="00C30433">
        <w:rPr>
          <w:color w:val="000000"/>
          <w:sz w:val="22"/>
          <w:szCs w:val="22"/>
        </w:rPr>
        <w:t>. Mapping summary of RNA-seq data</w:t>
      </w:r>
    </w:p>
    <w:p w14:paraId="5514C4C7" w14:textId="7BD12750" w:rsidR="00C30433" w:rsidRPr="00C30433" w:rsidRDefault="00C30433" w:rsidP="004D1682">
      <w:pPr>
        <w:spacing w:line="360" w:lineRule="auto"/>
        <w:rPr>
          <w:color w:val="000000"/>
          <w:sz w:val="22"/>
          <w:szCs w:val="22"/>
        </w:rPr>
      </w:pPr>
      <w:r w:rsidRPr="00D72FE6">
        <w:rPr>
          <w:b/>
          <w:bCs/>
          <w:color w:val="000000"/>
          <w:sz w:val="22"/>
          <w:szCs w:val="22"/>
        </w:rPr>
        <w:t xml:space="preserve">Table </w:t>
      </w:r>
      <w:r w:rsidR="00D72FE6">
        <w:rPr>
          <w:b/>
          <w:bCs/>
          <w:color w:val="000000"/>
          <w:sz w:val="22"/>
          <w:szCs w:val="22"/>
        </w:rPr>
        <w:t>S</w:t>
      </w:r>
      <w:r w:rsidRPr="00D72FE6">
        <w:rPr>
          <w:b/>
          <w:bCs/>
          <w:color w:val="000000"/>
          <w:sz w:val="22"/>
          <w:szCs w:val="22"/>
        </w:rPr>
        <w:t>16</w:t>
      </w:r>
      <w:r w:rsidRPr="00C30433">
        <w:rPr>
          <w:color w:val="000000"/>
          <w:sz w:val="22"/>
          <w:szCs w:val="22"/>
        </w:rPr>
        <w:t>. Analysis of expression asymmetry relative to diploids</w:t>
      </w:r>
    </w:p>
    <w:p w14:paraId="071A8946" w14:textId="362D1D7D" w:rsidR="00C30433" w:rsidRPr="00C30433" w:rsidRDefault="00C30433" w:rsidP="004D1682">
      <w:pPr>
        <w:spacing w:line="360" w:lineRule="auto"/>
        <w:rPr>
          <w:color w:val="000000"/>
          <w:sz w:val="22"/>
          <w:szCs w:val="22"/>
        </w:rPr>
      </w:pPr>
      <w:r w:rsidRPr="00D72FE6">
        <w:rPr>
          <w:b/>
          <w:bCs/>
          <w:color w:val="000000"/>
          <w:sz w:val="22"/>
          <w:szCs w:val="22"/>
        </w:rPr>
        <w:t xml:space="preserve">Table </w:t>
      </w:r>
      <w:r w:rsidR="00D72FE6">
        <w:rPr>
          <w:b/>
          <w:bCs/>
          <w:color w:val="000000"/>
          <w:sz w:val="22"/>
          <w:szCs w:val="22"/>
        </w:rPr>
        <w:t>S</w:t>
      </w:r>
      <w:r w:rsidRPr="00D72FE6">
        <w:rPr>
          <w:b/>
          <w:bCs/>
          <w:color w:val="000000"/>
          <w:sz w:val="22"/>
          <w:szCs w:val="22"/>
        </w:rPr>
        <w:t>17</w:t>
      </w:r>
      <w:r w:rsidRPr="00C30433">
        <w:rPr>
          <w:color w:val="000000"/>
          <w:sz w:val="22"/>
          <w:szCs w:val="22"/>
        </w:rPr>
        <w:t>. Test of additivity hypothesis</w:t>
      </w:r>
    </w:p>
    <w:p w14:paraId="02BEA3CD" w14:textId="2EDB8293" w:rsidR="00C30433" w:rsidRPr="00C30433" w:rsidRDefault="00C30433" w:rsidP="004D1682">
      <w:pPr>
        <w:spacing w:line="360" w:lineRule="auto"/>
        <w:rPr>
          <w:color w:val="000000"/>
          <w:sz w:val="22"/>
          <w:szCs w:val="22"/>
        </w:rPr>
      </w:pPr>
      <w:r w:rsidRPr="00D72FE6">
        <w:rPr>
          <w:b/>
          <w:bCs/>
          <w:color w:val="000000"/>
          <w:sz w:val="22"/>
          <w:szCs w:val="22"/>
        </w:rPr>
        <w:t xml:space="preserve">Table </w:t>
      </w:r>
      <w:r w:rsidR="00D72FE6">
        <w:rPr>
          <w:b/>
          <w:bCs/>
          <w:color w:val="000000"/>
          <w:sz w:val="22"/>
          <w:szCs w:val="22"/>
        </w:rPr>
        <w:t>S</w:t>
      </w:r>
      <w:r w:rsidRPr="00D72FE6">
        <w:rPr>
          <w:b/>
          <w:bCs/>
          <w:color w:val="000000"/>
          <w:sz w:val="22"/>
          <w:szCs w:val="22"/>
        </w:rPr>
        <w:t>18</w:t>
      </w:r>
      <w:r w:rsidRPr="00C30433">
        <w:rPr>
          <w:color w:val="000000"/>
          <w:sz w:val="22"/>
          <w:szCs w:val="22"/>
        </w:rPr>
        <w:t xml:space="preserve">. Duplicated gene expression patterns under the </w:t>
      </w:r>
      <w:r w:rsidRPr="00D72FE6">
        <w:rPr>
          <w:i/>
          <w:iCs/>
          <w:color w:val="000000"/>
          <w:sz w:val="22"/>
          <w:szCs w:val="22"/>
        </w:rPr>
        <w:t>cis</w:t>
      </w:r>
      <w:r w:rsidRPr="00C30433">
        <w:rPr>
          <w:color w:val="000000"/>
          <w:sz w:val="22"/>
          <w:szCs w:val="22"/>
        </w:rPr>
        <w:t xml:space="preserve"> and </w:t>
      </w:r>
      <w:r w:rsidRPr="00D72FE6">
        <w:rPr>
          <w:i/>
          <w:iCs/>
          <w:color w:val="000000"/>
          <w:sz w:val="22"/>
          <w:szCs w:val="22"/>
        </w:rPr>
        <w:t>trans</w:t>
      </w:r>
      <w:r w:rsidRPr="00C30433">
        <w:rPr>
          <w:color w:val="000000"/>
          <w:sz w:val="22"/>
          <w:szCs w:val="22"/>
        </w:rPr>
        <w:t xml:space="preserve"> analytic framework</w:t>
      </w:r>
    </w:p>
    <w:p w14:paraId="42B6D7CA" w14:textId="357399AE" w:rsidR="00C30433" w:rsidRPr="00C30433" w:rsidRDefault="00C30433" w:rsidP="004D1682">
      <w:pPr>
        <w:spacing w:line="360" w:lineRule="auto"/>
        <w:rPr>
          <w:color w:val="000000"/>
          <w:sz w:val="22"/>
          <w:szCs w:val="22"/>
        </w:rPr>
      </w:pPr>
      <w:r w:rsidRPr="00D72FE6">
        <w:rPr>
          <w:b/>
          <w:bCs/>
          <w:color w:val="000000"/>
          <w:sz w:val="22"/>
          <w:szCs w:val="22"/>
        </w:rPr>
        <w:t xml:space="preserve">Table </w:t>
      </w:r>
      <w:r w:rsidR="00D72FE6">
        <w:rPr>
          <w:b/>
          <w:bCs/>
          <w:color w:val="000000"/>
          <w:sz w:val="22"/>
          <w:szCs w:val="22"/>
        </w:rPr>
        <w:t>S</w:t>
      </w:r>
      <w:r w:rsidRPr="00D72FE6">
        <w:rPr>
          <w:b/>
          <w:bCs/>
          <w:color w:val="000000"/>
          <w:sz w:val="22"/>
          <w:szCs w:val="22"/>
        </w:rPr>
        <w:t>19</w:t>
      </w:r>
      <w:r w:rsidRPr="00C30433">
        <w:rPr>
          <w:color w:val="000000"/>
          <w:sz w:val="22"/>
          <w:szCs w:val="22"/>
        </w:rPr>
        <w:t xml:space="preserve">. </w:t>
      </w:r>
      <w:proofErr w:type="spellStart"/>
      <w:r w:rsidRPr="00C30433">
        <w:rPr>
          <w:color w:val="000000"/>
          <w:sz w:val="22"/>
          <w:szCs w:val="22"/>
        </w:rPr>
        <w:t>Gen</w:t>
      </w:r>
      <w:proofErr w:type="spellEnd"/>
      <w:r w:rsidRPr="00C30433">
        <w:rPr>
          <w:color w:val="000000"/>
          <w:sz w:val="22"/>
          <w:szCs w:val="22"/>
        </w:rPr>
        <w:t>ome-wide characterization of cotton histone protein coding genes</w:t>
      </w:r>
    </w:p>
    <w:p w14:paraId="42891C6E" w14:textId="68D4FFBE" w:rsidR="005245BC" w:rsidRPr="002452FD" w:rsidRDefault="00C30433" w:rsidP="004D1682">
      <w:pPr>
        <w:spacing w:line="360" w:lineRule="auto"/>
        <w:rPr>
          <w:color w:val="000000"/>
          <w:sz w:val="22"/>
          <w:szCs w:val="22"/>
        </w:rPr>
      </w:pPr>
      <w:r w:rsidRPr="00D72FE6">
        <w:rPr>
          <w:b/>
          <w:bCs/>
          <w:color w:val="000000"/>
          <w:sz w:val="22"/>
          <w:szCs w:val="22"/>
        </w:rPr>
        <w:t xml:space="preserve">Table </w:t>
      </w:r>
      <w:r w:rsidR="00D72FE6">
        <w:rPr>
          <w:b/>
          <w:bCs/>
          <w:color w:val="000000"/>
          <w:sz w:val="22"/>
          <w:szCs w:val="22"/>
        </w:rPr>
        <w:t>S</w:t>
      </w:r>
      <w:r w:rsidRPr="00D72FE6">
        <w:rPr>
          <w:b/>
          <w:bCs/>
          <w:color w:val="000000"/>
          <w:sz w:val="22"/>
          <w:szCs w:val="22"/>
        </w:rPr>
        <w:t>20</w:t>
      </w:r>
      <w:r w:rsidRPr="00C30433">
        <w:rPr>
          <w:color w:val="000000"/>
          <w:sz w:val="22"/>
          <w:szCs w:val="22"/>
        </w:rPr>
        <w:t>. Histone gene expression analysis</w:t>
      </w:r>
    </w:p>
    <w:sectPr w:rsidR="005245BC" w:rsidRPr="00245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5BC"/>
    <w:rsid w:val="002452FD"/>
    <w:rsid w:val="004D1682"/>
    <w:rsid w:val="005245BC"/>
    <w:rsid w:val="0065704D"/>
    <w:rsid w:val="00C30433"/>
    <w:rsid w:val="00D72FE6"/>
    <w:rsid w:val="00EF77C3"/>
    <w:rsid w:val="00F67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7D9FBCD"/>
  <w15:chartTrackingRefBased/>
  <w15:docId w15:val="{B466EEA6-FD0D-A646-8028-6BB40EE9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433"/>
    <w:rPr>
      <w:rFonts w:ascii="Times New Roman" w:eastAsia="Times New Roman" w:hAnsi="Times New Roman" w:cs="Times New Roman"/>
      <w:kern w:val="0"/>
      <w14:ligatures w14:val="none"/>
    </w:rPr>
  </w:style>
  <w:style w:type="paragraph" w:styleId="Heading2">
    <w:name w:val="heading 2"/>
    <w:basedOn w:val="Normal"/>
    <w:next w:val="Normal"/>
    <w:link w:val="Heading2Char"/>
    <w:uiPriority w:val="9"/>
    <w:unhideWhenUsed/>
    <w:qFormat/>
    <w:rsid w:val="005245BC"/>
    <w:pPr>
      <w:keepNext/>
      <w:keepLines/>
      <w:spacing w:before="120" w:after="120" w:line="276" w:lineRule="auto"/>
      <w:outlineLvl w:val="1"/>
    </w:pPr>
    <w:rPr>
      <w:rFonts w:eastAsia="SimSun"/>
      <w:b/>
      <w:sz w:val="22"/>
      <w:szCs w:val="22"/>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45BC"/>
    <w:rPr>
      <w:rFonts w:ascii="Times New Roman" w:eastAsia="SimSun" w:hAnsi="Times New Roman" w:cs="Times New Roman"/>
      <w:b/>
      <w:kern w:val="0"/>
      <w:sz w:val="22"/>
      <w:szCs w:val="22"/>
      <w:lang w:val="en"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8020">
      <w:bodyDiv w:val="1"/>
      <w:marLeft w:val="0"/>
      <w:marRight w:val="0"/>
      <w:marTop w:val="0"/>
      <w:marBottom w:val="0"/>
      <w:divBdr>
        <w:top w:val="none" w:sz="0" w:space="0" w:color="auto"/>
        <w:left w:val="none" w:sz="0" w:space="0" w:color="auto"/>
        <w:bottom w:val="none" w:sz="0" w:space="0" w:color="auto"/>
        <w:right w:val="none" w:sz="0" w:space="0" w:color="auto"/>
      </w:divBdr>
    </w:div>
    <w:div w:id="481312424">
      <w:bodyDiv w:val="1"/>
      <w:marLeft w:val="0"/>
      <w:marRight w:val="0"/>
      <w:marTop w:val="0"/>
      <w:marBottom w:val="0"/>
      <w:divBdr>
        <w:top w:val="none" w:sz="0" w:space="0" w:color="auto"/>
        <w:left w:val="none" w:sz="0" w:space="0" w:color="auto"/>
        <w:bottom w:val="none" w:sz="0" w:space="0" w:color="auto"/>
        <w:right w:val="none" w:sz="0" w:space="0" w:color="auto"/>
      </w:divBdr>
    </w:div>
    <w:div w:id="484006907">
      <w:bodyDiv w:val="1"/>
      <w:marLeft w:val="0"/>
      <w:marRight w:val="0"/>
      <w:marTop w:val="0"/>
      <w:marBottom w:val="0"/>
      <w:divBdr>
        <w:top w:val="none" w:sz="0" w:space="0" w:color="auto"/>
        <w:left w:val="none" w:sz="0" w:space="0" w:color="auto"/>
        <w:bottom w:val="none" w:sz="0" w:space="0" w:color="auto"/>
        <w:right w:val="none" w:sz="0" w:space="0" w:color="auto"/>
      </w:divBdr>
    </w:div>
    <w:div w:id="524174301">
      <w:bodyDiv w:val="1"/>
      <w:marLeft w:val="0"/>
      <w:marRight w:val="0"/>
      <w:marTop w:val="0"/>
      <w:marBottom w:val="0"/>
      <w:divBdr>
        <w:top w:val="none" w:sz="0" w:space="0" w:color="auto"/>
        <w:left w:val="none" w:sz="0" w:space="0" w:color="auto"/>
        <w:bottom w:val="none" w:sz="0" w:space="0" w:color="auto"/>
        <w:right w:val="none" w:sz="0" w:space="0" w:color="auto"/>
      </w:divBdr>
    </w:div>
    <w:div w:id="678309768">
      <w:bodyDiv w:val="1"/>
      <w:marLeft w:val="0"/>
      <w:marRight w:val="0"/>
      <w:marTop w:val="0"/>
      <w:marBottom w:val="0"/>
      <w:divBdr>
        <w:top w:val="none" w:sz="0" w:space="0" w:color="auto"/>
        <w:left w:val="none" w:sz="0" w:space="0" w:color="auto"/>
        <w:bottom w:val="none" w:sz="0" w:space="0" w:color="auto"/>
        <w:right w:val="none" w:sz="0" w:space="0" w:color="auto"/>
      </w:divBdr>
    </w:div>
    <w:div w:id="704446719">
      <w:bodyDiv w:val="1"/>
      <w:marLeft w:val="0"/>
      <w:marRight w:val="0"/>
      <w:marTop w:val="0"/>
      <w:marBottom w:val="0"/>
      <w:divBdr>
        <w:top w:val="none" w:sz="0" w:space="0" w:color="auto"/>
        <w:left w:val="none" w:sz="0" w:space="0" w:color="auto"/>
        <w:bottom w:val="none" w:sz="0" w:space="0" w:color="auto"/>
        <w:right w:val="none" w:sz="0" w:space="0" w:color="auto"/>
      </w:divBdr>
    </w:div>
    <w:div w:id="808934753">
      <w:bodyDiv w:val="1"/>
      <w:marLeft w:val="0"/>
      <w:marRight w:val="0"/>
      <w:marTop w:val="0"/>
      <w:marBottom w:val="0"/>
      <w:divBdr>
        <w:top w:val="none" w:sz="0" w:space="0" w:color="auto"/>
        <w:left w:val="none" w:sz="0" w:space="0" w:color="auto"/>
        <w:bottom w:val="none" w:sz="0" w:space="0" w:color="auto"/>
        <w:right w:val="none" w:sz="0" w:space="0" w:color="auto"/>
      </w:divBdr>
    </w:div>
    <w:div w:id="1065107353">
      <w:bodyDiv w:val="1"/>
      <w:marLeft w:val="0"/>
      <w:marRight w:val="0"/>
      <w:marTop w:val="0"/>
      <w:marBottom w:val="0"/>
      <w:divBdr>
        <w:top w:val="none" w:sz="0" w:space="0" w:color="auto"/>
        <w:left w:val="none" w:sz="0" w:space="0" w:color="auto"/>
        <w:bottom w:val="none" w:sz="0" w:space="0" w:color="auto"/>
        <w:right w:val="none" w:sz="0" w:space="0" w:color="auto"/>
      </w:divBdr>
    </w:div>
    <w:div w:id="1198620581">
      <w:bodyDiv w:val="1"/>
      <w:marLeft w:val="0"/>
      <w:marRight w:val="0"/>
      <w:marTop w:val="0"/>
      <w:marBottom w:val="0"/>
      <w:divBdr>
        <w:top w:val="none" w:sz="0" w:space="0" w:color="auto"/>
        <w:left w:val="none" w:sz="0" w:space="0" w:color="auto"/>
        <w:bottom w:val="none" w:sz="0" w:space="0" w:color="auto"/>
        <w:right w:val="none" w:sz="0" w:space="0" w:color="auto"/>
      </w:divBdr>
    </w:div>
    <w:div w:id="1265384600">
      <w:bodyDiv w:val="1"/>
      <w:marLeft w:val="0"/>
      <w:marRight w:val="0"/>
      <w:marTop w:val="0"/>
      <w:marBottom w:val="0"/>
      <w:divBdr>
        <w:top w:val="none" w:sz="0" w:space="0" w:color="auto"/>
        <w:left w:val="none" w:sz="0" w:space="0" w:color="auto"/>
        <w:bottom w:val="none" w:sz="0" w:space="0" w:color="auto"/>
        <w:right w:val="none" w:sz="0" w:space="0" w:color="auto"/>
      </w:divBdr>
    </w:div>
    <w:div w:id="1365398734">
      <w:bodyDiv w:val="1"/>
      <w:marLeft w:val="0"/>
      <w:marRight w:val="0"/>
      <w:marTop w:val="0"/>
      <w:marBottom w:val="0"/>
      <w:divBdr>
        <w:top w:val="none" w:sz="0" w:space="0" w:color="auto"/>
        <w:left w:val="none" w:sz="0" w:space="0" w:color="auto"/>
        <w:bottom w:val="none" w:sz="0" w:space="0" w:color="auto"/>
        <w:right w:val="none" w:sz="0" w:space="0" w:color="auto"/>
      </w:divBdr>
    </w:div>
    <w:div w:id="1415204513">
      <w:bodyDiv w:val="1"/>
      <w:marLeft w:val="0"/>
      <w:marRight w:val="0"/>
      <w:marTop w:val="0"/>
      <w:marBottom w:val="0"/>
      <w:divBdr>
        <w:top w:val="none" w:sz="0" w:space="0" w:color="auto"/>
        <w:left w:val="none" w:sz="0" w:space="0" w:color="auto"/>
        <w:bottom w:val="none" w:sz="0" w:space="0" w:color="auto"/>
        <w:right w:val="none" w:sz="0" w:space="0" w:color="auto"/>
      </w:divBdr>
    </w:div>
    <w:div w:id="1531607132">
      <w:bodyDiv w:val="1"/>
      <w:marLeft w:val="0"/>
      <w:marRight w:val="0"/>
      <w:marTop w:val="0"/>
      <w:marBottom w:val="0"/>
      <w:divBdr>
        <w:top w:val="none" w:sz="0" w:space="0" w:color="auto"/>
        <w:left w:val="none" w:sz="0" w:space="0" w:color="auto"/>
        <w:bottom w:val="none" w:sz="0" w:space="0" w:color="auto"/>
        <w:right w:val="none" w:sz="0" w:space="0" w:color="auto"/>
      </w:divBdr>
    </w:div>
    <w:div w:id="1583022241">
      <w:bodyDiv w:val="1"/>
      <w:marLeft w:val="0"/>
      <w:marRight w:val="0"/>
      <w:marTop w:val="0"/>
      <w:marBottom w:val="0"/>
      <w:divBdr>
        <w:top w:val="none" w:sz="0" w:space="0" w:color="auto"/>
        <w:left w:val="none" w:sz="0" w:space="0" w:color="auto"/>
        <w:bottom w:val="none" w:sz="0" w:space="0" w:color="auto"/>
        <w:right w:val="none" w:sz="0" w:space="0" w:color="auto"/>
      </w:divBdr>
    </w:div>
    <w:div w:id="1589919424">
      <w:bodyDiv w:val="1"/>
      <w:marLeft w:val="0"/>
      <w:marRight w:val="0"/>
      <w:marTop w:val="0"/>
      <w:marBottom w:val="0"/>
      <w:divBdr>
        <w:top w:val="none" w:sz="0" w:space="0" w:color="auto"/>
        <w:left w:val="none" w:sz="0" w:space="0" w:color="auto"/>
        <w:bottom w:val="none" w:sz="0" w:space="0" w:color="auto"/>
        <w:right w:val="none" w:sz="0" w:space="0" w:color="auto"/>
      </w:divBdr>
    </w:div>
    <w:div w:id="1882093439">
      <w:bodyDiv w:val="1"/>
      <w:marLeft w:val="0"/>
      <w:marRight w:val="0"/>
      <w:marTop w:val="0"/>
      <w:marBottom w:val="0"/>
      <w:divBdr>
        <w:top w:val="none" w:sz="0" w:space="0" w:color="auto"/>
        <w:left w:val="none" w:sz="0" w:space="0" w:color="auto"/>
        <w:bottom w:val="none" w:sz="0" w:space="0" w:color="auto"/>
        <w:right w:val="none" w:sz="0" w:space="0" w:color="auto"/>
      </w:divBdr>
    </w:div>
    <w:div w:id="1962225669">
      <w:bodyDiv w:val="1"/>
      <w:marLeft w:val="0"/>
      <w:marRight w:val="0"/>
      <w:marTop w:val="0"/>
      <w:marBottom w:val="0"/>
      <w:divBdr>
        <w:top w:val="none" w:sz="0" w:space="0" w:color="auto"/>
        <w:left w:val="none" w:sz="0" w:space="0" w:color="auto"/>
        <w:bottom w:val="none" w:sz="0" w:space="0" w:color="auto"/>
        <w:right w:val="none" w:sz="0" w:space="0" w:color="auto"/>
      </w:divBdr>
    </w:div>
    <w:div w:id="199545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Guanjing Hu</dc:creator>
  <cp:keywords/>
  <dc:description/>
  <cp:lastModifiedBy>Guanjing Hu</cp:lastModifiedBy>
  <cp:revision>4</cp:revision>
  <dcterms:created xsi:type="dcterms:W3CDTF">2023-09-20T10:49:00Z</dcterms:created>
  <dcterms:modified xsi:type="dcterms:W3CDTF">2023-09-20T11:05:00Z</dcterms:modified>
</cp:coreProperties>
</file>