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Identification and Risk Assessment of Distinct Prognostic Subtypes in Sepsis Patients Requiring Invasive Mechanical Ventilation Using Machine Learning and Deep Learning Models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Jialong Chen,MD,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Jing Lin,MD, Jianing Wen,PhD, Jianzhen Weng,PhD, Yang Ju,PhD，Yanming Li,PhD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Digital Content</w:t>
      </w:r>
    </w:p>
    <w:sdt>
      <w:sdtP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id w:val="147482600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sz w:val="24"/>
              <w:szCs w:val="24"/>
            </w:rPr>
          </w:pPr>
          <w:bookmarkStart w:id="0" w:name="_Toc5242_WPSOffice_Type1"/>
        </w:p>
        <w:p>
          <w:pPr>
            <w:pStyle w:val="7"/>
            <w:tabs>
              <w:tab w:val="right" w:leader="dot" w:pos="8306"/>
            </w:tabs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pPr>
          <w:r>
            <w:rPr>
              <w:rFonts w:hint="default" w:ascii="Times New Roman" w:hAnsi="Times New Roman" w:cs="Times New Roman" w:eastAsiaTheme="minorEastAsia"/>
              <w:b/>
              <w:bCs/>
              <w:kern w:val="2"/>
              <w:sz w:val="24"/>
              <w:szCs w:val="24"/>
              <w:lang w:val="en-US" w:eastAsia="zh-CN" w:bidi="ar-SA"/>
            </w:rPr>
            <w:t>Supplemental Tables</w:t>
          </w:r>
          <w:sdt>
            <w:sdt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eae898e8-a2d0-4b71-adf2-e9b392e8892f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eastAsia" w:ascii="Times New Roman" w:hAnsi="Times New Roman" w:cs="Times New Roman"/>
              <w:sz w:val="24"/>
              <w:szCs w:val="24"/>
              <w:lang w:val="en-US" w:eastAsia="zh-CN"/>
            </w:rPr>
            <w:t>2</w:t>
          </w:r>
        </w:p>
        <w:p>
          <w:pPr>
            <w:pStyle w:val="7"/>
            <w:tabs>
              <w:tab w:val="right" w:leader="dot" w:pos="8306"/>
            </w:tabs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pPr>
          <w:r>
            <w:rPr>
              <w:rFonts w:hint="default" w:ascii="Times New Roman" w:hAnsi="Times New Roman" w:cs="Times New Roman" w:eastAsiaTheme="minorEastAsia"/>
              <w:kern w:val="2"/>
              <w:sz w:val="24"/>
              <w:szCs w:val="24"/>
              <w:lang w:val="en-US" w:eastAsia="zh-CN" w:bidi="ar-SA"/>
            </w:rPr>
            <w:t>eTable 1. Characteristics of surviving and deceased patients</w:t>
          </w:r>
          <w:sdt>
            <w:sdt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2cbf03c8-ef78-4b7e-af17-68184fa987fd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t xml:space="preserve"> 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eastAsia" w:ascii="Times New Roman" w:hAnsi="Times New Roman" w:cs="Times New Roman"/>
              <w:sz w:val="24"/>
              <w:szCs w:val="24"/>
              <w:lang w:val="en-US" w:eastAsia="zh-CN"/>
            </w:rPr>
            <w:t>2</w:t>
          </w:r>
        </w:p>
        <w:p>
          <w:pPr>
            <w:pStyle w:val="7"/>
            <w:tabs>
              <w:tab w:val="right" w:leader="dot" w:pos="8306"/>
            </w:tabs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pPr>
          <w:sdt>
            <w:sdt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ed094bba-80a9-43f7-892a-b113eaf622d5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 w:eastAsiaTheme="minorEastAsia"/>
                  <w:kern w:val="2"/>
                  <w:sz w:val="24"/>
                  <w:szCs w:val="24"/>
                  <w:lang w:val="en-US" w:eastAsia="zh-CN" w:bidi="ar-SA"/>
                </w:rPr>
                <w:t>eTable 2. Model evaluation results on MIMIC-IV Test Set and eICU database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eastAsia" w:ascii="Times New Roman" w:hAnsi="Times New Roman" w:cs="Times New Roman"/>
              <w:sz w:val="24"/>
              <w:szCs w:val="24"/>
              <w:lang w:val="en-US" w:eastAsia="zh-CN"/>
            </w:rPr>
            <w:t>5</w:t>
          </w:r>
        </w:p>
        <w:p>
          <w:pPr>
            <w:pStyle w:val="7"/>
            <w:tabs>
              <w:tab w:val="right" w:leader="dot" w:pos="8306"/>
            </w:tabs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pPr>
          <w:r>
            <w:rPr>
              <w:rFonts w:hint="default" w:ascii="Times New Roman" w:hAnsi="Times New Roman" w:cs="Times New Roman" w:eastAsiaTheme="minorEastAsia"/>
              <w:b/>
              <w:bCs/>
              <w:kern w:val="2"/>
              <w:sz w:val="24"/>
              <w:szCs w:val="24"/>
              <w:lang w:val="en-US" w:eastAsia="zh-CN" w:bidi="ar-SA"/>
            </w:rPr>
            <w:t xml:space="preserve">Supplemental </w:t>
          </w:r>
          <w:sdt>
            <w:sdt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7f319965-0990-4c66-8d84-740ad4b2c3c4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 w:eastAsiaTheme="minorEastAsia"/>
                  <w:b/>
                  <w:bCs/>
                  <w:kern w:val="2"/>
                  <w:sz w:val="24"/>
                  <w:szCs w:val="24"/>
                  <w:lang w:val="en-US" w:eastAsia="zh-CN" w:bidi="ar-SA"/>
                </w:rPr>
                <w:t>Figure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eastAsia" w:ascii="Times New Roman" w:hAnsi="Times New Roman" w:cs="Times New Roman"/>
              <w:sz w:val="24"/>
              <w:szCs w:val="24"/>
              <w:lang w:val="en-US" w:eastAsia="zh-CN"/>
            </w:rPr>
            <w:t>6</w:t>
          </w:r>
        </w:p>
        <w:p>
          <w:pPr>
            <w:pStyle w:val="7"/>
            <w:tabs>
              <w:tab w:val="right" w:leader="dot" w:pos="8306"/>
            </w:tabs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pPr>
          <w:sdt>
            <w:sdt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2be0737c-94bb-46eb-8b13-d374525ffe0b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 w:eastAsiaTheme="minorEastAsia"/>
                  <w:kern w:val="2"/>
                  <w:sz w:val="24"/>
                  <w:szCs w:val="24"/>
                  <w:lang w:val="en-US" w:eastAsia="zh-CN" w:bidi="ar-SA"/>
                </w:rPr>
                <w:t>e Figure1 Schematic illustration of the study design.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eastAsia" w:ascii="Times New Roman" w:hAnsi="Times New Roman" w:cs="Times New Roman"/>
              <w:sz w:val="24"/>
              <w:szCs w:val="24"/>
              <w:lang w:val="en-US" w:eastAsia="zh-CN"/>
            </w:rPr>
            <w:t>6</w:t>
          </w:r>
        </w:p>
        <w:p>
          <w:pPr>
            <w:pStyle w:val="7"/>
            <w:tabs>
              <w:tab w:val="right" w:leader="dot" w:pos="8306"/>
            </w:tabs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pPr>
          <w:sdt>
            <w:sdt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a141f434-ad9d-444f-9133-8bf4e27c4435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 w:eastAsiaTheme="minorEastAsia"/>
                  <w:kern w:val="2"/>
                  <w:sz w:val="24"/>
                  <w:szCs w:val="24"/>
                  <w:lang w:val="en-US" w:eastAsia="zh-CN" w:bidi="ar-SA"/>
                </w:rPr>
                <w:t>e Figure2 Variables and their missing percentages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eastAsia" w:ascii="Times New Roman" w:hAnsi="Times New Roman" w:cs="Times New Roman"/>
              <w:sz w:val="24"/>
              <w:szCs w:val="24"/>
              <w:lang w:val="en-US" w:eastAsia="zh-CN"/>
            </w:rPr>
            <w:t>7</w:t>
          </w:r>
        </w:p>
        <w:p>
          <w:pPr>
            <w:pStyle w:val="7"/>
            <w:tabs>
              <w:tab w:val="right" w:leader="dot" w:pos="8306"/>
            </w:tabs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pPr>
          <w:sdt>
            <w:sdt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8769ea2e-65c2-41d8-bf1a-bde28aee5387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 w:eastAsiaTheme="minorEastAsia"/>
                  <w:kern w:val="2"/>
                  <w:sz w:val="24"/>
                  <w:szCs w:val="24"/>
                  <w:lang w:val="en-US" w:eastAsia="zh-CN" w:bidi="ar-SA"/>
                </w:rPr>
                <w:t>e Figure 3 The top 15 of variables and importance for the random forest method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eastAsia" w:ascii="Times New Roman" w:hAnsi="Times New Roman" w:cs="Times New Roman"/>
              <w:sz w:val="24"/>
              <w:szCs w:val="24"/>
              <w:lang w:val="en-US" w:eastAsia="zh-CN"/>
            </w:rPr>
            <w:t>8</w:t>
          </w:r>
        </w:p>
        <w:p>
          <w:pPr>
            <w:pStyle w:val="7"/>
            <w:tabs>
              <w:tab w:val="right" w:leader="dot" w:pos="8306"/>
            </w:tabs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pPr>
          <w:sdt>
            <w:sdt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cb08ecb1-c427-4d79-98c2-5db15da2c5b6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 w:eastAsiaTheme="minorEastAsia"/>
                  <w:kern w:val="2"/>
                  <w:sz w:val="24"/>
                  <w:szCs w:val="24"/>
                  <w:lang w:val="en-US" w:eastAsia="zh-CN" w:bidi="ar-SA"/>
                </w:rPr>
                <w:t xml:space="preserve">e Figure 4 The top 15 of variables and importance for the backward screening method 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bookmarkEnd w:id="0"/>
          <w:r>
            <w:rPr>
              <w:rFonts w:hint="eastAsia" w:ascii="Times New Roman" w:hAnsi="Times New Roman" w:cs="Times New Roman"/>
              <w:sz w:val="24"/>
              <w:szCs w:val="24"/>
              <w:lang w:val="en-US" w:eastAsia="zh-CN"/>
            </w:rPr>
            <w:t>9</w:t>
          </w:r>
        </w:p>
        <w:p>
          <w:pPr>
            <w:pStyle w:val="7"/>
            <w:tabs>
              <w:tab w:val="right" w:leader="dot" w:pos="8306"/>
            </w:tabs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 w:eastAsiaTheme="minorEastAsia"/>
              <w:kern w:val="2"/>
              <w:sz w:val="24"/>
              <w:szCs w:val="24"/>
              <w:lang w:val="en-US" w:eastAsia="zh-CN" w:bidi="ar-SA"/>
            </w:rPr>
            <w:t>e</w:t>
          </w:r>
          <w:sdt>
            <w:sdt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id w:val="147482600"/>
              <w:placeholder>
                <w:docPart w:val="{23bce9da-7d5e-4269-9806-c37f8ec60ce7}"/>
              </w:placeholder>
              <w15:color w:val="509DF3"/>
            </w:sdtPr>
            <w:sdtEnd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sdtEndPr>
            <w:sdtContent>
              <w:r>
                <w:rPr>
                  <w:rFonts w:hint="default" w:ascii="Times New Roman" w:hAnsi="Times New Roman" w:cs="Times New Roman" w:eastAsiaTheme="minorEastAsia"/>
                  <w:kern w:val="2"/>
                  <w:sz w:val="24"/>
                  <w:szCs w:val="24"/>
                  <w:lang w:val="en-US" w:eastAsia="zh-CN" w:bidi="ar-SA"/>
                </w:rPr>
                <w:t xml:space="preserve">Figure 5 Hyperparameter optimization history using RandomizedSearchCV </w:t>
              </w:r>
            </w:sdtContent>
          </w:sdt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6</w:t>
          </w:r>
        </w:p>
      </w:sdtContent>
    </w:sdt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 w:eastAsiaTheme="minorEastAsia"/>
          <w:lang w:val="en-US" w:eastAsia="zh-CN"/>
        </w:rPr>
      </w:pPr>
      <w:bookmarkStart w:id="1" w:name="_Toc102733864"/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Supplementary </w:t>
      </w:r>
      <w:bookmarkEnd w:id="1"/>
      <w:r>
        <w:rPr>
          <w:rFonts w:hint="default" w:ascii="Times New Roman" w:hAnsi="Times New Roman" w:cs="Times New Roman"/>
          <w:sz w:val="24"/>
          <w:szCs w:val="24"/>
          <w:lang w:val="en-US"/>
        </w:rPr>
        <w:t>Table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</w:p>
    <w:p>
      <w:pPr>
        <w:jc w:val="left"/>
        <w:rPr>
          <w:rFonts w:hint="default" w:ascii="Times New Roman" w:hAnsi="Times New Roman" w:cs="Times New Roman"/>
          <w:b/>
          <w:bCs/>
        </w:rPr>
      </w:pPr>
      <w:bookmarkStart w:id="2" w:name="_Toc87436473"/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Table 1.</w:t>
      </w:r>
      <w:bookmarkEnd w:id="2"/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Characteristics of surviving and deceased patients</w:t>
      </w:r>
    </w:p>
    <w:tbl>
      <w:tblPr>
        <w:tblStyle w:val="5"/>
        <w:tblW w:w="10618" w:type="dxa"/>
        <w:tblInd w:w="-1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254"/>
        <w:gridCol w:w="1773"/>
        <w:gridCol w:w="1009"/>
        <w:gridCol w:w="1600"/>
        <w:gridCol w:w="1691"/>
        <w:gridCol w:w="10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18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MIMIC-IV database</w:t>
            </w:r>
          </w:p>
        </w:tc>
        <w:tc>
          <w:tcPr>
            <w:tcW w:w="43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eICU database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2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Survival patients(N=10,023)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Deceased patients(N=2907)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Survival patients(N=1,196)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Deceased patients(N=241)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Demographic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Ethnicity(%)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6819(68%)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1702(58.5%)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945(79.01%)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186(77.2%)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771(7.7%)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253(8.7%)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115(9.62%)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24(0.10%)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2433(24.3%)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952(32.7%)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136(11.37%)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31(12.86%)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Age(year)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65±15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68±15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61±16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63±17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6246(62.32%)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1201(41.31%)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712(59.53%)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126(52.28%)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Comorbidity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Hypertension(%)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4791(47.8%)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1075(37%)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650(54.35%)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112(46.47%)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Myocardial infarction(%)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1941(19.4%)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646(22.2%)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0(0%)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0(0%)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Congestive heart failure(%)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2986(29.8%)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1070(36.8%)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0(0%)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0(0%)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Cerebrovascular disease(%)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1288(12.9%)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551(19%)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112(9.36%)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27(11.20%)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pulmonary disease(%)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2760(27.5%)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870(29.9%)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408(34.11%)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81(33.61%)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Diabetes(%)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3223(32.2%)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914(31.4%)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0.467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406(33.95%)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68(28.22%)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Renal disease(%)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1981(19.8%)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799(27.5%)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217(18.14%)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50(20.75%)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Malignant cancer(%)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1001(10%)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536(18.4%)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151(12.63%)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43(17.84%)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 disease(%)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1369(13.7%)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833(28.7%)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17(1.42%)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8(3.32%)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Metastatic solid tumor(%)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324(3.2%)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274(9.4%)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0(0%)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0(0%)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Aids(%)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65(0.6%)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24(0.8%)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0.309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0(0%)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0(0%)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Laboratory tests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White blood cell(K/uL)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12.825±6.985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15.111±15.272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15.06±8.3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14.67±8.52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Hemoglobin(g/dL)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10.684±1.825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10.286±2.074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10.95±2.29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10.17±2.1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Platelet(K/uL)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196.899±99.515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187.91±114.498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219.93±120.53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173.78±109.92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Alt(IU/L)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143.234±419.831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243.223±658.921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107.33±341.78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138.64±339.58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Ast(IU/L)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233.989±666.793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497.332±1378.667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182.09±693.59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268.31±795.68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Creatinine(mg/dL)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1.411±1.317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1.963±1.529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1.77±1.51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2.01±1.77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Bun(mg/dL)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25.779±19.018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38.449±26.025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32.85±24.12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35.82±23.26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Lactate(ng/mL)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2.247±1.293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3.985±3.341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2.43±1.92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3.3±2.68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Glucose(mg/dL)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142.166±50.937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163.375±73.636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156.71±75.41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152.91±64.26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7.279±0.1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7.204±0.147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7.34±0.09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7.33±0.09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Pco2(mmHg)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52.7±15.3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55.4±19.5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41.99±12.2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41.14±11.75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Fio2(%)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57.163±13.593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60.774±17.379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59.32±26.25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63.55±21.55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Oxygenation index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249.452±99.803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209.925±110.118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165.73±98.14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124.27±77.46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Vital sign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Heart rate(bpm)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85.92±14.15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92.06±17.44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89.31±12.62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93.41±13.68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Systolic blood pressure(mmHg)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114.404±12.464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109.492±14.59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121.55±13.76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113.95±13.33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Diastolic blood pressure(mmHg)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59.718±8.725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58.743±9.883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64.24±8.98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58.56±9.84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 arterial pressure(mmHg)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75.86±8.34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73.59±9.89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80.21±10.17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74.3±10.24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Respiratory rate(insp/min)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19.05±3.48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21.74±4.35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20.99±3.58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22.44±4.69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Temperature(℃)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36.959±0.559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36.738±0.922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37.04±0.48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36.93±0.65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Spo2(%)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97.524±1.743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96.04±4.277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96.86±1.68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96.16±2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6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Vasoactive agent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Epinephrine infusion rate(mcg/kg/min)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0.01±0.03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0.03±0.12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0.09±2.32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0±0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Norepinephrine infusion rate(mcg/kg/min)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0.05±0.18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0.16±0.5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0.03±0.11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0.07±0.17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Dobutamine infusion rate(mcg/kg/min)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0.07±0.64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0.28±1.46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0±0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0±0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Dopamine infusion rate(mcg/kg/min)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0.32±4.5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1.04±3.59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0.2±1.72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0.12±1.04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Phenylephrine infusion rate(mcg/kg/min)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0.45±2.27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0.81±2.06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0±0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0±0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Vasopressin infusion rate(units/hour)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0.25±1.4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0.88±2.05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0.02±0.12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0.04±0.14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Milrinone infusion rate(mcg/kg/min)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0.01±0.25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0.01±0.12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0.439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0±0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0±0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Septic shock(%)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4095(40.9%)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2057(70.8%)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205(17.14%)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82(32.02%)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12.7±3.7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12.2±4.1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3.9±0.5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4±0.2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SOFA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5±2.5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7±2.5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7±2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7±2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Length of hospitalization(day)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11±7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8.3±7.6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17.79±24.95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10.52±8.35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0618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SOFA：Sequential Organ Failure Assessment,GCS:Glasgow Coma Scale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Table 2. Model evaluation results on MIMIC-IV Test Set and eICU database</w:t>
      </w:r>
    </w:p>
    <w:tbl>
      <w:tblPr>
        <w:tblStyle w:val="5"/>
        <w:tblpPr w:leftFromText="180" w:rightFromText="180" w:vertAnchor="text" w:horzAnchor="page" w:tblpX="607" w:tblpY="259"/>
        <w:tblOverlap w:val="never"/>
        <w:tblW w:w="11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945"/>
        <w:gridCol w:w="991"/>
        <w:gridCol w:w="1045"/>
        <w:gridCol w:w="783"/>
        <w:gridCol w:w="1045"/>
        <w:gridCol w:w="902"/>
        <w:gridCol w:w="1225"/>
        <w:gridCol w:w="918"/>
        <w:gridCol w:w="819"/>
        <w:gridCol w:w="14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91" w:type="dxa"/>
            <w:gridSpan w:val="6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MIMIC-IV test set(N=2,584)</w:t>
            </w:r>
          </w:p>
        </w:tc>
        <w:tc>
          <w:tcPr>
            <w:tcW w:w="530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eICU database(N=1,437)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Model 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Sensitivity 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Accuracy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F1 score 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Precision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Sensitivity 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Accuracy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F1 score 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Precision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  <w:tc>
          <w:tcPr>
            <w:tcW w:w="90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</w:p>
        </w:tc>
        <w:tc>
          <w:tcPr>
            <w:tcW w:w="90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</w:t>
            </w:r>
          </w:p>
        </w:tc>
        <w:tc>
          <w:tcPr>
            <w:tcW w:w="90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ADA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  <w:tc>
          <w:tcPr>
            <w:tcW w:w="90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</w:p>
        </w:tc>
        <w:tc>
          <w:tcPr>
            <w:tcW w:w="90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LGBM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  <w:tc>
          <w:tcPr>
            <w:tcW w:w="90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200" w:type="dxa"/>
            <w:gridSpan w:val="11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CNN: Convolutional Neural Network; ANN:Artificial Neural Network;RF:Random Forest; AdaBoost: Adaptive Boosting; CatBoost: Categorical Boosting; LGBM: Light Gradient Boosting Machine; AUC:area under the receiver operating characteristic curve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Supplemental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Figure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</w:t>
      </w: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Figure1 Schematic illustration of the study design.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7068820" cy="6513195"/>
            <wp:effectExtent l="0" t="0" r="5080" b="1905"/>
            <wp:docPr id="8" name="图片 8" descr="all_f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ll_flowchar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8820" cy="651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e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Figure2 Variables and their missing percentages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6231890" cy="4224655"/>
            <wp:effectExtent l="0" t="0" r="3810" b="4445"/>
            <wp:docPr id="2" name="图片 2" descr="Supplementary material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material Fig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1890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e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Figure 3 The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top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15 of variables and importance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for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the random forest method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6174740" cy="4972685"/>
            <wp:effectExtent l="0" t="0" r="10160" b="5715"/>
            <wp:docPr id="4" name="图片 4" descr="Supplementary materi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material 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497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e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Figure 4 The top 15 of variables and importance for the backward screening method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6230620" cy="5113020"/>
            <wp:effectExtent l="0" t="0" r="5080" b="5080"/>
            <wp:docPr id="5" name="图片 5" descr="Supplementary material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material Fig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0620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Figure 5 Hyperparameter optimization history using RandomizedSearchCV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3" w:name="_GoBack"/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6844665" cy="4107815"/>
            <wp:effectExtent l="0" t="0" r="635" b="6985"/>
            <wp:docPr id="6" name="图片 6" descr="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istory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4665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ZjFiMTFiODE5MTg2MDdkMWM1YWFhOTI5NTU2NTYifQ=="/>
    <w:docVar w:name="KY_MEDREF_DOCUID" w:val="{9870949A-4742-4291-8CFD-FA3ECCE552BD}"/>
    <w:docVar w:name="KY_MEDREF_VERSION" w:val="3"/>
  </w:docVars>
  <w:rsids>
    <w:rsidRoot w:val="00000000"/>
    <w:rsid w:val="06A54DE0"/>
    <w:rsid w:val="147B1D92"/>
    <w:rsid w:val="74B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240" w:line="480" w:lineRule="auto"/>
      <w:outlineLvl w:val="0"/>
    </w:pPr>
    <w:rPr>
      <w:b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eae898e8-a2d0-4b71-adf2-e9b392e889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e898e8-a2d0-4b71-adf2-e9b392e8892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d094bba-80a9-43f7-892a-b113eaf622d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d094bba-80a9-43f7-892a-b113eaf622d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be0737c-94bb-46eb-8b13-d374525ffe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be0737c-94bb-46eb-8b13-d374525ffe0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141f434-ad9d-444f-9133-8bf4e27c443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41f434-ad9d-444f-9133-8bf4e27c443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769ea2e-65c2-41d8-bf1a-bde28aee538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769ea2e-65c2-41d8-bf1a-bde28aee538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b08ecb1-c427-4d79-98c2-5db15da2c5b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b08ecb1-c427-4d79-98c2-5db15da2c5b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3bce9da-7d5e-4269-9806-c37f8ec60ce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3bce9da-7d5e-4269-9806-c37f8ec60ce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cbf03c8-ef78-4b7e-af17-68184fa987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bf03c8-ef78-4b7e-af17-68184fa987f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319965-0990-4c66-8d84-740ad4b2c3c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319965-0990-4c66-8d84-740ad4b2c3c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710</Words>
  <Characters>5177</Characters>
  <Lines>0</Lines>
  <Paragraphs>0</Paragraphs>
  <TotalTime>10</TotalTime>
  <ScaleCrop>false</ScaleCrop>
  <LinksUpToDate>false</LinksUpToDate>
  <CharactersWithSpaces>5473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2023-08-03T08:29:00Z</dcterms:created>
  <dc:creator>m4ybe</dc:creator>
  <cp:lastModifiedBy>。。。</cp:lastModifiedBy>
  <dcterms:modified xsi:type="dcterms:W3CDTF">2023-08-05T01:27:04Z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129937E2C06B4CDB8D1378BD25A7C85B_12</vt:lpwstr>
  </property>
</Properties>
</file>