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0A92A" w14:textId="7231FC11" w:rsidR="00B274E9" w:rsidRDefault="00B274E9" w:rsidP="00B274E9">
      <w:pPr>
        <w:widowControl w:val="0"/>
        <w:autoSpaceDE w:val="0"/>
        <w:autoSpaceDN w:val="0"/>
        <w:adjustRightInd w:val="0"/>
        <w:spacing w:line="276" w:lineRule="auto"/>
        <w:rPr>
          <w:rFonts w:ascii="Arial" w:hAnsi="Arial" w:cs="Arial"/>
        </w:rPr>
      </w:pPr>
      <w:r>
        <w:rPr>
          <w:rFonts w:ascii="Arial" w:hAnsi="Arial" w:cs="Arial"/>
        </w:rPr>
        <w:t>Supplementary Material:</w:t>
      </w:r>
    </w:p>
    <w:p w14:paraId="02A01F80" w14:textId="77777777" w:rsidR="00B274E9" w:rsidRDefault="00B274E9" w:rsidP="00B274E9">
      <w:pPr>
        <w:widowControl w:val="0"/>
        <w:autoSpaceDE w:val="0"/>
        <w:autoSpaceDN w:val="0"/>
        <w:adjustRightInd w:val="0"/>
        <w:spacing w:line="276" w:lineRule="auto"/>
        <w:rPr>
          <w:rFonts w:ascii="Arial" w:hAnsi="Arial" w:cs="Arial"/>
        </w:rPr>
      </w:pPr>
    </w:p>
    <w:p w14:paraId="14B02198" w14:textId="0FEBB745" w:rsidR="00295B63" w:rsidRPr="00E21F57" w:rsidRDefault="00295B63" w:rsidP="00295B63">
      <w:pPr>
        <w:spacing w:line="360" w:lineRule="auto"/>
        <w:rPr>
          <w:rFonts w:ascii="Arial" w:hAnsi="Arial" w:cs="Arial"/>
          <w:b/>
          <w:bCs/>
          <w:szCs w:val="24"/>
        </w:rPr>
      </w:pPr>
      <w:r>
        <w:rPr>
          <w:rFonts w:ascii="Arial" w:hAnsi="Arial" w:cs="Arial"/>
          <w:b/>
          <w:bCs/>
          <w:szCs w:val="24"/>
        </w:rPr>
        <w:t xml:space="preserve">Supp. </w:t>
      </w:r>
      <w:r>
        <w:rPr>
          <w:rFonts w:ascii="Arial" w:hAnsi="Arial" w:cs="Arial"/>
          <w:b/>
          <w:bCs/>
          <w:szCs w:val="24"/>
        </w:rPr>
        <w:t xml:space="preserve">Table </w:t>
      </w:r>
      <w:r>
        <w:rPr>
          <w:rFonts w:ascii="Arial" w:hAnsi="Arial" w:cs="Arial"/>
          <w:b/>
          <w:bCs/>
          <w:szCs w:val="24"/>
        </w:rPr>
        <w:t>1</w:t>
      </w:r>
      <w:r>
        <w:rPr>
          <w:rFonts w:ascii="Arial" w:hAnsi="Arial" w:cs="Arial"/>
          <w:b/>
          <w:bCs/>
          <w:szCs w:val="24"/>
        </w:rPr>
        <w:t>:</w:t>
      </w:r>
    </w:p>
    <w:tbl>
      <w:tblPr>
        <w:tblW w:w="8698" w:type="dxa"/>
        <w:tblCellMar>
          <w:top w:w="15" w:type="dxa"/>
          <w:left w:w="15" w:type="dxa"/>
          <w:bottom w:w="15" w:type="dxa"/>
          <w:right w:w="15" w:type="dxa"/>
        </w:tblCellMar>
        <w:tblLook w:val="04A0" w:firstRow="1" w:lastRow="0" w:firstColumn="1" w:lastColumn="0" w:noHBand="0" w:noVBand="1"/>
      </w:tblPr>
      <w:tblGrid>
        <w:gridCol w:w="1786"/>
        <w:gridCol w:w="1548"/>
        <w:gridCol w:w="1394"/>
        <w:gridCol w:w="1294"/>
        <w:gridCol w:w="2676"/>
      </w:tblGrid>
      <w:tr w:rsidR="00295B63" w:rsidRPr="00E21F57" w14:paraId="732E9946" w14:textId="77777777" w:rsidTr="003B027C">
        <w:trPr>
          <w:trHeight w:val="412"/>
        </w:trPr>
        <w:tc>
          <w:tcPr>
            <w:tcW w:w="0" w:type="auto"/>
            <w:tcBorders>
              <w:bottom w:val="single" w:sz="8" w:space="0" w:color="000000"/>
            </w:tcBorders>
            <w:tcMar>
              <w:top w:w="100" w:type="dxa"/>
              <w:left w:w="100" w:type="dxa"/>
              <w:bottom w:w="100" w:type="dxa"/>
              <w:right w:w="100" w:type="dxa"/>
            </w:tcMar>
            <w:hideMark/>
          </w:tcPr>
          <w:p w14:paraId="440588EE" w14:textId="77777777" w:rsidR="00295B63" w:rsidRPr="00E21F57" w:rsidRDefault="00295B63" w:rsidP="003B027C">
            <w:pPr>
              <w:spacing w:line="276" w:lineRule="auto"/>
              <w:ind w:left="100" w:right="100"/>
              <w:rPr>
                <w:rFonts w:ascii="Arial" w:hAnsi="Arial" w:cs="Arial"/>
                <w:b/>
                <w:bCs/>
                <w:color w:val="auto"/>
                <w:szCs w:val="24"/>
              </w:rPr>
            </w:pPr>
            <w:r w:rsidRPr="00E21F57">
              <w:rPr>
                <w:rFonts w:ascii="Arial" w:hAnsi="Arial" w:cs="Arial"/>
                <w:b/>
                <w:bCs/>
                <w:szCs w:val="24"/>
              </w:rPr>
              <w:t>Antibody</w:t>
            </w:r>
          </w:p>
        </w:tc>
        <w:tc>
          <w:tcPr>
            <w:tcW w:w="0" w:type="auto"/>
            <w:tcBorders>
              <w:bottom w:val="single" w:sz="8" w:space="0" w:color="000000"/>
            </w:tcBorders>
            <w:tcMar>
              <w:top w:w="100" w:type="dxa"/>
              <w:left w:w="100" w:type="dxa"/>
              <w:bottom w:w="100" w:type="dxa"/>
              <w:right w:w="100" w:type="dxa"/>
            </w:tcMar>
            <w:hideMark/>
          </w:tcPr>
          <w:p w14:paraId="2362DB98" w14:textId="77777777" w:rsidR="00295B63" w:rsidRPr="00E21F57" w:rsidRDefault="00295B63" w:rsidP="003B027C">
            <w:pPr>
              <w:spacing w:line="276" w:lineRule="auto"/>
              <w:ind w:left="100" w:right="100"/>
              <w:rPr>
                <w:rFonts w:ascii="Arial" w:hAnsi="Arial" w:cs="Arial"/>
                <w:b/>
                <w:bCs/>
                <w:color w:val="auto"/>
                <w:szCs w:val="24"/>
              </w:rPr>
            </w:pPr>
            <w:r w:rsidRPr="00E21F57">
              <w:rPr>
                <w:rFonts w:ascii="Arial" w:hAnsi="Arial" w:cs="Arial"/>
                <w:b/>
                <w:bCs/>
                <w:szCs w:val="24"/>
              </w:rPr>
              <w:t>Type</w:t>
            </w:r>
          </w:p>
        </w:tc>
        <w:tc>
          <w:tcPr>
            <w:tcW w:w="0" w:type="auto"/>
            <w:tcBorders>
              <w:bottom w:val="single" w:sz="8" w:space="0" w:color="000000"/>
            </w:tcBorders>
            <w:tcMar>
              <w:top w:w="100" w:type="dxa"/>
              <w:left w:w="100" w:type="dxa"/>
              <w:bottom w:w="100" w:type="dxa"/>
              <w:right w:w="100" w:type="dxa"/>
            </w:tcMar>
            <w:hideMark/>
          </w:tcPr>
          <w:p w14:paraId="228F147C" w14:textId="77777777" w:rsidR="00295B63" w:rsidRPr="00E21F57" w:rsidRDefault="00295B63" w:rsidP="003B027C">
            <w:pPr>
              <w:spacing w:line="276" w:lineRule="auto"/>
              <w:ind w:left="100" w:right="100"/>
              <w:rPr>
                <w:rFonts w:ascii="Arial" w:hAnsi="Arial" w:cs="Arial"/>
                <w:b/>
                <w:bCs/>
                <w:color w:val="auto"/>
                <w:szCs w:val="24"/>
              </w:rPr>
            </w:pPr>
            <w:r w:rsidRPr="00E21F57">
              <w:rPr>
                <w:rFonts w:ascii="Arial" w:hAnsi="Arial" w:cs="Arial"/>
                <w:b/>
                <w:bCs/>
                <w:szCs w:val="24"/>
              </w:rPr>
              <w:t>Species</w:t>
            </w:r>
          </w:p>
        </w:tc>
        <w:tc>
          <w:tcPr>
            <w:tcW w:w="0" w:type="auto"/>
            <w:tcBorders>
              <w:bottom w:val="single" w:sz="8" w:space="0" w:color="000000"/>
            </w:tcBorders>
            <w:tcMar>
              <w:top w:w="100" w:type="dxa"/>
              <w:left w:w="100" w:type="dxa"/>
              <w:bottom w:w="100" w:type="dxa"/>
              <w:right w:w="100" w:type="dxa"/>
            </w:tcMar>
            <w:hideMark/>
          </w:tcPr>
          <w:p w14:paraId="6611B0B6" w14:textId="77777777" w:rsidR="00295B63" w:rsidRPr="00E21F57" w:rsidRDefault="00295B63" w:rsidP="003B027C">
            <w:pPr>
              <w:spacing w:line="276" w:lineRule="auto"/>
              <w:ind w:left="100" w:right="100"/>
              <w:rPr>
                <w:rFonts w:ascii="Arial" w:hAnsi="Arial" w:cs="Arial"/>
                <w:b/>
                <w:bCs/>
                <w:color w:val="auto"/>
                <w:szCs w:val="24"/>
              </w:rPr>
            </w:pPr>
            <w:r w:rsidRPr="00E21F57">
              <w:rPr>
                <w:rFonts w:ascii="Arial" w:hAnsi="Arial" w:cs="Arial"/>
                <w:b/>
                <w:bCs/>
                <w:szCs w:val="24"/>
              </w:rPr>
              <w:t>Dilution</w:t>
            </w:r>
          </w:p>
        </w:tc>
        <w:tc>
          <w:tcPr>
            <w:tcW w:w="0" w:type="auto"/>
            <w:tcBorders>
              <w:bottom w:val="single" w:sz="8" w:space="0" w:color="000000"/>
            </w:tcBorders>
            <w:tcMar>
              <w:top w:w="100" w:type="dxa"/>
              <w:left w:w="100" w:type="dxa"/>
              <w:bottom w:w="100" w:type="dxa"/>
              <w:right w:w="100" w:type="dxa"/>
            </w:tcMar>
            <w:hideMark/>
          </w:tcPr>
          <w:p w14:paraId="4FB523E3" w14:textId="77777777" w:rsidR="00295B63" w:rsidRPr="00E21F57" w:rsidRDefault="00295B63" w:rsidP="003B027C">
            <w:pPr>
              <w:spacing w:line="276" w:lineRule="auto"/>
              <w:ind w:left="100" w:right="100"/>
              <w:rPr>
                <w:rFonts w:ascii="Arial" w:hAnsi="Arial" w:cs="Arial"/>
                <w:b/>
                <w:bCs/>
                <w:color w:val="auto"/>
                <w:szCs w:val="24"/>
              </w:rPr>
            </w:pPr>
            <w:r w:rsidRPr="00E21F57">
              <w:rPr>
                <w:rFonts w:ascii="Arial" w:hAnsi="Arial" w:cs="Arial"/>
                <w:b/>
                <w:bCs/>
                <w:szCs w:val="24"/>
              </w:rPr>
              <w:t>Company</w:t>
            </w:r>
          </w:p>
        </w:tc>
      </w:tr>
      <w:tr w:rsidR="00295B63" w:rsidRPr="00E21F57" w14:paraId="51138E9A" w14:textId="77777777" w:rsidTr="003B027C">
        <w:trPr>
          <w:trHeight w:val="1227"/>
        </w:trPr>
        <w:tc>
          <w:tcPr>
            <w:tcW w:w="0" w:type="auto"/>
            <w:tcBorders>
              <w:top w:val="single" w:sz="8" w:space="0" w:color="000000"/>
            </w:tcBorders>
            <w:tcMar>
              <w:top w:w="100" w:type="dxa"/>
              <w:left w:w="100" w:type="dxa"/>
              <w:bottom w:w="100" w:type="dxa"/>
              <w:right w:w="100" w:type="dxa"/>
            </w:tcMar>
            <w:hideMark/>
          </w:tcPr>
          <w:p w14:paraId="5DBAFC27"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mGluR3</w:t>
            </w:r>
          </w:p>
          <w:p w14:paraId="69684965" w14:textId="77777777" w:rsidR="00295B63" w:rsidRPr="00E21F57" w:rsidRDefault="00295B63" w:rsidP="003B027C">
            <w:pPr>
              <w:spacing w:line="240" w:lineRule="auto"/>
              <w:ind w:left="100" w:right="100"/>
              <w:rPr>
                <w:rFonts w:ascii="Arial" w:hAnsi="Arial" w:cs="Arial"/>
                <w:color w:val="000000" w:themeColor="text1"/>
                <w:szCs w:val="24"/>
              </w:rPr>
            </w:pPr>
            <w:proofErr w:type="spellStart"/>
            <w:r w:rsidRPr="00E21F57">
              <w:rPr>
                <w:rFonts w:ascii="Arial" w:hAnsi="Arial" w:cs="Arial"/>
                <w:color w:val="000000" w:themeColor="text1"/>
                <w:szCs w:val="24"/>
              </w:rPr>
              <w:t>Nestin</w:t>
            </w:r>
            <w:proofErr w:type="spellEnd"/>
          </w:p>
          <w:p w14:paraId="60D490BD"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Alexa Fluor 647</w:t>
            </w:r>
          </w:p>
          <w:p w14:paraId="55C195D3"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Alexa Fluor 568</w:t>
            </w:r>
          </w:p>
        </w:tc>
        <w:tc>
          <w:tcPr>
            <w:tcW w:w="0" w:type="auto"/>
            <w:tcBorders>
              <w:top w:val="single" w:sz="8" w:space="0" w:color="000000"/>
            </w:tcBorders>
            <w:tcMar>
              <w:top w:w="100" w:type="dxa"/>
              <w:left w:w="100" w:type="dxa"/>
              <w:bottom w:w="100" w:type="dxa"/>
              <w:right w:w="100" w:type="dxa"/>
            </w:tcMar>
            <w:hideMark/>
          </w:tcPr>
          <w:p w14:paraId="7E9DA075"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Primary</w:t>
            </w:r>
          </w:p>
          <w:p w14:paraId="00219C6C"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Primary</w:t>
            </w:r>
          </w:p>
          <w:p w14:paraId="247A8EB6"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Secondary</w:t>
            </w:r>
          </w:p>
          <w:p w14:paraId="0CC1ADCB"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Secondary</w:t>
            </w:r>
          </w:p>
        </w:tc>
        <w:tc>
          <w:tcPr>
            <w:tcW w:w="0" w:type="auto"/>
            <w:tcBorders>
              <w:top w:val="single" w:sz="8" w:space="0" w:color="000000"/>
            </w:tcBorders>
            <w:tcMar>
              <w:top w:w="100" w:type="dxa"/>
              <w:left w:w="100" w:type="dxa"/>
              <w:bottom w:w="100" w:type="dxa"/>
              <w:right w:w="100" w:type="dxa"/>
            </w:tcMar>
            <w:hideMark/>
          </w:tcPr>
          <w:p w14:paraId="7D350628"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Rabbit</w:t>
            </w:r>
          </w:p>
          <w:p w14:paraId="763A1C52"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Goat</w:t>
            </w:r>
          </w:p>
          <w:p w14:paraId="2E5D764B"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anti-goat</w:t>
            </w:r>
          </w:p>
          <w:p w14:paraId="528FE281"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anti-rabbit</w:t>
            </w:r>
          </w:p>
        </w:tc>
        <w:tc>
          <w:tcPr>
            <w:tcW w:w="0" w:type="auto"/>
            <w:tcBorders>
              <w:top w:val="single" w:sz="8" w:space="0" w:color="000000"/>
            </w:tcBorders>
            <w:tcMar>
              <w:top w:w="100" w:type="dxa"/>
              <w:left w:w="100" w:type="dxa"/>
              <w:bottom w:w="100" w:type="dxa"/>
              <w:right w:w="100" w:type="dxa"/>
            </w:tcMar>
            <w:hideMark/>
          </w:tcPr>
          <w:p w14:paraId="74F13EBC"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1:1000</w:t>
            </w:r>
          </w:p>
          <w:p w14:paraId="6600A443"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1:1000</w:t>
            </w:r>
          </w:p>
          <w:p w14:paraId="41AA82D2"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1:1000</w:t>
            </w:r>
          </w:p>
          <w:p w14:paraId="45697C05"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1:1000</w:t>
            </w:r>
          </w:p>
        </w:tc>
        <w:tc>
          <w:tcPr>
            <w:tcW w:w="0" w:type="auto"/>
            <w:tcBorders>
              <w:top w:val="single" w:sz="8" w:space="0" w:color="000000"/>
            </w:tcBorders>
            <w:tcMar>
              <w:top w:w="100" w:type="dxa"/>
              <w:left w:w="100" w:type="dxa"/>
              <w:bottom w:w="100" w:type="dxa"/>
              <w:right w:w="100" w:type="dxa"/>
            </w:tcMar>
            <w:hideMark/>
          </w:tcPr>
          <w:p w14:paraId="7AC79B76"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Abcam, Cambridge, UK</w:t>
            </w:r>
          </w:p>
          <w:p w14:paraId="56A4014A"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Santa Cruz, Santa Cruz, USA</w:t>
            </w:r>
          </w:p>
          <w:p w14:paraId="6CD264CC"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Thermo Fisher Scientific Inc.</w:t>
            </w:r>
          </w:p>
          <w:p w14:paraId="5E71DC0C" w14:textId="77777777" w:rsidR="00295B63" w:rsidRPr="00E21F57" w:rsidRDefault="00295B63" w:rsidP="003B027C">
            <w:pPr>
              <w:spacing w:line="240" w:lineRule="auto"/>
              <w:ind w:left="100" w:right="100"/>
              <w:rPr>
                <w:rFonts w:ascii="Arial" w:hAnsi="Arial" w:cs="Arial"/>
                <w:color w:val="000000" w:themeColor="text1"/>
                <w:szCs w:val="24"/>
              </w:rPr>
            </w:pPr>
            <w:r w:rsidRPr="00E21F57">
              <w:rPr>
                <w:rFonts w:ascii="Arial" w:hAnsi="Arial" w:cs="Arial"/>
                <w:color w:val="000000" w:themeColor="text1"/>
                <w:szCs w:val="24"/>
              </w:rPr>
              <w:t>Thermo Fisher Scientific Inc.</w:t>
            </w:r>
          </w:p>
        </w:tc>
      </w:tr>
    </w:tbl>
    <w:p w14:paraId="76528667" w14:textId="59AE6DFD" w:rsidR="00295B63" w:rsidRDefault="00295B63" w:rsidP="00295B63">
      <w:pPr>
        <w:spacing w:after="200" w:line="276" w:lineRule="auto"/>
        <w:rPr>
          <w:rFonts w:ascii="Arial" w:hAnsi="Arial" w:cs="Arial"/>
          <w:szCs w:val="24"/>
        </w:rPr>
      </w:pPr>
      <w:r>
        <w:rPr>
          <w:rFonts w:ascii="Arial" w:hAnsi="Arial" w:cs="Arial"/>
          <w:i/>
          <w:iCs/>
          <w:szCs w:val="24"/>
        </w:rPr>
        <w:t xml:space="preserve">Supp. </w:t>
      </w:r>
      <w:r w:rsidRPr="00E21F57">
        <w:rPr>
          <w:rFonts w:ascii="Arial" w:hAnsi="Arial" w:cs="Arial"/>
          <w:i/>
          <w:iCs/>
          <w:szCs w:val="24"/>
        </w:rPr>
        <w:t xml:space="preserve">Table </w:t>
      </w:r>
      <w:r>
        <w:rPr>
          <w:rFonts w:ascii="Arial" w:hAnsi="Arial" w:cs="Arial"/>
          <w:i/>
          <w:iCs/>
          <w:szCs w:val="24"/>
        </w:rPr>
        <w:t>1</w:t>
      </w:r>
      <w:r>
        <w:rPr>
          <w:rFonts w:ascii="Arial" w:hAnsi="Arial" w:cs="Arial"/>
          <w:i/>
          <w:iCs/>
          <w:szCs w:val="24"/>
        </w:rPr>
        <w:t>:</w:t>
      </w:r>
      <w:r w:rsidRPr="00E21F57">
        <w:rPr>
          <w:rFonts w:ascii="Arial" w:hAnsi="Arial" w:cs="Arial"/>
          <w:i/>
          <w:iCs/>
          <w:szCs w:val="24"/>
        </w:rPr>
        <w:t xml:space="preserve"> </w:t>
      </w:r>
      <w:r w:rsidRPr="00E21F57">
        <w:rPr>
          <w:rFonts w:ascii="Arial" w:hAnsi="Arial" w:cs="Arial"/>
          <w:szCs w:val="24"/>
        </w:rPr>
        <w:t>Primary and secondary antibodies for immunostaining of glioblastoma cell lines</w:t>
      </w:r>
    </w:p>
    <w:p w14:paraId="56FB232A" w14:textId="10148FA2" w:rsidR="00295B63" w:rsidRPr="000525D3" w:rsidRDefault="00295B63" w:rsidP="00295B63">
      <w:pPr>
        <w:spacing w:after="200" w:line="276" w:lineRule="auto"/>
        <w:rPr>
          <w:rFonts w:ascii="Arial" w:hAnsi="Arial" w:cs="Arial"/>
          <w:b/>
          <w:bCs/>
          <w:szCs w:val="24"/>
        </w:rPr>
      </w:pPr>
      <w:r>
        <w:rPr>
          <w:rFonts w:ascii="Arial" w:hAnsi="Arial" w:cs="Arial"/>
          <w:b/>
          <w:bCs/>
          <w:szCs w:val="24"/>
        </w:rPr>
        <w:t xml:space="preserve">Supp. </w:t>
      </w:r>
      <w:r w:rsidRPr="000525D3">
        <w:rPr>
          <w:rFonts w:ascii="Arial" w:hAnsi="Arial" w:cs="Arial"/>
          <w:b/>
          <w:bCs/>
          <w:szCs w:val="24"/>
        </w:rPr>
        <w:t xml:space="preserve">Table </w:t>
      </w:r>
      <w:r>
        <w:rPr>
          <w:rFonts w:ascii="Arial" w:hAnsi="Arial" w:cs="Arial"/>
          <w:b/>
          <w:bCs/>
          <w:szCs w:val="24"/>
        </w:rPr>
        <w:t>2</w:t>
      </w:r>
      <w:r w:rsidRPr="000525D3">
        <w:rPr>
          <w:rFonts w:ascii="Arial" w:hAnsi="Arial" w:cs="Arial"/>
          <w:b/>
          <w:bCs/>
          <w:szCs w:val="24"/>
        </w:rPr>
        <w:t>:</w:t>
      </w:r>
    </w:p>
    <w:tbl>
      <w:tblPr>
        <w:tblW w:w="8766" w:type="dxa"/>
        <w:tblCellMar>
          <w:top w:w="15" w:type="dxa"/>
          <w:left w:w="15" w:type="dxa"/>
          <w:bottom w:w="15" w:type="dxa"/>
          <w:right w:w="15" w:type="dxa"/>
        </w:tblCellMar>
        <w:tblLook w:val="04A0" w:firstRow="1" w:lastRow="0" w:firstColumn="1" w:lastColumn="0" w:noHBand="0" w:noVBand="1"/>
      </w:tblPr>
      <w:tblGrid>
        <w:gridCol w:w="1954"/>
        <w:gridCol w:w="1348"/>
        <w:gridCol w:w="1350"/>
        <w:gridCol w:w="1094"/>
        <w:gridCol w:w="3020"/>
      </w:tblGrid>
      <w:tr w:rsidR="00295B63" w:rsidRPr="00E21F57" w14:paraId="2670AADA" w14:textId="77777777" w:rsidTr="003B027C">
        <w:trPr>
          <w:trHeight w:val="293"/>
        </w:trPr>
        <w:tc>
          <w:tcPr>
            <w:tcW w:w="0" w:type="auto"/>
            <w:tcBorders>
              <w:bottom w:val="single" w:sz="8" w:space="0" w:color="000000"/>
            </w:tcBorders>
            <w:tcMar>
              <w:top w:w="100" w:type="dxa"/>
              <w:left w:w="100" w:type="dxa"/>
              <w:bottom w:w="100" w:type="dxa"/>
              <w:right w:w="100" w:type="dxa"/>
            </w:tcMar>
            <w:hideMark/>
          </w:tcPr>
          <w:p w14:paraId="7B80E4EF" w14:textId="77777777" w:rsidR="00295B63" w:rsidRPr="00E21F57" w:rsidRDefault="00295B63" w:rsidP="003B027C">
            <w:pPr>
              <w:spacing w:line="276" w:lineRule="auto"/>
              <w:rPr>
                <w:rFonts w:ascii="Arial" w:hAnsi="Arial" w:cs="Arial"/>
                <w:b/>
                <w:bCs/>
                <w:color w:val="auto"/>
                <w:szCs w:val="24"/>
              </w:rPr>
            </w:pPr>
            <w:r w:rsidRPr="00E21F57">
              <w:rPr>
                <w:rFonts w:ascii="Arial" w:hAnsi="Arial" w:cs="Arial"/>
                <w:b/>
                <w:bCs/>
                <w:szCs w:val="24"/>
              </w:rPr>
              <w:t>Antibody</w:t>
            </w:r>
          </w:p>
        </w:tc>
        <w:tc>
          <w:tcPr>
            <w:tcW w:w="0" w:type="auto"/>
            <w:tcBorders>
              <w:bottom w:val="single" w:sz="8" w:space="0" w:color="000000"/>
            </w:tcBorders>
            <w:tcMar>
              <w:top w:w="100" w:type="dxa"/>
              <w:left w:w="100" w:type="dxa"/>
              <w:bottom w:w="100" w:type="dxa"/>
              <w:right w:w="100" w:type="dxa"/>
            </w:tcMar>
            <w:hideMark/>
          </w:tcPr>
          <w:p w14:paraId="1ADBAD7F" w14:textId="77777777" w:rsidR="00295B63" w:rsidRPr="00E21F57" w:rsidRDefault="00295B63" w:rsidP="003B027C">
            <w:pPr>
              <w:spacing w:line="276" w:lineRule="auto"/>
              <w:rPr>
                <w:rFonts w:ascii="Arial" w:hAnsi="Arial" w:cs="Arial"/>
                <w:b/>
                <w:bCs/>
                <w:color w:val="auto"/>
                <w:szCs w:val="24"/>
              </w:rPr>
            </w:pPr>
            <w:r w:rsidRPr="00E21F57">
              <w:rPr>
                <w:rFonts w:ascii="Arial" w:hAnsi="Arial" w:cs="Arial"/>
                <w:b/>
                <w:bCs/>
                <w:szCs w:val="24"/>
              </w:rPr>
              <w:t>Type</w:t>
            </w:r>
          </w:p>
        </w:tc>
        <w:tc>
          <w:tcPr>
            <w:tcW w:w="0" w:type="auto"/>
            <w:tcBorders>
              <w:bottom w:val="single" w:sz="8" w:space="0" w:color="000000"/>
            </w:tcBorders>
            <w:tcMar>
              <w:top w:w="100" w:type="dxa"/>
              <w:left w:w="100" w:type="dxa"/>
              <w:bottom w:w="100" w:type="dxa"/>
              <w:right w:w="100" w:type="dxa"/>
            </w:tcMar>
            <w:hideMark/>
          </w:tcPr>
          <w:p w14:paraId="789BA099" w14:textId="77777777" w:rsidR="00295B63" w:rsidRPr="00E21F57" w:rsidRDefault="00295B63" w:rsidP="003B027C">
            <w:pPr>
              <w:spacing w:line="276" w:lineRule="auto"/>
              <w:rPr>
                <w:rFonts w:ascii="Arial" w:hAnsi="Arial" w:cs="Arial"/>
                <w:b/>
                <w:bCs/>
                <w:color w:val="auto"/>
                <w:szCs w:val="24"/>
              </w:rPr>
            </w:pPr>
            <w:r w:rsidRPr="00E21F57">
              <w:rPr>
                <w:rFonts w:ascii="Arial" w:hAnsi="Arial" w:cs="Arial"/>
                <w:b/>
                <w:bCs/>
                <w:szCs w:val="24"/>
              </w:rPr>
              <w:t>Species</w:t>
            </w:r>
          </w:p>
        </w:tc>
        <w:tc>
          <w:tcPr>
            <w:tcW w:w="0" w:type="auto"/>
            <w:tcBorders>
              <w:bottom w:val="single" w:sz="8" w:space="0" w:color="000000"/>
            </w:tcBorders>
            <w:tcMar>
              <w:top w:w="100" w:type="dxa"/>
              <w:left w:w="100" w:type="dxa"/>
              <w:bottom w:w="100" w:type="dxa"/>
              <w:right w:w="100" w:type="dxa"/>
            </w:tcMar>
            <w:hideMark/>
          </w:tcPr>
          <w:p w14:paraId="056D0805" w14:textId="77777777" w:rsidR="00295B63" w:rsidRPr="00E21F57" w:rsidRDefault="00295B63" w:rsidP="003B027C">
            <w:pPr>
              <w:spacing w:line="276" w:lineRule="auto"/>
              <w:rPr>
                <w:rFonts w:ascii="Arial" w:hAnsi="Arial" w:cs="Arial"/>
                <w:b/>
                <w:bCs/>
                <w:color w:val="auto"/>
                <w:szCs w:val="24"/>
              </w:rPr>
            </w:pPr>
            <w:r w:rsidRPr="00E21F57">
              <w:rPr>
                <w:rFonts w:ascii="Arial" w:hAnsi="Arial" w:cs="Arial"/>
                <w:b/>
                <w:bCs/>
                <w:szCs w:val="24"/>
              </w:rPr>
              <w:t>Dilution</w:t>
            </w:r>
          </w:p>
        </w:tc>
        <w:tc>
          <w:tcPr>
            <w:tcW w:w="0" w:type="auto"/>
            <w:tcBorders>
              <w:bottom w:val="single" w:sz="8" w:space="0" w:color="000000"/>
            </w:tcBorders>
            <w:tcMar>
              <w:top w:w="100" w:type="dxa"/>
              <w:left w:w="100" w:type="dxa"/>
              <w:bottom w:w="100" w:type="dxa"/>
              <w:right w:w="100" w:type="dxa"/>
            </w:tcMar>
            <w:hideMark/>
          </w:tcPr>
          <w:p w14:paraId="42D953CD" w14:textId="77777777" w:rsidR="00295B63" w:rsidRPr="00E21F57" w:rsidRDefault="00295B63" w:rsidP="003B027C">
            <w:pPr>
              <w:spacing w:line="276" w:lineRule="auto"/>
              <w:rPr>
                <w:rFonts w:ascii="Arial" w:hAnsi="Arial" w:cs="Arial"/>
                <w:b/>
                <w:bCs/>
                <w:color w:val="auto"/>
                <w:szCs w:val="24"/>
              </w:rPr>
            </w:pPr>
            <w:r w:rsidRPr="00E21F57">
              <w:rPr>
                <w:rFonts w:ascii="Arial" w:hAnsi="Arial" w:cs="Arial"/>
                <w:b/>
                <w:bCs/>
                <w:szCs w:val="24"/>
              </w:rPr>
              <w:t>Company</w:t>
            </w:r>
          </w:p>
        </w:tc>
      </w:tr>
      <w:tr w:rsidR="00295B63" w:rsidRPr="00E21F57" w14:paraId="4D34AC03" w14:textId="77777777" w:rsidTr="003B027C">
        <w:trPr>
          <w:trHeight w:val="1249"/>
        </w:trPr>
        <w:tc>
          <w:tcPr>
            <w:tcW w:w="0" w:type="auto"/>
            <w:tcBorders>
              <w:top w:val="single" w:sz="8" w:space="0" w:color="000000"/>
            </w:tcBorders>
            <w:tcMar>
              <w:top w:w="100" w:type="dxa"/>
              <w:left w:w="100" w:type="dxa"/>
              <w:bottom w:w="100" w:type="dxa"/>
              <w:right w:w="100" w:type="dxa"/>
            </w:tcMar>
            <w:hideMark/>
          </w:tcPr>
          <w:p w14:paraId="4B573CB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Active Caspase 3</w:t>
            </w:r>
          </w:p>
          <w:p w14:paraId="6CC047C9"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Collagen IV</w:t>
            </w:r>
          </w:p>
          <w:p w14:paraId="278EE30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Ki67</w:t>
            </w:r>
          </w:p>
          <w:p w14:paraId="2FA86ADF"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Alexa Fluor 647</w:t>
            </w:r>
          </w:p>
          <w:p w14:paraId="6B18B2F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Alexa Fluor 555</w:t>
            </w:r>
          </w:p>
          <w:p w14:paraId="2D97AD2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Alexa Fluor 405 </w:t>
            </w:r>
          </w:p>
        </w:tc>
        <w:tc>
          <w:tcPr>
            <w:tcW w:w="0" w:type="auto"/>
            <w:tcBorders>
              <w:top w:val="single" w:sz="8" w:space="0" w:color="000000"/>
            </w:tcBorders>
            <w:tcMar>
              <w:top w:w="100" w:type="dxa"/>
              <w:left w:w="100" w:type="dxa"/>
              <w:bottom w:w="100" w:type="dxa"/>
              <w:right w:w="100" w:type="dxa"/>
            </w:tcMar>
            <w:hideMark/>
          </w:tcPr>
          <w:p w14:paraId="2EDA031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Primary</w:t>
            </w:r>
          </w:p>
          <w:p w14:paraId="7CB547F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Primary</w:t>
            </w:r>
          </w:p>
          <w:p w14:paraId="5197D5C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Primary</w:t>
            </w:r>
          </w:p>
          <w:p w14:paraId="48F132E5"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Secondary</w:t>
            </w:r>
          </w:p>
          <w:p w14:paraId="683A61D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Secondary</w:t>
            </w:r>
          </w:p>
          <w:p w14:paraId="22C86F7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Secondary</w:t>
            </w:r>
          </w:p>
        </w:tc>
        <w:tc>
          <w:tcPr>
            <w:tcW w:w="0" w:type="auto"/>
            <w:tcBorders>
              <w:top w:val="single" w:sz="8" w:space="0" w:color="000000"/>
            </w:tcBorders>
            <w:tcMar>
              <w:top w:w="100" w:type="dxa"/>
              <w:left w:w="100" w:type="dxa"/>
              <w:bottom w:w="100" w:type="dxa"/>
              <w:right w:w="100" w:type="dxa"/>
            </w:tcMar>
            <w:hideMark/>
          </w:tcPr>
          <w:p w14:paraId="7E68F37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Rabbit</w:t>
            </w:r>
          </w:p>
          <w:p w14:paraId="1B50B76F"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Goat</w:t>
            </w:r>
          </w:p>
          <w:p w14:paraId="0299CE6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Mouse</w:t>
            </w:r>
          </w:p>
          <w:p w14:paraId="61901E4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anti-goat</w:t>
            </w:r>
          </w:p>
          <w:p w14:paraId="70E69A5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anti-mouse</w:t>
            </w:r>
          </w:p>
          <w:p w14:paraId="59BB881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anti-rabbit</w:t>
            </w:r>
          </w:p>
        </w:tc>
        <w:tc>
          <w:tcPr>
            <w:tcW w:w="0" w:type="auto"/>
            <w:tcBorders>
              <w:top w:val="single" w:sz="8" w:space="0" w:color="000000"/>
            </w:tcBorders>
            <w:tcMar>
              <w:top w:w="100" w:type="dxa"/>
              <w:left w:w="100" w:type="dxa"/>
              <w:bottom w:w="100" w:type="dxa"/>
              <w:right w:w="100" w:type="dxa"/>
            </w:tcMar>
            <w:hideMark/>
          </w:tcPr>
          <w:p w14:paraId="0A61CDA1"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1:500</w:t>
            </w:r>
          </w:p>
          <w:p w14:paraId="651A4E16"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1:1000</w:t>
            </w:r>
          </w:p>
          <w:p w14:paraId="3D328F7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1:1000</w:t>
            </w:r>
          </w:p>
          <w:p w14:paraId="57B68A2B"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1:1000</w:t>
            </w:r>
          </w:p>
          <w:p w14:paraId="10DF677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1:1000</w:t>
            </w:r>
          </w:p>
          <w:p w14:paraId="659123E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1:1000</w:t>
            </w:r>
          </w:p>
        </w:tc>
        <w:tc>
          <w:tcPr>
            <w:tcW w:w="0" w:type="auto"/>
            <w:tcBorders>
              <w:top w:val="single" w:sz="8" w:space="0" w:color="000000"/>
            </w:tcBorders>
            <w:tcMar>
              <w:top w:w="100" w:type="dxa"/>
              <w:left w:w="100" w:type="dxa"/>
              <w:bottom w:w="100" w:type="dxa"/>
              <w:right w:w="100" w:type="dxa"/>
            </w:tcMar>
            <w:hideMark/>
          </w:tcPr>
          <w:p w14:paraId="0C1A8546"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BD Pharmingen</w:t>
            </w:r>
          </w:p>
          <w:p w14:paraId="70777EA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Agilent Technologies Inc.</w:t>
            </w:r>
          </w:p>
          <w:p w14:paraId="3343D88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DAKO</w:t>
            </w:r>
          </w:p>
          <w:p w14:paraId="4CD60AC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Thermo Fisher Scientific Inc.</w:t>
            </w:r>
          </w:p>
          <w:p w14:paraId="4A696C4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Thermo Fisher Scientific Inc.</w:t>
            </w:r>
          </w:p>
          <w:p w14:paraId="496BF221"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Thermo Fisher Scientific Inc.</w:t>
            </w:r>
          </w:p>
        </w:tc>
      </w:tr>
    </w:tbl>
    <w:p w14:paraId="78B7C8A0" w14:textId="676A6BC2" w:rsidR="00295B63" w:rsidRDefault="00295B63" w:rsidP="00295B63">
      <w:pPr>
        <w:spacing w:after="200" w:line="276" w:lineRule="auto"/>
        <w:rPr>
          <w:rFonts w:ascii="Arial" w:hAnsi="Arial" w:cs="Arial"/>
          <w:szCs w:val="24"/>
        </w:rPr>
      </w:pPr>
      <w:r>
        <w:rPr>
          <w:rFonts w:ascii="Arial" w:hAnsi="Arial" w:cs="Arial"/>
          <w:i/>
          <w:iCs/>
          <w:szCs w:val="24"/>
        </w:rPr>
        <w:t xml:space="preserve">Supp. </w:t>
      </w:r>
      <w:r w:rsidRPr="00E21F57">
        <w:rPr>
          <w:rFonts w:ascii="Arial" w:hAnsi="Arial" w:cs="Arial"/>
          <w:i/>
          <w:iCs/>
          <w:szCs w:val="24"/>
        </w:rPr>
        <w:t xml:space="preserve">Table </w:t>
      </w:r>
      <w:r>
        <w:rPr>
          <w:rFonts w:ascii="Arial" w:hAnsi="Arial" w:cs="Arial"/>
          <w:i/>
          <w:iCs/>
          <w:szCs w:val="24"/>
        </w:rPr>
        <w:t>2</w:t>
      </w:r>
      <w:r>
        <w:rPr>
          <w:rFonts w:ascii="Arial" w:hAnsi="Arial" w:cs="Arial"/>
          <w:i/>
          <w:iCs/>
          <w:szCs w:val="24"/>
        </w:rPr>
        <w:t>:</w:t>
      </w:r>
      <w:r w:rsidRPr="00E21F57">
        <w:rPr>
          <w:rFonts w:ascii="Arial" w:hAnsi="Arial" w:cs="Arial"/>
          <w:i/>
          <w:iCs/>
          <w:szCs w:val="24"/>
        </w:rPr>
        <w:t xml:space="preserve"> </w:t>
      </w:r>
      <w:r w:rsidRPr="00E21F57">
        <w:rPr>
          <w:rFonts w:ascii="Arial" w:hAnsi="Arial" w:cs="Arial"/>
          <w:szCs w:val="24"/>
        </w:rPr>
        <w:t>Primary and secondary antibodies for immunostaining of human organotypic brain sections</w:t>
      </w:r>
    </w:p>
    <w:p w14:paraId="3D98A4A7" w14:textId="77777777" w:rsidR="00295B63" w:rsidRDefault="00295B63" w:rsidP="00295B63">
      <w:pPr>
        <w:spacing w:after="200" w:line="276" w:lineRule="auto"/>
        <w:rPr>
          <w:rFonts w:ascii="Arial" w:hAnsi="Arial" w:cs="Arial"/>
          <w:szCs w:val="24"/>
        </w:rPr>
      </w:pPr>
    </w:p>
    <w:p w14:paraId="23F15E55" w14:textId="77777777" w:rsidR="00295B63" w:rsidRDefault="00295B63" w:rsidP="00295B63">
      <w:pPr>
        <w:spacing w:after="200" w:line="276" w:lineRule="auto"/>
        <w:rPr>
          <w:rFonts w:ascii="Arial" w:hAnsi="Arial" w:cs="Arial"/>
          <w:b/>
          <w:bCs/>
          <w:szCs w:val="24"/>
        </w:rPr>
      </w:pPr>
    </w:p>
    <w:p w14:paraId="7DBC972D" w14:textId="77777777" w:rsidR="00295B63" w:rsidRDefault="00295B63" w:rsidP="00295B63">
      <w:pPr>
        <w:spacing w:after="200" w:line="276" w:lineRule="auto"/>
        <w:rPr>
          <w:rFonts w:ascii="Arial" w:hAnsi="Arial" w:cs="Arial"/>
          <w:b/>
          <w:bCs/>
          <w:szCs w:val="24"/>
        </w:rPr>
      </w:pPr>
    </w:p>
    <w:p w14:paraId="4700914F" w14:textId="77777777" w:rsidR="00295B63" w:rsidRDefault="00295B63" w:rsidP="00295B63">
      <w:pPr>
        <w:spacing w:after="200" w:line="276" w:lineRule="auto"/>
        <w:rPr>
          <w:rFonts w:ascii="Arial" w:hAnsi="Arial" w:cs="Arial"/>
          <w:b/>
          <w:bCs/>
          <w:szCs w:val="24"/>
        </w:rPr>
      </w:pPr>
    </w:p>
    <w:p w14:paraId="7BD35631" w14:textId="77777777" w:rsidR="00295B63" w:rsidRDefault="00295B63" w:rsidP="00295B63">
      <w:pPr>
        <w:spacing w:after="200" w:line="276" w:lineRule="auto"/>
        <w:rPr>
          <w:rFonts w:ascii="Arial" w:hAnsi="Arial" w:cs="Arial"/>
          <w:b/>
          <w:bCs/>
          <w:szCs w:val="24"/>
        </w:rPr>
      </w:pPr>
    </w:p>
    <w:p w14:paraId="759E957A" w14:textId="77777777" w:rsidR="00295B63" w:rsidRDefault="00295B63" w:rsidP="00295B63">
      <w:pPr>
        <w:spacing w:after="200" w:line="276" w:lineRule="auto"/>
        <w:rPr>
          <w:rFonts w:ascii="Arial" w:hAnsi="Arial" w:cs="Arial"/>
          <w:b/>
          <w:bCs/>
          <w:szCs w:val="24"/>
        </w:rPr>
      </w:pPr>
    </w:p>
    <w:p w14:paraId="5FD956F0" w14:textId="77777777" w:rsidR="00295B63" w:rsidRDefault="00295B63" w:rsidP="00295B63">
      <w:pPr>
        <w:spacing w:after="200" w:line="276" w:lineRule="auto"/>
        <w:rPr>
          <w:rFonts w:ascii="Arial" w:hAnsi="Arial" w:cs="Arial"/>
          <w:b/>
          <w:bCs/>
          <w:szCs w:val="24"/>
        </w:rPr>
      </w:pPr>
    </w:p>
    <w:p w14:paraId="2FE92B80" w14:textId="72B7240A" w:rsidR="00295B63" w:rsidRDefault="00295B63" w:rsidP="00295B63">
      <w:pPr>
        <w:spacing w:after="200" w:line="276" w:lineRule="auto"/>
        <w:rPr>
          <w:rFonts w:ascii="Arial" w:hAnsi="Arial" w:cs="Arial"/>
          <w:b/>
          <w:bCs/>
          <w:szCs w:val="24"/>
        </w:rPr>
      </w:pPr>
      <w:r>
        <w:rPr>
          <w:rFonts w:ascii="Arial" w:hAnsi="Arial" w:cs="Arial"/>
          <w:b/>
          <w:bCs/>
          <w:szCs w:val="24"/>
        </w:rPr>
        <w:lastRenderedPageBreak/>
        <w:t xml:space="preserve">Supp. </w:t>
      </w:r>
      <w:r>
        <w:rPr>
          <w:rFonts w:ascii="Arial" w:hAnsi="Arial" w:cs="Arial"/>
          <w:b/>
          <w:bCs/>
          <w:szCs w:val="24"/>
        </w:rPr>
        <w:t xml:space="preserve">Table </w:t>
      </w:r>
      <w:r>
        <w:rPr>
          <w:rFonts w:ascii="Arial" w:hAnsi="Arial" w:cs="Arial"/>
          <w:b/>
          <w:bCs/>
          <w:szCs w:val="24"/>
        </w:rPr>
        <w:t>3</w:t>
      </w:r>
      <w:r>
        <w:rPr>
          <w:rFonts w:ascii="Arial" w:hAnsi="Arial" w:cs="Arial"/>
          <w:b/>
          <w:bCs/>
          <w:szCs w:val="24"/>
        </w:rPr>
        <w:t>:</w:t>
      </w:r>
    </w:p>
    <w:tbl>
      <w:tblPr>
        <w:tblW w:w="8083" w:type="dxa"/>
        <w:tblCellMar>
          <w:top w:w="15" w:type="dxa"/>
          <w:left w:w="15" w:type="dxa"/>
          <w:bottom w:w="15" w:type="dxa"/>
          <w:right w:w="15" w:type="dxa"/>
        </w:tblCellMar>
        <w:tblLook w:val="04A0" w:firstRow="1" w:lastRow="0" w:firstColumn="1" w:lastColumn="0" w:noHBand="0" w:noVBand="1"/>
      </w:tblPr>
      <w:tblGrid>
        <w:gridCol w:w="2551"/>
        <w:gridCol w:w="3529"/>
        <w:gridCol w:w="1558"/>
        <w:gridCol w:w="445"/>
      </w:tblGrid>
      <w:tr w:rsidR="00295B63" w:rsidRPr="000525D3" w14:paraId="65C514A1" w14:textId="77777777" w:rsidTr="003B027C">
        <w:trPr>
          <w:trHeight w:val="477"/>
        </w:trPr>
        <w:tc>
          <w:tcPr>
            <w:tcW w:w="0" w:type="auto"/>
            <w:tcBorders>
              <w:bottom w:val="single" w:sz="8" w:space="0" w:color="7F7F7F"/>
            </w:tcBorders>
            <w:tcMar>
              <w:top w:w="100" w:type="dxa"/>
              <w:left w:w="100" w:type="dxa"/>
              <w:bottom w:w="100" w:type="dxa"/>
              <w:right w:w="100" w:type="dxa"/>
            </w:tcMar>
            <w:hideMark/>
          </w:tcPr>
          <w:p w14:paraId="1F36A013" w14:textId="77777777" w:rsidR="00295B63" w:rsidRPr="000525D3" w:rsidRDefault="00295B63" w:rsidP="003B027C">
            <w:pPr>
              <w:spacing w:line="240" w:lineRule="auto"/>
              <w:rPr>
                <w:rFonts w:ascii="Arial" w:hAnsi="Arial" w:cs="Arial"/>
                <w:color w:val="auto"/>
                <w:szCs w:val="24"/>
              </w:rPr>
            </w:pPr>
            <w:r w:rsidRPr="000525D3">
              <w:rPr>
                <w:rFonts w:ascii="Arial" w:hAnsi="Arial" w:cs="Arial"/>
                <w:szCs w:val="24"/>
              </w:rPr>
              <w:t>Buffer or Solution</w:t>
            </w:r>
          </w:p>
        </w:tc>
        <w:tc>
          <w:tcPr>
            <w:tcW w:w="0" w:type="auto"/>
            <w:tcBorders>
              <w:bottom w:val="single" w:sz="8" w:space="0" w:color="7F7F7F"/>
            </w:tcBorders>
            <w:shd w:val="clear" w:color="auto" w:fill="FFFFFF"/>
            <w:tcMar>
              <w:top w:w="100" w:type="dxa"/>
              <w:left w:w="100" w:type="dxa"/>
              <w:bottom w:w="100" w:type="dxa"/>
              <w:right w:w="100" w:type="dxa"/>
            </w:tcMar>
            <w:hideMark/>
          </w:tcPr>
          <w:p w14:paraId="0DA7B2D3" w14:textId="77777777" w:rsidR="00295B63" w:rsidRPr="000525D3" w:rsidRDefault="00295B63" w:rsidP="003B027C">
            <w:pPr>
              <w:spacing w:line="240" w:lineRule="auto"/>
              <w:rPr>
                <w:rFonts w:ascii="Arial" w:hAnsi="Arial" w:cs="Arial"/>
                <w:color w:val="auto"/>
                <w:szCs w:val="24"/>
              </w:rPr>
            </w:pPr>
            <w:r w:rsidRPr="000525D3">
              <w:rPr>
                <w:rFonts w:ascii="Arial" w:hAnsi="Arial" w:cs="Arial"/>
                <w:szCs w:val="24"/>
              </w:rPr>
              <w:t>Ingredient</w:t>
            </w:r>
          </w:p>
        </w:tc>
        <w:tc>
          <w:tcPr>
            <w:tcW w:w="0" w:type="auto"/>
            <w:gridSpan w:val="2"/>
            <w:tcBorders>
              <w:bottom w:val="single" w:sz="8" w:space="0" w:color="7F7F7F"/>
            </w:tcBorders>
            <w:tcMar>
              <w:top w:w="100" w:type="dxa"/>
              <w:left w:w="100" w:type="dxa"/>
              <w:bottom w:w="100" w:type="dxa"/>
              <w:right w:w="100" w:type="dxa"/>
            </w:tcMar>
            <w:hideMark/>
          </w:tcPr>
          <w:p w14:paraId="75840BC9" w14:textId="77777777" w:rsidR="00295B63" w:rsidRPr="000525D3" w:rsidRDefault="00295B63" w:rsidP="003B027C">
            <w:pPr>
              <w:spacing w:line="240" w:lineRule="auto"/>
              <w:rPr>
                <w:rFonts w:ascii="Arial" w:hAnsi="Arial" w:cs="Arial"/>
                <w:color w:val="auto"/>
                <w:szCs w:val="24"/>
              </w:rPr>
            </w:pPr>
            <w:r w:rsidRPr="000525D3">
              <w:rPr>
                <w:rFonts w:ascii="Arial" w:hAnsi="Arial" w:cs="Arial"/>
                <w:szCs w:val="24"/>
              </w:rPr>
              <w:t>Conc. / Amount</w:t>
            </w:r>
          </w:p>
        </w:tc>
      </w:tr>
      <w:tr w:rsidR="00295B63" w:rsidRPr="00E21F57" w14:paraId="682EB388" w14:textId="77777777" w:rsidTr="003B027C">
        <w:trPr>
          <w:trHeight w:val="3751"/>
        </w:trPr>
        <w:tc>
          <w:tcPr>
            <w:tcW w:w="0" w:type="auto"/>
            <w:tcBorders>
              <w:top w:val="single" w:sz="8" w:space="0" w:color="7F7F7F"/>
            </w:tcBorders>
            <w:tcMar>
              <w:top w:w="100" w:type="dxa"/>
              <w:left w:w="100" w:type="dxa"/>
              <w:bottom w:w="100" w:type="dxa"/>
              <w:right w:w="100" w:type="dxa"/>
            </w:tcMar>
            <w:hideMark/>
          </w:tcPr>
          <w:p w14:paraId="54B5530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4B3E4A7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Preparation Medium</w:t>
            </w:r>
          </w:p>
          <w:p w14:paraId="2FBCAAA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73EB8B3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2E482F1F"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22447B06"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383068F3"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34370EF7"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3F45E7A8"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Growth Medium</w:t>
            </w:r>
          </w:p>
        </w:tc>
        <w:tc>
          <w:tcPr>
            <w:tcW w:w="0" w:type="auto"/>
            <w:tcBorders>
              <w:top w:val="single" w:sz="8" w:space="0" w:color="7F7F7F"/>
            </w:tcBorders>
            <w:tcMar>
              <w:top w:w="100" w:type="dxa"/>
              <w:left w:w="100" w:type="dxa"/>
              <w:bottom w:w="100" w:type="dxa"/>
              <w:right w:w="100" w:type="dxa"/>
            </w:tcMar>
            <w:hideMark/>
          </w:tcPr>
          <w:p w14:paraId="77D4EE45"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Hibernate-A Medium</w:t>
            </w:r>
          </w:p>
          <w:p w14:paraId="3EC5CFE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D-Glucose</w:t>
            </w:r>
          </w:p>
          <w:p w14:paraId="45C53D5D"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N-Methyl-D-</w:t>
            </w:r>
            <w:proofErr w:type="spellStart"/>
            <w:r w:rsidRPr="00E21F57">
              <w:rPr>
                <w:rFonts w:ascii="Arial" w:hAnsi="Arial" w:cs="Arial"/>
                <w:szCs w:val="24"/>
              </w:rPr>
              <w:t>Glucamine</w:t>
            </w:r>
            <w:proofErr w:type="spellEnd"/>
          </w:p>
          <w:p w14:paraId="3ACFE2F7" w14:textId="77777777" w:rsidR="00295B63" w:rsidRPr="00E21F57" w:rsidRDefault="00295B63" w:rsidP="003B027C">
            <w:pPr>
              <w:spacing w:line="240" w:lineRule="auto"/>
              <w:rPr>
                <w:rFonts w:ascii="Arial" w:hAnsi="Arial" w:cs="Arial"/>
                <w:color w:val="auto"/>
                <w:szCs w:val="24"/>
              </w:rPr>
            </w:pPr>
            <w:proofErr w:type="spellStart"/>
            <w:r w:rsidRPr="00E21F57">
              <w:rPr>
                <w:rFonts w:ascii="Arial" w:hAnsi="Arial" w:cs="Arial"/>
                <w:szCs w:val="24"/>
              </w:rPr>
              <w:t>GlutaMAX</w:t>
            </w:r>
            <w:proofErr w:type="spellEnd"/>
          </w:p>
          <w:p w14:paraId="5442F0D3"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271DB95A"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Neurobasal L-Glutamine</w:t>
            </w:r>
          </w:p>
          <w:p w14:paraId="3A5C7E59"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Serum-free B-27</w:t>
            </w:r>
          </w:p>
          <w:p w14:paraId="0967EF35"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Antibiotic-Antimycotic (100X)</w:t>
            </w:r>
          </w:p>
          <w:p w14:paraId="735073AE"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D-Glucose</w:t>
            </w:r>
          </w:p>
          <w:p w14:paraId="7072D996"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MgSO4</w:t>
            </w:r>
          </w:p>
          <w:p w14:paraId="0112479B" w14:textId="77777777" w:rsidR="00295B63" w:rsidRPr="00E21F57" w:rsidRDefault="00295B63" w:rsidP="003B027C">
            <w:pPr>
              <w:spacing w:line="240" w:lineRule="auto"/>
              <w:rPr>
                <w:rFonts w:ascii="Arial" w:hAnsi="Arial" w:cs="Arial"/>
                <w:color w:val="auto"/>
                <w:szCs w:val="24"/>
              </w:rPr>
            </w:pPr>
            <w:proofErr w:type="spellStart"/>
            <w:r w:rsidRPr="00E21F57">
              <w:rPr>
                <w:rFonts w:ascii="Arial" w:hAnsi="Arial" w:cs="Arial"/>
                <w:szCs w:val="24"/>
              </w:rPr>
              <w:t>Hepes</w:t>
            </w:r>
            <w:proofErr w:type="spellEnd"/>
          </w:p>
          <w:p w14:paraId="3551BF61" w14:textId="77777777" w:rsidR="00295B63" w:rsidRPr="00E21F57" w:rsidRDefault="00295B63" w:rsidP="003B027C">
            <w:pPr>
              <w:spacing w:line="240" w:lineRule="auto"/>
              <w:rPr>
                <w:rFonts w:ascii="Arial" w:hAnsi="Arial" w:cs="Arial"/>
                <w:color w:val="auto"/>
                <w:szCs w:val="24"/>
              </w:rPr>
            </w:pPr>
            <w:proofErr w:type="spellStart"/>
            <w:r w:rsidRPr="00E21F57">
              <w:rPr>
                <w:rFonts w:ascii="Arial" w:hAnsi="Arial" w:cs="Arial"/>
                <w:szCs w:val="24"/>
              </w:rPr>
              <w:t>GlutaMAX</w:t>
            </w:r>
            <w:proofErr w:type="spellEnd"/>
          </w:p>
        </w:tc>
        <w:tc>
          <w:tcPr>
            <w:tcW w:w="0" w:type="auto"/>
            <w:tcBorders>
              <w:top w:val="single" w:sz="8" w:space="0" w:color="7F7F7F"/>
            </w:tcBorders>
            <w:tcMar>
              <w:top w:w="100" w:type="dxa"/>
              <w:left w:w="100" w:type="dxa"/>
              <w:bottom w:w="100" w:type="dxa"/>
              <w:right w:w="100" w:type="dxa"/>
            </w:tcMar>
            <w:hideMark/>
          </w:tcPr>
          <w:p w14:paraId="1C27BD50"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50 ml </w:t>
            </w:r>
          </w:p>
          <w:p w14:paraId="3B96799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13 mM</w:t>
            </w:r>
          </w:p>
          <w:p w14:paraId="16C2AD85"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30 mM</w:t>
            </w:r>
          </w:p>
          <w:p w14:paraId="4587907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 mM</w:t>
            </w:r>
          </w:p>
          <w:p w14:paraId="7CBD4A0A"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 </w:t>
            </w:r>
          </w:p>
          <w:p w14:paraId="04CE5FAB"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50 ml </w:t>
            </w:r>
          </w:p>
          <w:p w14:paraId="7C38C450"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2%</w:t>
            </w:r>
          </w:p>
          <w:p w14:paraId="28D01CD0"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2%</w:t>
            </w:r>
          </w:p>
          <w:p w14:paraId="52EE12D4"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13 mM</w:t>
            </w:r>
          </w:p>
          <w:p w14:paraId="125542DC"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 mM</w:t>
            </w:r>
          </w:p>
          <w:p w14:paraId="6BF29E5A"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15 mM</w:t>
            </w:r>
          </w:p>
          <w:p w14:paraId="55B1D7E2" w14:textId="77777777" w:rsidR="00295B63" w:rsidRPr="00E21F57" w:rsidRDefault="00295B63" w:rsidP="003B027C">
            <w:pPr>
              <w:spacing w:line="240" w:lineRule="auto"/>
              <w:rPr>
                <w:rFonts w:ascii="Arial" w:hAnsi="Arial" w:cs="Arial"/>
                <w:color w:val="auto"/>
                <w:szCs w:val="24"/>
              </w:rPr>
            </w:pPr>
            <w:r w:rsidRPr="00E21F57">
              <w:rPr>
                <w:rFonts w:ascii="Arial" w:hAnsi="Arial" w:cs="Arial"/>
                <w:szCs w:val="24"/>
              </w:rPr>
              <w:t>2 mM</w:t>
            </w:r>
          </w:p>
        </w:tc>
        <w:tc>
          <w:tcPr>
            <w:tcW w:w="0" w:type="auto"/>
            <w:tcBorders>
              <w:top w:val="single" w:sz="8" w:space="0" w:color="7F7F7F"/>
            </w:tcBorders>
            <w:tcMar>
              <w:top w:w="100" w:type="dxa"/>
              <w:left w:w="100" w:type="dxa"/>
              <w:bottom w:w="100" w:type="dxa"/>
              <w:right w:w="100" w:type="dxa"/>
            </w:tcMar>
            <w:hideMark/>
          </w:tcPr>
          <w:p w14:paraId="22B3D63D" w14:textId="77777777" w:rsidR="00295B63" w:rsidRPr="00E21F57" w:rsidRDefault="00295B63" w:rsidP="003B027C">
            <w:pPr>
              <w:spacing w:after="160" w:line="240" w:lineRule="auto"/>
              <w:rPr>
                <w:rFonts w:ascii="Arial" w:hAnsi="Arial" w:cs="Arial"/>
                <w:color w:val="auto"/>
                <w:szCs w:val="24"/>
              </w:rPr>
            </w:pPr>
            <w:r w:rsidRPr="00E21F57">
              <w:rPr>
                <w:rFonts w:ascii="Arial" w:hAnsi="Arial" w:cs="Arial"/>
                <w:szCs w:val="24"/>
              </w:rPr>
              <w:t> </w:t>
            </w:r>
          </w:p>
        </w:tc>
      </w:tr>
    </w:tbl>
    <w:p w14:paraId="62AA4C49" w14:textId="2FF75976" w:rsidR="00295B63" w:rsidRPr="00E21F57" w:rsidRDefault="00295B63" w:rsidP="00295B63">
      <w:pPr>
        <w:spacing w:after="200" w:line="240" w:lineRule="auto"/>
        <w:rPr>
          <w:rFonts w:ascii="Arial" w:hAnsi="Arial" w:cs="Arial"/>
          <w:i/>
          <w:iCs/>
          <w:szCs w:val="24"/>
        </w:rPr>
        <w:sectPr w:rsidR="00295B63" w:rsidRPr="00E21F57" w:rsidSect="00E95B54">
          <w:pgSz w:w="11906" w:h="16838" w:code="9"/>
          <w:pgMar w:top="1440" w:right="1440" w:bottom="1440" w:left="1440" w:header="1020" w:footer="850" w:gutter="0"/>
          <w:lnNumType w:countBy="1" w:restart="continuous"/>
          <w:pgNumType w:start="1"/>
          <w:cols w:space="425"/>
          <w:titlePg/>
          <w:docGrid w:type="lines" w:linePitch="326"/>
        </w:sectPr>
      </w:pPr>
      <w:r>
        <w:rPr>
          <w:rFonts w:ascii="Arial" w:hAnsi="Arial" w:cs="Arial"/>
          <w:i/>
          <w:iCs/>
          <w:szCs w:val="24"/>
        </w:rPr>
        <w:t xml:space="preserve">Supp. </w:t>
      </w:r>
      <w:r w:rsidRPr="00E21F57">
        <w:rPr>
          <w:rFonts w:ascii="Arial" w:hAnsi="Arial" w:cs="Arial"/>
          <w:i/>
          <w:iCs/>
          <w:szCs w:val="24"/>
        </w:rPr>
        <w:t xml:space="preserve">Table </w:t>
      </w:r>
      <w:r>
        <w:rPr>
          <w:rFonts w:ascii="Arial" w:hAnsi="Arial" w:cs="Arial"/>
          <w:i/>
          <w:iCs/>
          <w:szCs w:val="24"/>
        </w:rPr>
        <w:t>3</w:t>
      </w:r>
      <w:r>
        <w:rPr>
          <w:rFonts w:ascii="Arial" w:hAnsi="Arial" w:cs="Arial"/>
          <w:i/>
          <w:iCs/>
          <w:szCs w:val="24"/>
        </w:rPr>
        <w:t>:</w:t>
      </w:r>
      <w:r w:rsidRPr="00E21F57">
        <w:rPr>
          <w:rFonts w:ascii="Arial" w:hAnsi="Arial" w:cs="Arial"/>
          <w:i/>
          <w:iCs/>
          <w:szCs w:val="24"/>
        </w:rPr>
        <w:t xml:space="preserve"> Preparation Medium for Human Organotypic Slice Model</w:t>
      </w:r>
    </w:p>
    <w:p w14:paraId="1BB94069" w14:textId="2F65B515" w:rsidR="00B274E9" w:rsidRPr="00251FB1" w:rsidRDefault="00B274E9" w:rsidP="00B274E9">
      <w:pPr>
        <w:widowControl w:val="0"/>
        <w:autoSpaceDE w:val="0"/>
        <w:autoSpaceDN w:val="0"/>
        <w:adjustRightInd w:val="0"/>
        <w:spacing w:line="276" w:lineRule="auto"/>
        <w:rPr>
          <w:rFonts w:ascii="Arial" w:hAnsi="Arial" w:cs="Arial"/>
        </w:rPr>
      </w:pPr>
      <w:r w:rsidRPr="00251FB1">
        <w:rPr>
          <w:rFonts w:ascii="Arial" w:hAnsi="Arial" w:cs="Arial"/>
        </w:rPr>
        <w:lastRenderedPageBreak/>
        <w:t>Supplementary Figure 1: (a) Intracellular concentration of glutamate from 3 profiled primary GBM cell lines (b) Cell death following treatment with 500</w:t>
      </w:r>
      <w:r w:rsidRPr="00251FB1">
        <w:rPr>
          <w:rFonts w:ascii="Arial" w:hAnsi="Arial" w:cs="Arial"/>
        </w:rPr>
        <w:sym w:font="Symbol" w:char="F06D"/>
      </w:r>
      <w:r w:rsidRPr="00251FB1">
        <w:rPr>
          <w:rFonts w:ascii="Arial" w:hAnsi="Arial" w:cs="Arial"/>
        </w:rPr>
        <w:t>M Sulfasalazine (c) Increase in apoptotic cells was dramatic in SAS treated cells over 30 hours post treatment.</w:t>
      </w:r>
    </w:p>
    <w:p w14:paraId="2CE8C128" w14:textId="77777777" w:rsidR="00B274E9" w:rsidRDefault="00B274E9" w:rsidP="00B274E9">
      <w:pPr>
        <w:widowControl w:val="0"/>
        <w:autoSpaceDE w:val="0"/>
        <w:autoSpaceDN w:val="0"/>
        <w:adjustRightInd w:val="0"/>
        <w:spacing w:line="276" w:lineRule="auto"/>
        <w:rPr>
          <w:rFonts w:ascii="Arial" w:hAnsi="Arial" w:cs="Arial"/>
          <w:szCs w:val="24"/>
        </w:rPr>
      </w:pPr>
    </w:p>
    <w:p w14:paraId="7846DA2B" w14:textId="77777777" w:rsidR="00B274E9" w:rsidRPr="00251FB1" w:rsidRDefault="00B274E9" w:rsidP="00B274E9">
      <w:pPr>
        <w:widowControl w:val="0"/>
        <w:autoSpaceDE w:val="0"/>
        <w:autoSpaceDN w:val="0"/>
        <w:adjustRightInd w:val="0"/>
        <w:spacing w:line="276" w:lineRule="auto"/>
        <w:rPr>
          <w:rFonts w:ascii="Arial" w:hAnsi="Arial" w:cs="Arial"/>
          <w:szCs w:val="24"/>
        </w:rPr>
      </w:pPr>
      <w:r w:rsidRPr="00251FB1">
        <w:rPr>
          <w:rFonts w:ascii="Arial" w:hAnsi="Arial" w:cs="Arial"/>
          <w:szCs w:val="24"/>
        </w:rPr>
        <w:t>Supplementary Figure 2: Glutamate stimulation curve shows a significant increase of cellular proliferation on glutamate stimulation (b) Expression of glutamatergic receptor genes along the developmental-reactive subtype axis of GBM samples from a publicly available dataset.</w:t>
      </w:r>
    </w:p>
    <w:p w14:paraId="512C9E21" w14:textId="77777777" w:rsidR="00B274E9" w:rsidRPr="00251FB1" w:rsidRDefault="00B274E9" w:rsidP="00B274E9">
      <w:pPr>
        <w:widowControl w:val="0"/>
        <w:autoSpaceDE w:val="0"/>
        <w:autoSpaceDN w:val="0"/>
        <w:adjustRightInd w:val="0"/>
        <w:spacing w:line="276" w:lineRule="auto"/>
        <w:rPr>
          <w:rFonts w:ascii="Arial" w:hAnsi="Arial" w:cs="Arial"/>
          <w:sz w:val="36"/>
          <w:szCs w:val="36"/>
        </w:rPr>
      </w:pPr>
    </w:p>
    <w:p w14:paraId="37BB313B" w14:textId="77777777" w:rsidR="00B274E9" w:rsidRPr="00251FB1" w:rsidRDefault="00B274E9" w:rsidP="00B274E9">
      <w:pPr>
        <w:widowControl w:val="0"/>
        <w:autoSpaceDE w:val="0"/>
        <w:autoSpaceDN w:val="0"/>
        <w:adjustRightInd w:val="0"/>
        <w:spacing w:line="276" w:lineRule="auto"/>
        <w:rPr>
          <w:rFonts w:ascii="Arial" w:hAnsi="Arial" w:cs="Arial"/>
          <w:sz w:val="36"/>
          <w:szCs w:val="36"/>
        </w:rPr>
      </w:pPr>
      <w:r w:rsidRPr="00251FB1">
        <w:rPr>
          <w:rFonts w:ascii="Arial" w:hAnsi="Arial" w:cs="Arial"/>
          <w:szCs w:val="24"/>
        </w:rPr>
        <w:t>Supplementary Figure 3: (a) mRNA expression shows an increased presence of GRM3 positive cells at the leading edge of the tumor, similar to findings from patient data.</w:t>
      </w:r>
    </w:p>
    <w:p w14:paraId="235C64B9" w14:textId="77777777" w:rsidR="00B274E9" w:rsidRPr="00251FB1" w:rsidRDefault="00B274E9" w:rsidP="00B274E9">
      <w:pPr>
        <w:widowControl w:val="0"/>
        <w:autoSpaceDE w:val="0"/>
        <w:autoSpaceDN w:val="0"/>
        <w:adjustRightInd w:val="0"/>
        <w:spacing w:line="276" w:lineRule="auto"/>
        <w:rPr>
          <w:rFonts w:ascii="Arial" w:hAnsi="Arial" w:cs="Arial"/>
          <w:sz w:val="36"/>
          <w:szCs w:val="36"/>
        </w:rPr>
      </w:pPr>
    </w:p>
    <w:p w14:paraId="2A90E134" w14:textId="77777777" w:rsidR="00B274E9" w:rsidRPr="00251FB1" w:rsidRDefault="00B274E9" w:rsidP="00B274E9">
      <w:pPr>
        <w:widowControl w:val="0"/>
        <w:autoSpaceDE w:val="0"/>
        <w:autoSpaceDN w:val="0"/>
        <w:adjustRightInd w:val="0"/>
        <w:spacing w:line="276" w:lineRule="auto"/>
        <w:rPr>
          <w:rFonts w:ascii="Arial" w:hAnsi="Arial" w:cs="Arial"/>
          <w:szCs w:val="24"/>
        </w:rPr>
      </w:pPr>
      <w:r w:rsidRPr="00251FB1">
        <w:rPr>
          <w:rFonts w:ascii="Arial" w:hAnsi="Arial" w:cs="Arial"/>
          <w:szCs w:val="24"/>
        </w:rPr>
        <w:t xml:space="preserve">Supplementary figure 4: </w:t>
      </w:r>
      <w:proofErr w:type="spellStart"/>
      <w:r w:rsidRPr="00251FB1">
        <w:rPr>
          <w:rFonts w:ascii="Arial" w:hAnsi="Arial" w:cs="Arial"/>
          <w:szCs w:val="24"/>
        </w:rPr>
        <w:t>BrdU</w:t>
      </w:r>
      <w:proofErr w:type="spellEnd"/>
      <w:r w:rsidRPr="00251FB1">
        <w:rPr>
          <w:rFonts w:ascii="Arial" w:hAnsi="Arial" w:cs="Arial"/>
          <w:szCs w:val="24"/>
        </w:rPr>
        <w:t xml:space="preserve"> based proliferation assay post treatment with LY341495 (100nM) (b) Representative images from cell cultures treated with LY341495 shows no change in cell numbers post treatment for 48h (c) Workflow showing the acquisition of cellular kinetic data (d) Velocity heatmaps showing no changes in cellular velocity due to the treatment (e) Histograms of all features studied shows no differences between conditions. (f) Quantification of the total distance travelled by the cells in 72 hours show no difference (p=0.39) (g) GSEA analysis shows significant downregulation of GBM phenotypes post treatment: NPC-like (p. adj=0.0005), OPC-like (p. adj=0.0002) and APC-like (p. adj=0.0000001</w:t>
      </w:r>
    </w:p>
    <w:p w14:paraId="131C531F" w14:textId="77777777" w:rsidR="00B274E9" w:rsidRPr="00251FB1" w:rsidRDefault="00B274E9" w:rsidP="00B274E9">
      <w:pPr>
        <w:widowControl w:val="0"/>
        <w:autoSpaceDE w:val="0"/>
        <w:autoSpaceDN w:val="0"/>
        <w:adjustRightInd w:val="0"/>
        <w:spacing w:line="276" w:lineRule="auto"/>
        <w:rPr>
          <w:rFonts w:ascii="Arial" w:hAnsi="Arial" w:cs="Arial"/>
          <w:sz w:val="36"/>
          <w:szCs w:val="36"/>
        </w:rPr>
      </w:pPr>
    </w:p>
    <w:p w14:paraId="40AD8DD3" w14:textId="77777777" w:rsidR="00B274E9" w:rsidRPr="00251FB1" w:rsidRDefault="00B274E9" w:rsidP="00B274E9">
      <w:pPr>
        <w:widowControl w:val="0"/>
        <w:autoSpaceDE w:val="0"/>
        <w:autoSpaceDN w:val="0"/>
        <w:adjustRightInd w:val="0"/>
        <w:spacing w:line="276" w:lineRule="auto"/>
        <w:rPr>
          <w:rFonts w:ascii="Arial" w:hAnsi="Arial" w:cs="Arial"/>
          <w:szCs w:val="24"/>
        </w:rPr>
      </w:pPr>
      <w:r w:rsidRPr="00251FB1">
        <w:rPr>
          <w:rFonts w:ascii="Arial" w:hAnsi="Arial" w:cs="Arial"/>
          <w:szCs w:val="24"/>
        </w:rPr>
        <w:t>Supplementary Figure 5: (a) Velocity heatmaps of cells in all conditions. There is a significant reduction in cellular velocity due to the combinatorial treatment (b) Quantification of the average cellular movement shows a significant reduction of cellular movement due to the combined treatment (p&lt;0.00001) (c) Other features pertaining to cellular kinetics such as maximum speed of the cell and the total distance travelled were significantly altered due to the combinatorial treatment (d) Kinetic apoptosis assay revealed a significant increase of cells in both early and late apoptosis, over 5hours of treatment (e) Representative images of cells that were treated with the combination treatment. Cells that were treated with TMZ alone were minimally affected in comparison to the combinatorial treatment.</w:t>
      </w:r>
    </w:p>
    <w:p w14:paraId="582CD00F" w14:textId="77777777" w:rsidR="00B274E9" w:rsidRDefault="00B274E9"/>
    <w:sectPr w:rsidR="00B274E9" w:rsidSect="00811730">
      <w:pgSz w:w="11906" w:h="16838"/>
      <w:pgMar w:top="1440" w:right="1440" w:bottom="1440" w:left="1440" w:header="1020" w:footer="850" w:gutter="0"/>
      <w:lnNumType w:countBy="1" w:restart="continuous"/>
      <w:pgNumType w:start="1"/>
      <w:cols w:space="425"/>
      <w:titlePg/>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E9"/>
    <w:rsid w:val="00295B63"/>
    <w:rsid w:val="00811730"/>
    <w:rsid w:val="00B27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3FBF97"/>
  <w15:chartTrackingRefBased/>
  <w15:docId w15:val="{B4318F91-AC7C-5D4B-9065-AAD84CE1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4E9"/>
    <w:pPr>
      <w:spacing w:line="340" w:lineRule="atLeast"/>
      <w:jc w:val="both"/>
    </w:pPr>
    <w:rPr>
      <w:rFonts w:ascii="Times New Roman" w:eastAsia="Times New Roman" w:hAnsi="Times New Roman" w:cs="Times New Roman"/>
      <w:color w:val="00000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B2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Joseph</dc:creator>
  <cp:keywords/>
  <dc:description/>
  <cp:lastModifiedBy>Kevin Joseph</cp:lastModifiedBy>
  <cp:revision>4</cp:revision>
  <cp:lastPrinted>2021-04-08T14:13:00Z</cp:lastPrinted>
  <dcterms:created xsi:type="dcterms:W3CDTF">2021-04-08T14:13:00Z</dcterms:created>
  <dcterms:modified xsi:type="dcterms:W3CDTF">2021-04-08T14:22:00Z</dcterms:modified>
</cp:coreProperties>
</file>