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937" w:tblpY="203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0"/>
        <w:gridCol w:w="562"/>
        <w:gridCol w:w="2537"/>
        <w:gridCol w:w="240"/>
        <w:gridCol w:w="1460"/>
        <w:gridCol w:w="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Clinicopathological features</w:t>
            </w:r>
          </w:p>
        </w:tc>
        <w:tc>
          <w:tcPr>
            <w:tcW w:w="562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Cancer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(%)</w:t>
            </w:r>
          </w:p>
        </w:tc>
        <w:tc>
          <w:tcPr>
            <w:tcW w:w="240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Normal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(%)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n= 96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n=84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CPXM1 expression</w:t>
            </w:r>
          </w:p>
        </w:tc>
        <w:tc>
          <w:tcPr>
            <w:tcW w:w="562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40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Low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50 (52.08)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50 (59.52)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High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46 (47.92)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34 (40.48)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Age (years)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sym w:font="Symbol" w:char="F03C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60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37 (38.54)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31 (36.90)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sym w:font="Symbol" w:char="F0B3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60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59 (61.46)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53 (63.10)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Gender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Male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65 (67.71）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60 (71.43)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Female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31 (32.29）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24 (28.57)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Tumor size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sym w:font="Symbol" w:char="F03C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6 cm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54 (56.25)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47 (55.95)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sym w:font="Symbol" w:char="F0B3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6 cm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42 (43.75)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37 (44.05)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Pathological grade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sym w:font="Symbol" w:char="F0A3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16 (16.67)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16 (19.05)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sym w:font="Symbol" w:char="F03E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80 (83.33)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68 (80.95)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Tumor invasion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 (2.08)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 (2.38)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11 (11.46)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11 (13.10)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50 (52.08)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43 (51.19)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T4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33 (34.38)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28 (33.33)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Lymph node metastasis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N0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20 (20.83)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18 (21.43)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25 (26.04)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18 (42.43)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19 (19.80)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24 (28.57)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32 (33.33)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24 (28.57)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Distant metastasis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M0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94 (97.92)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83 (98.81)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M1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 (2.08)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 (1.19)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ACJJ stage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Stage I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 (8.33)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 (9.53)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Stage II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27 (28.13)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24 (28.57)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Stage III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59 (61.46）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51 (60.71)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0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Stage IV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 (2.08）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 (1.19)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  <w:tcBorders>
              <w:top w:val="single" w:color="000000" w:sz="12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ACJJ: </w:t>
            </w:r>
            <w:r>
              <w:rPr>
                <w:rFonts w:hint="default" w:ascii="Times New Roman" w:hAnsi="Times New Roman" w:eastAsia="RqrwqkAdvTT86d47313" w:cs="Times New Roman"/>
                <w:color w:val="131413"/>
                <w:kern w:val="0"/>
                <w:sz w:val="21"/>
                <w:szCs w:val="21"/>
                <w:lang w:val="en-US" w:eastAsia="zh-CN" w:bidi="ar"/>
              </w:rPr>
              <w:t>the seventh edition of the American Joint Committee on Cancer (AJCC)/International Union Against Cancer TNM classification system.</w:t>
            </w:r>
          </w:p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eastAsia" w:eastAsia="宋体"/>
          <w:sz w:val="21"/>
          <w:szCs w:val="21"/>
          <w:lang w:val="en-US" w:eastAsia="zh-CN"/>
        </w:rPr>
      </w:pPr>
      <w:r>
        <w:rPr>
          <w:rFonts w:hint="eastAsia" w:ascii="Times New Roman" w:hAnsi="Times New Roman" w:eastAsia="Segoe UI"/>
          <w:b/>
          <w:bCs/>
          <w:color w:val="212121"/>
          <w:sz w:val="24"/>
          <w:shd w:val="clear" w:color="auto" w:fill="FFFFFF"/>
        </w:rPr>
        <w:t xml:space="preserve">Supplement files 4. </w:t>
      </w:r>
      <w:r>
        <w:rPr>
          <w:rFonts w:hint="eastAsia" w:ascii="Times New Roman" w:hAnsi="Times New Roman" w:eastAsia="Segoe UI"/>
          <w:color w:val="212121"/>
          <w:sz w:val="24"/>
          <w:shd w:val="clear" w:color="auto" w:fill="FFFFFF"/>
        </w:rPr>
        <w:t xml:space="preserve">General clinicopathological features of 96 cases </w:t>
      </w:r>
      <w:r>
        <w:rPr>
          <w:rFonts w:ascii="Times New Roman" w:hAnsi="Times New Roman" w:eastAsia="Segoe UI"/>
          <w:color w:val="212121"/>
          <w:sz w:val="24"/>
          <w:shd w:val="clear" w:color="auto" w:fill="FFFFFF"/>
        </w:rPr>
        <w:t xml:space="preserve">of </w:t>
      </w:r>
      <w:r>
        <w:rPr>
          <w:rFonts w:hint="eastAsia" w:ascii="Times New Roman" w:hAnsi="Times New Roman" w:eastAsia="Segoe UI"/>
          <w:color w:val="212121"/>
          <w:sz w:val="24"/>
          <w:shd w:val="clear" w:color="auto" w:fill="FFFFFF"/>
        </w:rPr>
        <w:t>GC patients</w:t>
      </w:r>
      <w:r>
        <w:rPr>
          <w:rFonts w:hint="eastAsia" w:ascii="Times New Roman" w:hAnsi="Times New Roman" w:eastAsia="宋体"/>
          <w:color w:val="212121"/>
          <w:sz w:val="24"/>
          <w:shd w:val="clear" w:color="auto" w:fill="FFFFFF"/>
          <w:lang w:val="en-US" w:eastAsia="zh-CN"/>
        </w:rPr>
        <w:t>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RqrwqkAdvTT86d47313">
    <w:altName w:val="flatico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laticon">
    <w:panose1 w:val="02000509000000000000"/>
    <w:charset w:val="00"/>
    <w:family w:val="auto"/>
    <w:pitch w:val="default"/>
    <w:sig w:usb0="00000000" w:usb1="10000000" w:usb2="00000000" w:usb3="00000000" w:csb0="0000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06634A"/>
    <w:rsid w:val="60F8328A"/>
    <w:rsid w:val="74C7599D"/>
    <w:rsid w:val="7D06634A"/>
    <w:rsid w:val="7DF14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2020-10-21T03:11:00Z</dcterms:created>
  <dc:creator>Du Jun</dc:creator>
  <cp:lastModifiedBy>Du Jun</cp:lastModifiedBy>
  <dcterms:modified xsi:type="dcterms:W3CDTF">2020-11-03T23:55:39Z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