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Additional file 1. Univariable analysis (UVA) and multivariable analysis (MVA) for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locoregional 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relapse-free survival (LRRFS) and distant metastasis-free survival (DM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"/>
        </w:rPr>
        <w:t>F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S)</w:t>
      </w:r>
    </w:p>
    <w:p>
      <w:pPr>
        <w:rPr>
          <w:rFonts w:hint="eastAsia" w:ascii="Times New Roman" w:hAnsi="Times New Roman"/>
          <w:sz w:val="18"/>
          <w:szCs w:val="18"/>
        </w:rPr>
      </w:pPr>
    </w:p>
    <w:tbl>
      <w:tblPr>
        <w:tblStyle w:val="3"/>
        <w:tblW w:w="9498" w:type="dxa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850"/>
        <w:gridCol w:w="709"/>
        <w:gridCol w:w="709"/>
        <w:gridCol w:w="2126"/>
        <w:gridCol w:w="737"/>
        <w:gridCol w:w="680"/>
        <w:gridCol w:w="21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bookmarkStart w:id="0" w:name="OLE_LINK3" w:colFirst="0" w:colLast="7"/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Variables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Number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LRRFS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DMFS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at 5y(%)</w:t>
            </w:r>
          </w:p>
        </w:tc>
        <w:tc>
          <w:tcPr>
            <w:tcW w:w="709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UV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A</w:t>
            </w: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MV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A</w:t>
            </w:r>
          </w:p>
        </w:tc>
        <w:tc>
          <w:tcPr>
            <w:tcW w:w="73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at 5y(%)</w:t>
            </w:r>
          </w:p>
        </w:tc>
        <w:tc>
          <w:tcPr>
            <w:tcW w:w="680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UV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A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MV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p</w:t>
            </w: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HR 95%CI P</w:t>
            </w:r>
          </w:p>
        </w:tc>
        <w:tc>
          <w:tcPr>
            <w:tcW w:w="73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p</w:t>
            </w:r>
          </w:p>
        </w:tc>
        <w:tc>
          <w:tcPr>
            <w:tcW w:w="21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HR 95%CI 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Gender</w:t>
            </w: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0.159</w:t>
            </w:r>
          </w:p>
        </w:tc>
        <w:tc>
          <w:tcPr>
            <w:tcW w:w="2126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0.06</w:t>
            </w:r>
          </w:p>
        </w:tc>
        <w:tc>
          <w:tcPr>
            <w:tcW w:w="2127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35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74.8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71.8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25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91.5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87.1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Age(y)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0.222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0.485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≤52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31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88.4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75.7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＞52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29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74.8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80.5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Perineural invasion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0.601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0.676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41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80.9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81.0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Yes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19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88.9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76.7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Major never involvement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0.215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0.024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2.115 0.521-8.583 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Negative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32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89.5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89.3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Positive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28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74.5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68.2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Extra-parenchymal extension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0.840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0.476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26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82.4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83.8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Yes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34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84.2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77.3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Primary site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0.591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0.762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Parotid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gland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34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82.5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79.4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Submandibular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gland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17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75.3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68.8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Sublingual gland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9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88.9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74.1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T stage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0.337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0.130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T1-T2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14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85.7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92.3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T3-T4b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46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80.9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74.7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 stage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0.173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0.014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N0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41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83.7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86.1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N1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N2b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60.0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N2c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-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Clinical stage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0.495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0.049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Ⅰ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Ⅱ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11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85.7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100.0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Ⅲ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Ⅳ</w:t>
            </w: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  <w:szCs w:val="21"/>
              </w:rPr>
              <w:t>b</w:t>
            </w:r>
            <w:bookmarkStart w:id="1" w:name="_GoBack"/>
            <w:bookmarkEnd w:id="1"/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49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82.0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73.8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argin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0.029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5.064 1.211-21.187 0.026</w:t>
            </w: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0.055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6.367 1.524-26.603 0.011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Positive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53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85.9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81.9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Negative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57.1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57.1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Skin involvement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0.136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0.932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55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85.8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78.3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5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40.0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80.0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Interval from surgery to RT (d)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0.239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0.157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6.231 1.503-25.829 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≤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30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88.9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84.4</w:t>
            </w:r>
          </w:p>
        </w:tc>
        <w:tc>
          <w:tcPr>
            <w:tcW w:w="680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＞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30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75.0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3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71.9</w:t>
            </w:r>
          </w:p>
        </w:tc>
        <w:tc>
          <w:tcPr>
            <w:tcW w:w="68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12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5154AB"/>
    <w:rsid w:val="5EF20045"/>
    <w:rsid w:val="6659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2020-05-04T08:51:00Z</dcterms:created>
  <dc:creator>admin</dc:creator>
  <cp:lastModifiedBy>倩倩</cp:lastModifiedBy>
  <dcterms:modified xsi:type="dcterms:W3CDTF">2020-05-04T11:38:41Z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