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16D815" w14:textId="77777777" w:rsidR="00DD5157" w:rsidRPr="00FD1165" w:rsidRDefault="00DD5157" w:rsidP="00DD5157">
      <w:pPr>
        <w:spacing w:line="480" w:lineRule="auto"/>
        <w:jc w:val="both"/>
        <w:outlineLvl w:val="0"/>
        <w:rPr>
          <w:b/>
          <w:sz w:val="22"/>
          <w:szCs w:val="22"/>
        </w:rPr>
      </w:pPr>
      <w:r w:rsidRPr="00FD1165">
        <w:rPr>
          <w:b/>
          <w:sz w:val="22"/>
          <w:szCs w:val="22"/>
        </w:rPr>
        <w:t>TABLES</w:t>
      </w:r>
    </w:p>
    <w:p w14:paraId="166C9777" w14:textId="77777777" w:rsidR="00DD5157" w:rsidRPr="00FD1165" w:rsidRDefault="00DD5157" w:rsidP="00DD5157">
      <w:pPr>
        <w:spacing w:line="480" w:lineRule="auto"/>
        <w:jc w:val="both"/>
        <w:outlineLvl w:val="0"/>
        <w:rPr>
          <w:b/>
          <w:sz w:val="22"/>
          <w:szCs w:val="22"/>
        </w:rPr>
      </w:pPr>
    </w:p>
    <w:p w14:paraId="5EFB710B" w14:textId="77777777" w:rsidR="00DD5157" w:rsidRPr="00FD1165" w:rsidRDefault="00DD5157" w:rsidP="00DD5157">
      <w:pPr>
        <w:spacing w:line="480" w:lineRule="auto"/>
        <w:jc w:val="both"/>
        <w:outlineLvl w:val="0"/>
        <w:rPr>
          <w:b/>
          <w:caps/>
          <w:sz w:val="22"/>
          <w:szCs w:val="22"/>
        </w:rPr>
      </w:pPr>
      <w:r w:rsidRPr="00FD1165">
        <w:rPr>
          <w:b/>
          <w:sz w:val="22"/>
          <w:szCs w:val="22"/>
        </w:rPr>
        <w:t xml:space="preserve">TABLE </w:t>
      </w:r>
      <w:r w:rsidRPr="00FD1165">
        <w:rPr>
          <w:b/>
          <w:caps/>
          <w:sz w:val="22"/>
          <w:szCs w:val="22"/>
        </w:rPr>
        <w:t>Labels</w:t>
      </w:r>
      <w:r>
        <w:rPr>
          <w:b/>
          <w:caps/>
          <w:sz w:val="22"/>
          <w:szCs w:val="22"/>
        </w:rPr>
        <w:t xml:space="preserve"> AND LEGENDs</w:t>
      </w:r>
    </w:p>
    <w:p w14:paraId="6F2C9167" w14:textId="77777777" w:rsidR="00DD5157" w:rsidRPr="00FD1165" w:rsidRDefault="00DD5157" w:rsidP="00DD5157">
      <w:pPr>
        <w:spacing w:line="480" w:lineRule="auto"/>
        <w:jc w:val="both"/>
        <w:outlineLvl w:val="0"/>
        <w:rPr>
          <w:b/>
          <w:sz w:val="22"/>
          <w:szCs w:val="22"/>
        </w:rPr>
      </w:pPr>
    </w:p>
    <w:p w14:paraId="1BD31787" w14:textId="77777777" w:rsidR="00DD5157" w:rsidRPr="00FD1165" w:rsidRDefault="00DD5157" w:rsidP="00DD5157">
      <w:pPr>
        <w:tabs>
          <w:tab w:val="left" w:pos="810"/>
        </w:tabs>
        <w:spacing w:line="480" w:lineRule="auto"/>
        <w:rPr>
          <w:sz w:val="22"/>
          <w:szCs w:val="22"/>
        </w:rPr>
      </w:pPr>
      <w:r w:rsidRPr="00FD1165">
        <w:rPr>
          <w:b/>
          <w:sz w:val="22"/>
          <w:szCs w:val="22"/>
        </w:rPr>
        <w:t>Table 1.</w:t>
      </w:r>
      <w:r w:rsidRPr="00FD1165">
        <w:rPr>
          <w:sz w:val="22"/>
          <w:szCs w:val="22"/>
        </w:rPr>
        <w:t xml:space="preserve"> </w:t>
      </w:r>
      <w:r>
        <w:rPr>
          <w:sz w:val="22"/>
          <w:szCs w:val="22"/>
        </w:rPr>
        <w:t xml:space="preserve"> </w:t>
      </w:r>
      <w:r w:rsidRPr="00FD1165">
        <w:rPr>
          <w:sz w:val="22"/>
          <w:szCs w:val="22"/>
        </w:rPr>
        <w:t>Composition of the PATH study cohort by self-identified black African (BA)</w:t>
      </w:r>
      <w:r>
        <w:rPr>
          <w:sz w:val="22"/>
          <w:szCs w:val="22"/>
        </w:rPr>
        <w:t>-</w:t>
      </w:r>
      <w:r w:rsidRPr="00FD1165">
        <w:rPr>
          <w:sz w:val="22"/>
          <w:szCs w:val="22"/>
        </w:rPr>
        <w:t xml:space="preserve"> or white European (WE)</w:t>
      </w:r>
      <w:r>
        <w:rPr>
          <w:sz w:val="22"/>
          <w:szCs w:val="22"/>
        </w:rPr>
        <w:t>-</w:t>
      </w:r>
      <w:r w:rsidRPr="00FD1165">
        <w:rPr>
          <w:sz w:val="22"/>
          <w:szCs w:val="22"/>
        </w:rPr>
        <w:t>racial/ethnic</w:t>
      </w:r>
      <w:r>
        <w:rPr>
          <w:sz w:val="22"/>
          <w:szCs w:val="22"/>
        </w:rPr>
        <w:t>-</w:t>
      </w:r>
      <w:r w:rsidRPr="00FD1165">
        <w:rPr>
          <w:sz w:val="22"/>
          <w:szCs w:val="22"/>
        </w:rPr>
        <w:t>ancestry and either (</w:t>
      </w:r>
      <w:r w:rsidRPr="00FD1165">
        <w:rPr>
          <w:b/>
          <w:bCs/>
          <w:sz w:val="22"/>
          <w:szCs w:val="22"/>
        </w:rPr>
        <w:t>A</w:t>
      </w:r>
      <w:r w:rsidRPr="00FD1165">
        <w:rPr>
          <w:sz w:val="22"/>
          <w:szCs w:val="22"/>
        </w:rPr>
        <w:t>) historical</w:t>
      </w:r>
      <w:bookmarkStart w:id="0" w:name="_Hlk143873099"/>
      <w:r w:rsidRPr="00FD1165">
        <w:rPr>
          <w:sz w:val="22"/>
          <w:szCs w:val="22"/>
        </w:rPr>
        <w:t>-FEI-status</w:t>
      </w:r>
      <w:bookmarkEnd w:id="0"/>
      <w:r w:rsidRPr="00FD1165">
        <w:rPr>
          <w:sz w:val="22"/>
          <w:szCs w:val="22"/>
        </w:rPr>
        <w:t xml:space="preserve"> or (</w:t>
      </w:r>
      <w:r w:rsidRPr="00FD1165">
        <w:rPr>
          <w:b/>
          <w:bCs/>
          <w:sz w:val="22"/>
          <w:szCs w:val="22"/>
        </w:rPr>
        <w:t>B</w:t>
      </w:r>
      <w:r w:rsidRPr="00FD1165">
        <w:rPr>
          <w:sz w:val="22"/>
          <w:szCs w:val="22"/>
        </w:rPr>
        <w:t xml:space="preserve">) baseline-FEI-status. </w:t>
      </w:r>
    </w:p>
    <w:p w14:paraId="0C3A5A4E" w14:textId="77777777" w:rsidR="00DD5157" w:rsidRPr="00FD1165" w:rsidRDefault="00DD5157" w:rsidP="00DD5157">
      <w:pPr>
        <w:tabs>
          <w:tab w:val="left" w:pos="810"/>
        </w:tabs>
        <w:spacing w:line="480" w:lineRule="auto"/>
        <w:rPr>
          <w:b/>
          <w:sz w:val="22"/>
          <w:szCs w:val="22"/>
        </w:rPr>
      </w:pPr>
    </w:p>
    <w:p w14:paraId="35A72805" w14:textId="77777777" w:rsidR="00DD5157" w:rsidRDefault="00DD5157" w:rsidP="00DD5157">
      <w:pPr>
        <w:tabs>
          <w:tab w:val="left" w:pos="810"/>
        </w:tabs>
        <w:spacing w:line="468" w:lineRule="auto"/>
        <w:jc w:val="both"/>
        <w:outlineLvl w:val="0"/>
        <w:rPr>
          <w:sz w:val="21"/>
          <w:szCs w:val="21"/>
        </w:rPr>
      </w:pPr>
    </w:p>
    <w:p w14:paraId="68B71ECE" w14:textId="77777777" w:rsidR="00DD5157" w:rsidRPr="005B6A46" w:rsidRDefault="00DD5157" w:rsidP="00DD5157">
      <w:pPr>
        <w:tabs>
          <w:tab w:val="left" w:pos="810"/>
        </w:tabs>
        <w:spacing w:line="468" w:lineRule="auto"/>
        <w:jc w:val="both"/>
        <w:outlineLvl w:val="0"/>
        <w:rPr>
          <w:b/>
          <w:sz w:val="21"/>
          <w:szCs w:val="21"/>
        </w:rPr>
      </w:pPr>
      <w:r w:rsidRPr="005B6A46">
        <w:rPr>
          <w:sz w:val="21"/>
          <w:szCs w:val="21"/>
        </w:rPr>
        <w:t xml:space="preserve">*With respect to: </w:t>
      </w:r>
      <w:r w:rsidRPr="005B6A46">
        <w:rPr>
          <w:b/>
          <w:bCs/>
          <w:sz w:val="21"/>
          <w:szCs w:val="21"/>
        </w:rPr>
        <w:t>Table 1A</w:t>
      </w:r>
      <w:r w:rsidRPr="005B6A46">
        <w:rPr>
          <w:sz w:val="21"/>
          <w:szCs w:val="21"/>
        </w:rPr>
        <w:t>, data on historical-FEI-status was not provided in the questionnaires for four PATH subjects, one of which had BA</w:t>
      </w:r>
      <w:r>
        <w:rPr>
          <w:sz w:val="21"/>
          <w:szCs w:val="21"/>
        </w:rPr>
        <w:t>-</w:t>
      </w:r>
      <w:r w:rsidRPr="005B6A46">
        <w:rPr>
          <w:sz w:val="21"/>
          <w:szCs w:val="21"/>
        </w:rPr>
        <w:t>racial/ethnic</w:t>
      </w:r>
      <w:r>
        <w:rPr>
          <w:sz w:val="21"/>
          <w:szCs w:val="21"/>
        </w:rPr>
        <w:t>-</w:t>
      </w:r>
      <w:r w:rsidRPr="005B6A46">
        <w:rPr>
          <w:sz w:val="21"/>
          <w:szCs w:val="21"/>
        </w:rPr>
        <w:t xml:space="preserve">ancestry and three had WE; </w:t>
      </w:r>
      <w:r w:rsidRPr="005B6A46">
        <w:rPr>
          <w:b/>
          <w:bCs/>
          <w:sz w:val="21"/>
          <w:szCs w:val="21"/>
        </w:rPr>
        <w:t>Table 1B</w:t>
      </w:r>
      <w:r w:rsidRPr="005B6A46">
        <w:rPr>
          <w:sz w:val="21"/>
          <w:szCs w:val="21"/>
        </w:rPr>
        <w:t>, baseline-FEI-status was not determined for 22 PATH subjects—11 each of which had BA</w:t>
      </w:r>
      <w:r>
        <w:rPr>
          <w:sz w:val="21"/>
          <w:szCs w:val="21"/>
        </w:rPr>
        <w:t>-</w:t>
      </w:r>
      <w:r w:rsidRPr="005B6A46">
        <w:rPr>
          <w:sz w:val="21"/>
          <w:szCs w:val="21"/>
        </w:rPr>
        <w:t xml:space="preserve"> or WE</w:t>
      </w:r>
      <w:r>
        <w:rPr>
          <w:sz w:val="21"/>
          <w:szCs w:val="21"/>
        </w:rPr>
        <w:t>-racial-</w:t>
      </w:r>
      <w:r w:rsidRPr="005B6A46">
        <w:rPr>
          <w:sz w:val="21"/>
          <w:szCs w:val="21"/>
        </w:rPr>
        <w:t xml:space="preserve">ancestry—as Bethesda assays were not performed on study entry either because no aliquots of their </w:t>
      </w:r>
      <w:r w:rsidRPr="005B6A46">
        <w:rPr>
          <w:bCs/>
          <w:sz w:val="21"/>
          <w:szCs w:val="21"/>
        </w:rPr>
        <w:t>citrate</w:t>
      </w:r>
      <w:r w:rsidRPr="005B6A46">
        <w:rPr>
          <w:sz w:val="21"/>
          <w:szCs w:val="21"/>
        </w:rPr>
        <w:t>d</w:t>
      </w:r>
      <w:r w:rsidRPr="005B6A46">
        <w:rPr>
          <w:bCs/>
          <w:sz w:val="21"/>
          <w:szCs w:val="21"/>
        </w:rPr>
        <w:t xml:space="preserve"> PPP</w:t>
      </w:r>
      <w:r>
        <w:rPr>
          <w:bCs/>
          <w:sz w:val="21"/>
          <w:szCs w:val="21"/>
        </w:rPr>
        <w:t>:</w:t>
      </w:r>
      <w:r w:rsidRPr="005B6A46">
        <w:rPr>
          <w:bCs/>
          <w:sz w:val="21"/>
          <w:szCs w:val="21"/>
        </w:rPr>
        <w:t xml:space="preserve"> </w:t>
      </w:r>
      <w:r w:rsidRPr="005B6A46">
        <w:rPr>
          <w:sz w:val="21"/>
          <w:szCs w:val="21"/>
        </w:rPr>
        <w:t xml:space="preserve">(i) </w:t>
      </w:r>
      <w:r w:rsidRPr="005B6A46">
        <w:rPr>
          <w:bCs/>
          <w:sz w:val="21"/>
          <w:szCs w:val="21"/>
        </w:rPr>
        <w:t>were received from the enrolling HTC (n=11 BA and n=8 WE)</w:t>
      </w:r>
      <w:r>
        <w:rPr>
          <w:bCs/>
          <w:sz w:val="21"/>
          <w:szCs w:val="21"/>
        </w:rPr>
        <w:t>;</w:t>
      </w:r>
      <w:r w:rsidRPr="005B6A46">
        <w:rPr>
          <w:bCs/>
          <w:sz w:val="21"/>
          <w:szCs w:val="21"/>
        </w:rPr>
        <w:t xml:space="preserve"> </w:t>
      </w:r>
      <w:r w:rsidRPr="005B6A46">
        <w:rPr>
          <w:sz w:val="21"/>
          <w:szCs w:val="21"/>
        </w:rPr>
        <w:t xml:space="preserve">or (ii) remained in the H&amp;G-CL </w:t>
      </w:r>
      <w:r w:rsidRPr="005B6A46">
        <w:rPr>
          <w:bCs/>
          <w:sz w:val="21"/>
          <w:szCs w:val="21"/>
        </w:rPr>
        <w:t>(n=3 WE)</w:t>
      </w:r>
      <w:r>
        <w:rPr>
          <w:bCs/>
          <w:sz w:val="21"/>
          <w:szCs w:val="21"/>
        </w:rPr>
        <w:t>,</w:t>
      </w:r>
      <w:r w:rsidRPr="005B6A46">
        <w:rPr>
          <w:bCs/>
          <w:sz w:val="21"/>
          <w:szCs w:val="21"/>
        </w:rPr>
        <w:t xml:space="preserve"> </w:t>
      </w:r>
      <w:r w:rsidRPr="005B6A46">
        <w:rPr>
          <w:sz w:val="21"/>
          <w:szCs w:val="21"/>
        </w:rPr>
        <w:t>as they were depleted in a fluorescence immunoassay (FI) used to measure levels of total anti-tFVIII-antibodies reactive with one or more of five different rFVIIIs.  (Note that the FI results are not presented here.)  The percentages for “Not Provided” or “Not Tested” are based on the total number of HA patients in PATH (N=450).</w:t>
      </w:r>
      <w:bookmarkStart w:id="1" w:name="_Hlk66561071"/>
    </w:p>
    <w:p w14:paraId="5425C09E" w14:textId="77777777" w:rsidR="00DD5157" w:rsidRDefault="00DD5157" w:rsidP="00DD5157">
      <w:pPr>
        <w:rPr>
          <w:b/>
          <w:sz w:val="22"/>
          <w:szCs w:val="22"/>
        </w:rPr>
      </w:pPr>
      <w:r>
        <w:rPr>
          <w:b/>
          <w:sz w:val="22"/>
          <w:szCs w:val="22"/>
        </w:rPr>
        <w:br w:type="page"/>
      </w:r>
    </w:p>
    <w:p w14:paraId="475B49EF" w14:textId="77777777" w:rsidR="00DD5157" w:rsidRDefault="00DD5157" w:rsidP="00DD5157">
      <w:pPr>
        <w:spacing w:line="480" w:lineRule="auto"/>
        <w:jc w:val="both"/>
        <w:rPr>
          <w:sz w:val="22"/>
          <w:szCs w:val="22"/>
        </w:rPr>
      </w:pPr>
      <w:r w:rsidRPr="007D58F2">
        <w:rPr>
          <w:b/>
          <w:sz w:val="22"/>
          <w:szCs w:val="22"/>
        </w:rPr>
        <w:lastRenderedPageBreak/>
        <w:t>Table 2</w:t>
      </w:r>
      <w:r w:rsidRPr="008912D8">
        <w:rPr>
          <w:bCs/>
          <w:sz w:val="22"/>
          <w:szCs w:val="22"/>
        </w:rPr>
        <w:t xml:space="preserve">.  Top </w:t>
      </w:r>
      <w:r>
        <w:rPr>
          <w:bCs/>
          <w:sz w:val="22"/>
          <w:szCs w:val="22"/>
        </w:rPr>
        <w:t xml:space="preserve">five </w:t>
      </w:r>
      <w:r w:rsidRPr="007D58F2">
        <w:rPr>
          <w:sz w:val="22"/>
          <w:szCs w:val="22"/>
        </w:rPr>
        <w:t xml:space="preserve">SNPs assigned to candidate pleiotropic-IMD-genes </w:t>
      </w:r>
      <w:r>
        <w:rPr>
          <w:sz w:val="22"/>
          <w:szCs w:val="22"/>
        </w:rPr>
        <w:t>that w</w:t>
      </w:r>
      <w:r w:rsidRPr="00FD1165">
        <w:rPr>
          <w:sz w:val="22"/>
          <w:szCs w:val="22"/>
        </w:rPr>
        <w:t>e</w:t>
      </w:r>
      <w:r>
        <w:rPr>
          <w:sz w:val="22"/>
          <w:szCs w:val="22"/>
        </w:rPr>
        <w:t>re fou</w:t>
      </w:r>
      <w:r w:rsidRPr="00FD1165">
        <w:rPr>
          <w:sz w:val="22"/>
          <w:szCs w:val="22"/>
        </w:rPr>
        <w:t xml:space="preserve">nd in the gene-centric association scans (GCASs) </w:t>
      </w:r>
      <w:r>
        <w:rPr>
          <w:sz w:val="22"/>
          <w:szCs w:val="22"/>
        </w:rPr>
        <w:t>t</w:t>
      </w:r>
      <w:r w:rsidRPr="007D58F2">
        <w:rPr>
          <w:sz w:val="22"/>
          <w:szCs w:val="22"/>
        </w:rPr>
        <w:t>o</w:t>
      </w:r>
      <w:r>
        <w:rPr>
          <w:sz w:val="22"/>
          <w:szCs w:val="22"/>
        </w:rPr>
        <w:t xml:space="preserve"> be</w:t>
      </w:r>
      <w:r w:rsidRPr="007D58F2">
        <w:rPr>
          <w:sz w:val="22"/>
          <w:szCs w:val="22"/>
        </w:rPr>
        <w:t xml:space="preserve"> significant</w:t>
      </w:r>
      <w:r>
        <w:rPr>
          <w:sz w:val="22"/>
          <w:szCs w:val="22"/>
        </w:rPr>
        <w:t>ly</w:t>
      </w:r>
      <w:r w:rsidRPr="007D58F2">
        <w:rPr>
          <w:sz w:val="22"/>
          <w:szCs w:val="22"/>
        </w:rPr>
        <w:t xml:space="preserve"> associat</w:t>
      </w:r>
      <w:r>
        <w:rPr>
          <w:sz w:val="22"/>
          <w:szCs w:val="22"/>
        </w:rPr>
        <w:t xml:space="preserve">ed </w:t>
      </w:r>
      <w:r w:rsidRPr="007D58F2">
        <w:rPr>
          <w:sz w:val="22"/>
          <w:szCs w:val="22"/>
        </w:rPr>
        <w:t>with baseline-FEI-status</w:t>
      </w:r>
      <w:r>
        <w:rPr>
          <w:sz w:val="22"/>
          <w:szCs w:val="22"/>
        </w:rPr>
        <w:t xml:space="preserve">, and a sixth SNP that was </w:t>
      </w:r>
      <w:r w:rsidRPr="007D58F2">
        <w:rPr>
          <w:sz w:val="22"/>
          <w:szCs w:val="22"/>
        </w:rPr>
        <w:t>suggestive</w:t>
      </w:r>
      <w:r>
        <w:rPr>
          <w:sz w:val="22"/>
          <w:szCs w:val="22"/>
        </w:rPr>
        <w:t>ly associated</w:t>
      </w:r>
      <w:r w:rsidRPr="007D58F2">
        <w:rPr>
          <w:sz w:val="22"/>
          <w:szCs w:val="22"/>
        </w:rPr>
        <w:t>.</w:t>
      </w:r>
    </w:p>
    <w:p w14:paraId="14303C2E" w14:textId="77777777" w:rsidR="00DD5157" w:rsidRDefault="00DD5157" w:rsidP="00DD5157">
      <w:pPr>
        <w:spacing w:line="480" w:lineRule="auto"/>
        <w:jc w:val="both"/>
        <w:rPr>
          <w:sz w:val="22"/>
          <w:szCs w:val="22"/>
        </w:rPr>
      </w:pPr>
    </w:p>
    <w:p w14:paraId="198168D6" w14:textId="77777777" w:rsidR="00DD5157" w:rsidRPr="007D58F2" w:rsidRDefault="00DD5157" w:rsidP="00DD5157">
      <w:pPr>
        <w:spacing w:line="480" w:lineRule="auto"/>
        <w:jc w:val="both"/>
        <w:rPr>
          <w:sz w:val="22"/>
          <w:szCs w:val="22"/>
        </w:rPr>
      </w:pPr>
    </w:p>
    <w:bookmarkEnd w:id="1"/>
    <w:p w14:paraId="149F8F18" w14:textId="77777777" w:rsidR="00DD5157" w:rsidRDefault="00DD5157" w:rsidP="00DD5157">
      <w:pPr>
        <w:tabs>
          <w:tab w:val="left" w:pos="810"/>
        </w:tabs>
        <w:spacing w:line="480" w:lineRule="auto"/>
        <w:jc w:val="both"/>
        <w:outlineLvl w:val="0"/>
        <w:rPr>
          <w:bCs/>
          <w:sz w:val="21"/>
          <w:szCs w:val="21"/>
        </w:rPr>
      </w:pPr>
      <w:r w:rsidRPr="007D58F2">
        <w:rPr>
          <w:bCs/>
          <w:caps/>
          <w:sz w:val="22"/>
          <w:szCs w:val="22"/>
          <w:vertAlign w:val="superscript"/>
        </w:rPr>
        <w:t xml:space="preserve">1 </w:t>
      </w:r>
      <w:r w:rsidRPr="007D58F2">
        <w:rPr>
          <w:bCs/>
          <w:sz w:val="22"/>
          <w:szCs w:val="22"/>
        </w:rPr>
        <w:t>These BA</w:t>
      </w:r>
      <w:r>
        <w:rPr>
          <w:bCs/>
          <w:sz w:val="22"/>
          <w:szCs w:val="22"/>
        </w:rPr>
        <w:t>-</w:t>
      </w:r>
      <w:r w:rsidRPr="007D58F2">
        <w:rPr>
          <w:bCs/>
          <w:sz w:val="22"/>
          <w:szCs w:val="22"/>
        </w:rPr>
        <w:t xml:space="preserve"> or WE</w:t>
      </w:r>
      <w:r>
        <w:rPr>
          <w:bCs/>
          <w:sz w:val="22"/>
          <w:szCs w:val="22"/>
        </w:rPr>
        <w:t>-</w:t>
      </w:r>
      <w:r w:rsidRPr="007D58F2">
        <w:rPr>
          <w:bCs/>
          <w:sz w:val="22"/>
          <w:szCs w:val="22"/>
        </w:rPr>
        <w:t xml:space="preserve">racial-ancestry-specific estimates for the MAF of these six SNPs—which were each assigned to </w:t>
      </w:r>
      <w:r>
        <w:rPr>
          <w:bCs/>
          <w:sz w:val="22"/>
          <w:szCs w:val="22"/>
        </w:rPr>
        <w:t>1</w:t>
      </w:r>
      <w:r w:rsidRPr="007D58F2">
        <w:rPr>
          <w:bCs/>
          <w:sz w:val="22"/>
          <w:szCs w:val="22"/>
        </w:rPr>
        <w:t xml:space="preserve"> of the </w:t>
      </w:r>
      <w:r>
        <w:rPr>
          <w:bCs/>
          <w:sz w:val="22"/>
          <w:szCs w:val="22"/>
        </w:rPr>
        <w:t>4</w:t>
      </w:r>
      <w:r w:rsidRPr="007D58F2">
        <w:rPr>
          <w:bCs/>
          <w:sz w:val="22"/>
          <w:szCs w:val="22"/>
        </w:rPr>
        <w:t xml:space="preserve"> pleiotropic-IMD-genes found to be associated with baseline-FEI-status</w:t>
      </w:r>
      <w:r>
        <w:rPr>
          <w:bCs/>
          <w:sz w:val="22"/>
          <w:szCs w:val="22"/>
        </w:rPr>
        <w:t xml:space="preserve"> </w:t>
      </w:r>
      <w:r w:rsidRPr="007D58F2">
        <w:rPr>
          <w:bCs/>
          <w:sz w:val="22"/>
          <w:szCs w:val="22"/>
        </w:rPr>
        <w:t>(</w:t>
      </w:r>
      <w:r w:rsidRPr="007D58F2">
        <w:rPr>
          <w:bCs/>
          <w:i/>
          <w:iCs/>
          <w:sz w:val="22"/>
          <w:szCs w:val="22"/>
        </w:rPr>
        <w:t>NOS2A</w:t>
      </w:r>
      <w:r w:rsidRPr="007D58F2">
        <w:rPr>
          <w:bCs/>
          <w:sz w:val="22"/>
          <w:szCs w:val="22"/>
        </w:rPr>
        <w:t xml:space="preserve">, </w:t>
      </w:r>
      <w:r w:rsidRPr="007D58F2">
        <w:rPr>
          <w:bCs/>
          <w:i/>
          <w:iCs/>
          <w:sz w:val="22"/>
          <w:szCs w:val="22"/>
        </w:rPr>
        <w:t>B3GNT2</w:t>
      </w:r>
      <w:r w:rsidRPr="007D58F2">
        <w:rPr>
          <w:bCs/>
          <w:sz w:val="22"/>
          <w:szCs w:val="22"/>
        </w:rPr>
        <w:t xml:space="preserve">, </w:t>
      </w:r>
      <w:r w:rsidRPr="007D58F2">
        <w:rPr>
          <w:bCs/>
          <w:i/>
          <w:iCs/>
          <w:sz w:val="22"/>
          <w:szCs w:val="22"/>
        </w:rPr>
        <w:t>CTLA4</w:t>
      </w:r>
      <w:r>
        <w:rPr>
          <w:bCs/>
          <w:sz w:val="22"/>
          <w:szCs w:val="22"/>
        </w:rPr>
        <w:t xml:space="preserve">, </w:t>
      </w:r>
      <w:r w:rsidRPr="007D58F2">
        <w:rPr>
          <w:bCs/>
          <w:sz w:val="22"/>
          <w:szCs w:val="22"/>
        </w:rPr>
        <w:t xml:space="preserve">and </w:t>
      </w:r>
      <w:r w:rsidRPr="007D58F2">
        <w:rPr>
          <w:bCs/>
          <w:i/>
          <w:iCs/>
          <w:sz w:val="22"/>
          <w:szCs w:val="22"/>
        </w:rPr>
        <w:t>IL10</w:t>
      </w:r>
      <w:r w:rsidRPr="007D58F2">
        <w:rPr>
          <w:bCs/>
          <w:sz w:val="22"/>
          <w:szCs w:val="22"/>
        </w:rPr>
        <w:t xml:space="preserve">)—represent the mean of the appropriate ALFA project allele frequencies (release: </w:t>
      </w:r>
      <w:r w:rsidRPr="007D58F2">
        <w:rPr>
          <w:rStyle w:val="buildidcontainer"/>
          <w:sz w:val="22"/>
          <w:szCs w:val="22"/>
        </w:rPr>
        <w:t xml:space="preserve">20230706150541) </w:t>
      </w:r>
      <w:r w:rsidRPr="007D58F2">
        <w:rPr>
          <w:bCs/>
          <w:sz w:val="22"/>
          <w:szCs w:val="22"/>
        </w:rPr>
        <w:t xml:space="preserve">reported in dbSNP. </w:t>
      </w:r>
      <w:r>
        <w:rPr>
          <w:bCs/>
          <w:sz w:val="22"/>
          <w:szCs w:val="22"/>
        </w:rPr>
        <w:t xml:space="preserve"> </w:t>
      </w:r>
      <w:r w:rsidRPr="007D58F2">
        <w:rPr>
          <w:bCs/>
          <w:sz w:val="22"/>
          <w:szCs w:val="22"/>
        </w:rPr>
        <w:t xml:space="preserve">Note that dbSNP lists </w:t>
      </w:r>
      <w:r>
        <w:rPr>
          <w:bCs/>
          <w:sz w:val="22"/>
          <w:szCs w:val="22"/>
        </w:rPr>
        <w:t>‘</w:t>
      </w:r>
      <w:r w:rsidRPr="007D58F2">
        <w:rPr>
          <w:bCs/>
          <w:sz w:val="22"/>
          <w:szCs w:val="22"/>
        </w:rPr>
        <w:t>G</w:t>
      </w:r>
      <w:r>
        <w:rPr>
          <w:bCs/>
          <w:sz w:val="22"/>
          <w:szCs w:val="22"/>
        </w:rPr>
        <w:t>’</w:t>
      </w:r>
      <w:r w:rsidRPr="007D58F2">
        <w:rPr>
          <w:bCs/>
          <w:sz w:val="22"/>
          <w:szCs w:val="22"/>
        </w:rPr>
        <w:t xml:space="preserve"> as the major allele of rs231780, but </w:t>
      </w:r>
      <w:r>
        <w:rPr>
          <w:bCs/>
          <w:sz w:val="22"/>
          <w:szCs w:val="22"/>
        </w:rPr>
        <w:t>‘</w:t>
      </w:r>
      <w:r w:rsidRPr="007D58F2">
        <w:rPr>
          <w:bCs/>
          <w:sz w:val="22"/>
          <w:szCs w:val="22"/>
        </w:rPr>
        <w:t>A</w:t>
      </w:r>
      <w:r>
        <w:rPr>
          <w:bCs/>
          <w:sz w:val="22"/>
          <w:szCs w:val="22"/>
        </w:rPr>
        <w:t>’</w:t>
      </w:r>
      <w:r w:rsidRPr="007D58F2">
        <w:rPr>
          <w:bCs/>
          <w:sz w:val="22"/>
          <w:szCs w:val="22"/>
        </w:rPr>
        <w:t xml:space="preserve">—which was coded as the </w:t>
      </w:r>
      <w:r>
        <w:rPr>
          <w:bCs/>
          <w:sz w:val="22"/>
          <w:szCs w:val="22"/>
        </w:rPr>
        <w:t>MA</w:t>
      </w:r>
      <w:r w:rsidRPr="007D58F2">
        <w:rPr>
          <w:bCs/>
          <w:sz w:val="22"/>
          <w:szCs w:val="22"/>
        </w:rPr>
        <w:t xml:space="preserve"> and yielded a positive beta (i.e., increased risk) in the GCAS—is the major allele. Thus, the G</w:t>
      </w:r>
      <w:r>
        <w:rPr>
          <w:bCs/>
          <w:sz w:val="22"/>
          <w:szCs w:val="22"/>
        </w:rPr>
        <w:t>-</w:t>
      </w:r>
      <w:r w:rsidRPr="007D58F2">
        <w:rPr>
          <w:bCs/>
          <w:sz w:val="22"/>
          <w:szCs w:val="22"/>
        </w:rPr>
        <w:t>allele was associated with reduced risk of having FEIs of AT at study entry</w:t>
      </w:r>
      <w:r w:rsidRPr="007D58F2">
        <w:rPr>
          <w:rStyle w:val="buildidcontainer"/>
          <w:sz w:val="22"/>
          <w:szCs w:val="22"/>
        </w:rPr>
        <w:t xml:space="preserve">.  </w:t>
      </w:r>
      <w:r w:rsidRPr="007D58F2">
        <w:rPr>
          <w:bCs/>
          <w:caps/>
          <w:sz w:val="22"/>
          <w:szCs w:val="22"/>
          <w:vertAlign w:val="superscript"/>
        </w:rPr>
        <w:t xml:space="preserve">2 </w:t>
      </w:r>
      <w:r w:rsidRPr="007D58F2">
        <w:rPr>
          <w:bCs/>
          <w:sz w:val="22"/>
          <w:szCs w:val="22"/>
        </w:rPr>
        <w:t>The GCAS results reported include</w:t>
      </w:r>
      <w:r>
        <w:rPr>
          <w:bCs/>
          <w:sz w:val="22"/>
          <w:szCs w:val="22"/>
        </w:rPr>
        <w:t>,</w:t>
      </w:r>
      <w:r w:rsidRPr="007D58F2">
        <w:rPr>
          <w:bCs/>
          <w:sz w:val="22"/>
          <w:szCs w:val="22"/>
        </w:rPr>
        <w:t xml:space="preserve"> for each SNP</w:t>
      </w:r>
      <w:r>
        <w:rPr>
          <w:bCs/>
          <w:sz w:val="22"/>
          <w:szCs w:val="22"/>
        </w:rPr>
        <w:t>,</w:t>
      </w:r>
      <w:r w:rsidRPr="007D58F2">
        <w:rPr>
          <w:bCs/>
          <w:sz w:val="22"/>
          <w:szCs w:val="22"/>
        </w:rPr>
        <w:t xml:space="preserve"> their: rank, with the first five representing the top signals among the pleiotropic-IMD-genes screened and the first, second, fifth, sixth, and seventh for all IC</w:t>
      </w:r>
      <w:r>
        <w:rPr>
          <w:bCs/>
          <w:sz w:val="22"/>
          <w:szCs w:val="22"/>
        </w:rPr>
        <w:t xml:space="preserve"> </w:t>
      </w:r>
      <w:r w:rsidRPr="007D58F2">
        <w:rPr>
          <w:bCs/>
          <w:sz w:val="22"/>
          <w:szCs w:val="22"/>
        </w:rPr>
        <w:t xml:space="preserve">SNPs. Note that this </w:t>
      </w:r>
      <w:r w:rsidRPr="007D58F2">
        <w:rPr>
          <w:bCs/>
          <w:i/>
          <w:iCs/>
          <w:sz w:val="22"/>
          <w:szCs w:val="22"/>
        </w:rPr>
        <w:t>IL10</w:t>
      </w:r>
      <w:r w:rsidRPr="007D58F2">
        <w:rPr>
          <w:bCs/>
          <w:sz w:val="22"/>
          <w:szCs w:val="22"/>
        </w:rPr>
        <w:t xml:space="preserve">-assigned SNP was not in the top 5 of all SNPs assigned to the pleiotropic-IMD-genes screened and thus its rank is not applicable (N.A.) here; (ii) threshold for significance—determined by the total number of high-quality SNPs (i.e., passed QC) that were assigned to a given gene—which was a </w:t>
      </w:r>
      <w:r w:rsidRPr="007D58F2">
        <w:rPr>
          <w:bCs/>
          <w:i/>
          <w:iCs/>
          <w:sz w:val="22"/>
          <w:szCs w:val="22"/>
        </w:rPr>
        <w:t>p</w:t>
      </w:r>
      <w:r w:rsidRPr="007D58F2">
        <w:rPr>
          <w:bCs/>
          <w:sz w:val="22"/>
          <w:szCs w:val="22"/>
        </w:rPr>
        <w:t xml:space="preserve">-value of &lt; 1.74E-4 for </w:t>
      </w:r>
      <w:r w:rsidRPr="007D58F2">
        <w:rPr>
          <w:bCs/>
          <w:i/>
          <w:iCs/>
          <w:sz w:val="22"/>
          <w:szCs w:val="22"/>
        </w:rPr>
        <w:t>NOS2A</w:t>
      </w:r>
      <w:r w:rsidRPr="007D58F2">
        <w:rPr>
          <w:bCs/>
          <w:sz w:val="22"/>
          <w:szCs w:val="22"/>
        </w:rPr>
        <w:t>-assigned SNPs (n=287),</w:t>
      </w:r>
      <w:r w:rsidRPr="007D58F2">
        <w:rPr>
          <w:bCs/>
          <w:i/>
          <w:iCs/>
          <w:sz w:val="22"/>
          <w:szCs w:val="22"/>
        </w:rPr>
        <w:t xml:space="preserve"> </w:t>
      </w:r>
      <w:r w:rsidRPr="007D58F2">
        <w:rPr>
          <w:bCs/>
          <w:sz w:val="22"/>
          <w:szCs w:val="22"/>
        </w:rPr>
        <w:t xml:space="preserve">&lt; 1.78E-4 for </w:t>
      </w:r>
      <w:r w:rsidRPr="007D58F2">
        <w:rPr>
          <w:bCs/>
          <w:i/>
          <w:iCs/>
          <w:sz w:val="22"/>
          <w:szCs w:val="22"/>
        </w:rPr>
        <w:t>B3GNT2</w:t>
      </w:r>
      <w:r w:rsidRPr="007D58F2">
        <w:rPr>
          <w:bCs/>
          <w:sz w:val="22"/>
          <w:szCs w:val="22"/>
        </w:rPr>
        <w:t xml:space="preserve">-assigned SNPs (n=281), and &lt;1.38E-4 for </w:t>
      </w:r>
      <w:r w:rsidRPr="007D58F2">
        <w:rPr>
          <w:bCs/>
          <w:i/>
          <w:iCs/>
          <w:sz w:val="22"/>
          <w:szCs w:val="22"/>
        </w:rPr>
        <w:t>CTLA4</w:t>
      </w:r>
      <w:r w:rsidRPr="007D58F2">
        <w:rPr>
          <w:bCs/>
          <w:sz w:val="22"/>
          <w:szCs w:val="22"/>
        </w:rPr>
        <w:t xml:space="preserve">-assigned SNPs (n=362); and (iii) beta or effect size. Note that a positive or negative beta indicates the SNP’s </w:t>
      </w:r>
      <w:r>
        <w:rPr>
          <w:bCs/>
          <w:sz w:val="22"/>
          <w:szCs w:val="22"/>
        </w:rPr>
        <w:t>MA</w:t>
      </w:r>
      <w:r w:rsidRPr="007D58F2">
        <w:rPr>
          <w:bCs/>
          <w:sz w:val="22"/>
          <w:szCs w:val="22"/>
        </w:rPr>
        <w:t xml:space="preserve"> increase</w:t>
      </w:r>
      <w:r>
        <w:rPr>
          <w:bCs/>
          <w:sz w:val="22"/>
          <w:szCs w:val="22"/>
        </w:rPr>
        <w:t>d</w:t>
      </w:r>
      <w:r w:rsidRPr="007D58F2">
        <w:rPr>
          <w:bCs/>
          <w:sz w:val="22"/>
          <w:szCs w:val="22"/>
        </w:rPr>
        <w:t xml:space="preserve"> or decrease</w:t>
      </w:r>
      <w:r>
        <w:rPr>
          <w:bCs/>
          <w:sz w:val="22"/>
          <w:szCs w:val="22"/>
        </w:rPr>
        <w:t>d</w:t>
      </w:r>
      <w:r w:rsidRPr="007D58F2">
        <w:rPr>
          <w:bCs/>
          <w:sz w:val="22"/>
          <w:szCs w:val="22"/>
        </w:rPr>
        <w:t xml:space="preserve"> risk of having FEIs of AT on study entr</w:t>
      </w:r>
      <w:r>
        <w:rPr>
          <w:bCs/>
          <w:sz w:val="22"/>
          <w:szCs w:val="22"/>
        </w:rPr>
        <w:t>y</w:t>
      </w:r>
      <w:r w:rsidRPr="007D58F2">
        <w:rPr>
          <w:bCs/>
          <w:sz w:val="22"/>
          <w:szCs w:val="22"/>
        </w:rPr>
        <w:t>.</w:t>
      </w:r>
      <w:r w:rsidRPr="007D58F2">
        <w:rPr>
          <w:rStyle w:val="buildidcontainer"/>
          <w:sz w:val="22"/>
          <w:szCs w:val="22"/>
        </w:rPr>
        <w:t xml:space="preserve">  </w:t>
      </w:r>
      <w:r w:rsidRPr="007D58F2">
        <w:rPr>
          <w:bCs/>
          <w:caps/>
          <w:sz w:val="22"/>
          <w:szCs w:val="22"/>
          <w:vertAlign w:val="superscript"/>
        </w:rPr>
        <w:t xml:space="preserve">3 </w:t>
      </w:r>
      <w:r w:rsidRPr="007D58F2">
        <w:rPr>
          <w:bCs/>
          <w:sz w:val="22"/>
          <w:szCs w:val="22"/>
        </w:rPr>
        <w:t>While rs7528265 resides on the long</w:t>
      </w:r>
      <w:r>
        <w:rPr>
          <w:bCs/>
          <w:sz w:val="22"/>
          <w:szCs w:val="22"/>
        </w:rPr>
        <w:t>-</w:t>
      </w:r>
      <w:r w:rsidRPr="007D58F2">
        <w:rPr>
          <w:bCs/>
          <w:sz w:val="22"/>
          <w:szCs w:val="22"/>
        </w:rPr>
        <w:t>arm of Chr1</w:t>
      </w:r>
      <w:r>
        <w:rPr>
          <w:bCs/>
          <w:sz w:val="22"/>
          <w:szCs w:val="22"/>
        </w:rPr>
        <w:t>,</w:t>
      </w:r>
      <w:r w:rsidRPr="007D58F2">
        <w:rPr>
          <w:bCs/>
          <w:sz w:val="22"/>
          <w:szCs w:val="22"/>
        </w:rPr>
        <w:t xml:space="preserve"> telomeric of </w:t>
      </w:r>
      <w:r w:rsidRPr="007D58F2">
        <w:rPr>
          <w:bCs/>
          <w:i/>
          <w:iCs/>
          <w:sz w:val="22"/>
          <w:szCs w:val="22"/>
        </w:rPr>
        <w:t>IL10</w:t>
      </w:r>
      <w:r w:rsidRPr="007D58F2">
        <w:rPr>
          <w:bCs/>
          <w:sz w:val="22"/>
          <w:szCs w:val="22"/>
        </w:rPr>
        <w:t xml:space="preserve"> and </w:t>
      </w:r>
      <w:r w:rsidRPr="007D58F2">
        <w:rPr>
          <w:bCs/>
          <w:i/>
          <w:iCs/>
          <w:sz w:val="22"/>
          <w:szCs w:val="22"/>
        </w:rPr>
        <w:t>IL19</w:t>
      </w:r>
      <w:r>
        <w:rPr>
          <w:bCs/>
          <w:sz w:val="22"/>
          <w:szCs w:val="22"/>
        </w:rPr>
        <w:t xml:space="preserve">, </w:t>
      </w:r>
      <w:r w:rsidRPr="007D58F2">
        <w:rPr>
          <w:bCs/>
          <w:sz w:val="22"/>
          <w:szCs w:val="22"/>
        </w:rPr>
        <w:t xml:space="preserve">and centromeric of </w:t>
      </w:r>
      <w:r w:rsidRPr="007D58F2">
        <w:rPr>
          <w:bCs/>
          <w:i/>
          <w:iCs/>
          <w:sz w:val="22"/>
          <w:szCs w:val="22"/>
        </w:rPr>
        <w:t>IL20</w:t>
      </w:r>
      <w:r w:rsidRPr="007D58F2">
        <w:rPr>
          <w:bCs/>
          <w:sz w:val="22"/>
          <w:szCs w:val="22"/>
        </w:rPr>
        <w:t xml:space="preserve"> and </w:t>
      </w:r>
      <w:r w:rsidRPr="007D58F2">
        <w:rPr>
          <w:bCs/>
          <w:i/>
          <w:iCs/>
          <w:sz w:val="22"/>
          <w:szCs w:val="22"/>
        </w:rPr>
        <w:t>IL24</w:t>
      </w:r>
      <w:r w:rsidRPr="007D58F2">
        <w:rPr>
          <w:bCs/>
          <w:sz w:val="22"/>
          <w:szCs w:val="22"/>
        </w:rPr>
        <w:t xml:space="preserve"> (i.e., in the 5’-regulatory regions of these </w:t>
      </w:r>
      <w:r w:rsidRPr="00FE3F56">
        <w:rPr>
          <w:bCs/>
          <w:i/>
          <w:iCs/>
          <w:sz w:val="22"/>
          <w:szCs w:val="22"/>
        </w:rPr>
        <w:t>IL10</w:t>
      </w:r>
      <w:r w:rsidRPr="007D58F2">
        <w:rPr>
          <w:bCs/>
          <w:sz w:val="22"/>
          <w:szCs w:val="22"/>
        </w:rPr>
        <w:t xml:space="preserve"> </w:t>
      </w:r>
      <w:r>
        <w:rPr>
          <w:bCs/>
          <w:sz w:val="22"/>
          <w:szCs w:val="22"/>
        </w:rPr>
        <w:t>gene-</w:t>
      </w:r>
      <w:r w:rsidRPr="007D58F2">
        <w:rPr>
          <w:bCs/>
          <w:sz w:val="22"/>
          <w:szCs w:val="22"/>
        </w:rPr>
        <w:t>superfamily</w:t>
      </w:r>
      <w:r>
        <w:rPr>
          <w:bCs/>
          <w:sz w:val="22"/>
          <w:szCs w:val="22"/>
        </w:rPr>
        <w:t xml:space="preserve"> </w:t>
      </w:r>
      <w:r w:rsidRPr="007D58F2">
        <w:rPr>
          <w:bCs/>
          <w:sz w:val="22"/>
          <w:szCs w:val="22"/>
        </w:rPr>
        <w:t xml:space="preserve">members), only rs117382854, which resides in the 5’-regulatory region of </w:t>
      </w:r>
      <w:r w:rsidRPr="007D58F2">
        <w:rPr>
          <w:bCs/>
          <w:i/>
          <w:iCs/>
          <w:sz w:val="22"/>
          <w:szCs w:val="22"/>
        </w:rPr>
        <w:t>NOS2A</w:t>
      </w:r>
      <w:r w:rsidRPr="007D58F2">
        <w:rPr>
          <w:bCs/>
          <w:sz w:val="22"/>
          <w:szCs w:val="22"/>
        </w:rPr>
        <w:t>, was found to be an expression quantitative trait locus (eQTL) in the</w:t>
      </w:r>
      <w:r w:rsidRPr="007D58F2">
        <w:rPr>
          <w:sz w:val="22"/>
          <w:szCs w:val="22"/>
          <w:shd w:val="clear" w:color="auto" w:fill="FFFFFF"/>
        </w:rPr>
        <w:t> Genotype-Tissue Expression (GTEx) project (</w:t>
      </w:r>
      <w:hyperlink r:id="rId4" w:history="1">
        <w:r w:rsidRPr="007D58F2">
          <w:rPr>
            <w:rStyle w:val="Hyperlink"/>
            <w:sz w:val="22"/>
            <w:szCs w:val="22"/>
            <w:shd w:val="clear" w:color="auto" w:fill="FFFFFF"/>
          </w:rPr>
          <w:t>https://gtexportal.org/home/snp/rs117382854</w:t>
        </w:r>
      </w:hyperlink>
      <w:r w:rsidRPr="007D58F2">
        <w:rPr>
          <w:sz w:val="22"/>
          <w:szCs w:val="22"/>
          <w:shd w:val="clear" w:color="auto" w:fill="FFFFFF"/>
        </w:rPr>
        <w:t>).</w:t>
      </w:r>
      <w:r w:rsidRPr="005B6A46">
        <w:rPr>
          <w:bCs/>
          <w:sz w:val="21"/>
          <w:szCs w:val="21"/>
        </w:rPr>
        <w:t xml:space="preserve"> </w:t>
      </w:r>
    </w:p>
    <w:p w14:paraId="48414BC8" w14:textId="77777777" w:rsidR="00DD5157" w:rsidRDefault="00DD5157" w:rsidP="00DD5157">
      <w:pPr>
        <w:tabs>
          <w:tab w:val="left" w:pos="810"/>
        </w:tabs>
        <w:spacing w:line="480" w:lineRule="auto"/>
        <w:jc w:val="both"/>
        <w:outlineLvl w:val="0"/>
        <w:rPr>
          <w:bCs/>
          <w:sz w:val="21"/>
          <w:szCs w:val="21"/>
        </w:rPr>
      </w:pPr>
    </w:p>
    <w:p w14:paraId="0C051D1D" w14:textId="77777777" w:rsidR="00DD5157" w:rsidRPr="00206090" w:rsidRDefault="00DD5157" w:rsidP="00DD5157">
      <w:pPr>
        <w:tabs>
          <w:tab w:val="left" w:pos="810"/>
        </w:tabs>
        <w:spacing w:line="480" w:lineRule="auto"/>
        <w:jc w:val="both"/>
        <w:outlineLvl w:val="0"/>
        <w:rPr>
          <w:bCs/>
          <w:sz w:val="21"/>
          <w:szCs w:val="21"/>
        </w:rPr>
      </w:pPr>
      <w:r>
        <w:rPr>
          <w:b/>
          <w:caps/>
          <w:sz w:val="22"/>
          <w:szCs w:val="22"/>
        </w:rPr>
        <w:br w:type="page"/>
      </w:r>
    </w:p>
    <w:p w14:paraId="38122502" w14:textId="77777777" w:rsidR="00F964D3" w:rsidRDefault="00F964D3"/>
    <w:sectPr w:rsidR="00F9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157"/>
    <w:rsid w:val="00DD5157"/>
    <w:rsid w:val="00F9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539B6"/>
  <w15:chartTrackingRefBased/>
  <w15:docId w15:val="{A807E1D3-9A8B-4FA1-AAD2-8E8BBF433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157"/>
    <w:pPr>
      <w:spacing w:after="0" w:line="240" w:lineRule="auto"/>
    </w:pPr>
    <w:rPr>
      <w:rFonts w:ascii="Times New Roman" w:eastAsiaTheme="minorEastAsia"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5157"/>
    <w:rPr>
      <w:color w:val="0563C1" w:themeColor="hyperlink"/>
      <w:u w:val="single"/>
    </w:rPr>
  </w:style>
  <w:style w:type="character" w:customStyle="1" w:styleId="buildidcontainer">
    <w:name w:val="build_id_container"/>
    <w:basedOn w:val="DefaultParagraphFont"/>
    <w:rsid w:val="00DD5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texportal.org/home/snp/rs1173828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482</Words>
  <Characters>2753</Characters>
  <Application>Microsoft Office Word</Application>
  <DocSecurity>0</DocSecurity>
  <Lines>22</Lines>
  <Paragraphs>6</Paragraphs>
  <ScaleCrop>false</ScaleCrop>
  <Company>Springer Nature</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2023-10-18T17:01:00Z</dcterms:created>
  <dcterms:modified xsi:type="dcterms:W3CDTF">2023-10-18T17:01:00Z</dcterms:modified>
</cp:coreProperties>
</file>