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22666" w:type="dxa"/>
        <w:tblLayout w:type="fixed"/>
        <w:tblLook w:val="04A0" w:firstRow="1" w:lastRow="0" w:firstColumn="1" w:lastColumn="0" w:noHBand="0" w:noVBand="1"/>
      </w:tblPr>
      <w:tblGrid>
        <w:gridCol w:w="988"/>
        <w:gridCol w:w="1417"/>
        <w:gridCol w:w="851"/>
        <w:gridCol w:w="1984"/>
        <w:gridCol w:w="1985"/>
        <w:gridCol w:w="1842"/>
        <w:gridCol w:w="1134"/>
        <w:gridCol w:w="1134"/>
        <w:gridCol w:w="1701"/>
        <w:gridCol w:w="1843"/>
        <w:gridCol w:w="2126"/>
        <w:gridCol w:w="2127"/>
        <w:gridCol w:w="992"/>
        <w:gridCol w:w="2542"/>
      </w:tblGrid>
      <w:tr w:rsidR="00D32BBB" w14:paraId="418D3388" w14:textId="77777777" w:rsidTr="00CE4F22">
        <w:tc>
          <w:tcPr>
            <w:tcW w:w="988" w:type="dxa"/>
          </w:tcPr>
          <w:p w14:paraId="5EAD2761" w14:textId="77777777" w:rsidR="00D32BBB" w:rsidRPr="006C362C" w:rsidRDefault="00D32BBB" w:rsidP="00EA1758">
            <w:pPr>
              <w:widowControl w:val="0"/>
              <w:spacing w:line="276" w:lineRule="auto"/>
              <w:ind w:right="-1440"/>
              <w:rPr>
                <w:rFonts w:eastAsia="Times New Roman"/>
                <w:b/>
                <w:color w:val="000000"/>
                <w:sz w:val="18"/>
                <w:szCs w:val="18"/>
              </w:rPr>
            </w:pPr>
            <w:proofErr w:type="spellStart"/>
            <w:r w:rsidRPr="006C362C">
              <w:rPr>
                <w:rFonts w:eastAsia="Times New Roman"/>
                <w:b/>
                <w:color w:val="000000"/>
                <w:sz w:val="18"/>
                <w:szCs w:val="18"/>
              </w:rPr>
              <w:t>Salamanna</w:t>
            </w:r>
            <w:proofErr w:type="spellEnd"/>
          </w:p>
          <w:p w14:paraId="76828C30" w14:textId="33CCA827" w:rsidR="00D32BBB" w:rsidRPr="00105068" w:rsidRDefault="00D32BBB" w:rsidP="00EA1758">
            <w:pPr>
              <w:widowControl w:val="0"/>
              <w:spacing w:line="276" w:lineRule="auto"/>
              <w:ind w:right="-1440"/>
              <w:rPr>
                <w:rFonts w:asciiTheme="minorHAnsi" w:eastAsia="Arial" w:hAnsiTheme="minorHAnsi" w:cstheme="minorHAnsi"/>
                <w:sz w:val="18"/>
                <w:szCs w:val="18"/>
              </w:rPr>
            </w:pPr>
            <w:r w:rsidRPr="006C362C">
              <w:rPr>
                <w:rFonts w:eastAsia="Times New Roman"/>
                <w:b/>
                <w:color w:val="000000"/>
                <w:sz w:val="18"/>
                <w:szCs w:val="18"/>
              </w:rPr>
              <w:t>2021</w:t>
            </w:r>
          </w:p>
        </w:tc>
        <w:tc>
          <w:tcPr>
            <w:tcW w:w="1417" w:type="dxa"/>
          </w:tcPr>
          <w:p w14:paraId="09490C4B" w14:textId="575F2E46" w:rsidR="00D32BBB" w:rsidRPr="006C362C" w:rsidRDefault="00D32BBB" w:rsidP="00EA1758">
            <w:pPr>
              <w:widowControl w:val="0"/>
              <w:spacing w:line="276" w:lineRule="auto"/>
              <w:ind w:right="-69"/>
              <w:rPr>
                <w:rFonts w:asciiTheme="minorHAnsi" w:eastAsia="Arial" w:hAnsiTheme="minorHAnsi" w:cstheme="minorHAnsi"/>
                <w:i/>
                <w:sz w:val="18"/>
                <w:szCs w:val="18"/>
              </w:rPr>
            </w:pPr>
            <w:r w:rsidRPr="006C362C">
              <w:rPr>
                <w:rFonts w:eastAsia="Times New Roman"/>
                <w:i/>
                <w:color w:val="000000"/>
                <w:sz w:val="18"/>
                <w:szCs w:val="18"/>
              </w:rPr>
              <w:t>Post-COVID-19 Syndrome: The Persistent Symptoms at the Post-viral Stage of the Disease. A Systematic Review of the Current Data</w:t>
            </w:r>
          </w:p>
        </w:tc>
        <w:tc>
          <w:tcPr>
            <w:tcW w:w="851" w:type="dxa"/>
          </w:tcPr>
          <w:p w14:paraId="526960A7" w14:textId="00DF124A" w:rsidR="00D32BBB" w:rsidRPr="004C3355" w:rsidRDefault="00D32BBB" w:rsidP="00EA1758">
            <w:pPr>
              <w:widowControl w:val="0"/>
              <w:spacing w:line="276" w:lineRule="auto"/>
              <w:ind w:right="-1440"/>
              <w:rPr>
                <w:rFonts w:asciiTheme="minorHAnsi" w:eastAsia="Arial" w:hAnsiTheme="minorHAnsi" w:cstheme="minorHAnsi"/>
                <w:sz w:val="18"/>
                <w:szCs w:val="18"/>
              </w:rPr>
            </w:pPr>
            <w:r w:rsidRPr="00D67A67">
              <w:rPr>
                <w:rFonts w:eastAsia="Times New Roman"/>
                <w:color w:val="000000"/>
                <w:sz w:val="18"/>
                <w:szCs w:val="18"/>
              </w:rPr>
              <w:t>Italy</w:t>
            </w:r>
          </w:p>
        </w:tc>
        <w:tc>
          <w:tcPr>
            <w:tcW w:w="1984" w:type="dxa"/>
          </w:tcPr>
          <w:p w14:paraId="2A661E9D" w14:textId="77777777" w:rsidR="00D32BBB" w:rsidRDefault="00D32BBB" w:rsidP="00EA1758">
            <w:pPr>
              <w:widowControl w:val="0"/>
              <w:spacing w:line="276" w:lineRule="auto"/>
              <w:ind w:right="-111"/>
              <w:rPr>
                <w:rFonts w:eastAsia="Times New Roman"/>
                <w:color w:val="000000"/>
                <w:sz w:val="18"/>
                <w:szCs w:val="18"/>
              </w:rPr>
            </w:pPr>
            <w:r w:rsidRPr="00D67A67">
              <w:rPr>
                <w:rFonts w:eastAsia="Times New Roman"/>
                <w:color w:val="000000"/>
                <w:sz w:val="18"/>
                <w:szCs w:val="18"/>
              </w:rPr>
              <w:t>Databases: PubMed; Web of Science; Embase; Google Scholar</w:t>
            </w:r>
            <w:r>
              <w:rPr>
                <w:rFonts w:eastAsia="Times New Roman"/>
                <w:color w:val="000000"/>
                <w:sz w:val="18"/>
                <w:szCs w:val="18"/>
              </w:rPr>
              <w:t>.</w:t>
            </w:r>
            <w:r w:rsidRPr="00D67A67">
              <w:rPr>
                <w:rFonts w:eastAsia="Times New Roman"/>
                <w:color w:val="000000"/>
                <w:sz w:val="18"/>
                <w:szCs w:val="18"/>
              </w:rPr>
              <w:br/>
              <w:t xml:space="preserve">PICO model used to formulate questions for this study: </w:t>
            </w:r>
          </w:p>
          <w:p w14:paraId="2997B7EF" w14:textId="77777777" w:rsidR="00D32BBB" w:rsidRDefault="00D32BBB" w:rsidP="00EA1758">
            <w:pPr>
              <w:widowControl w:val="0"/>
              <w:spacing w:line="276" w:lineRule="auto"/>
              <w:ind w:right="-111"/>
              <w:rPr>
                <w:rFonts w:eastAsia="Times New Roman"/>
                <w:color w:val="000000"/>
                <w:sz w:val="18"/>
                <w:szCs w:val="18"/>
              </w:rPr>
            </w:pPr>
            <w:r w:rsidRPr="00D67A67">
              <w:rPr>
                <w:rFonts w:eastAsia="Times New Roman"/>
                <w:color w:val="000000"/>
                <w:sz w:val="18"/>
                <w:szCs w:val="18"/>
              </w:rPr>
              <w:t>1) studies that considered patients with long-term COVID-19 symptoms (Population)</w:t>
            </w:r>
          </w:p>
          <w:p w14:paraId="77E70676" w14:textId="07381297" w:rsidR="00D32BBB" w:rsidRDefault="00D32BBB" w:rsidP="00EA1758">
            <w:pPr>
              <w:widowControl w:val="0"/>
              <w:spacing w:line="276" w:lineRule="auto"/>
              <w:ind w:right="-111"/>
              <w:rPr>
                <w:rFonts w:eastAsia="Times New Roman"/>
                <w:color w:val="000000"/>
                <w:sz w:val="18"/>
                <w:szCs w:val="18"/>
              </w:rPr>
            </w:pPr>
            <w:r w:rsidRPr="00D67A67">
              <w:rPr>
                <w:rFonts w:eastAsia="Times New Roman"/>
                <w:color w:val="000000"/>
                <w:sz w:val="18"/>
                <w:szCs w:val="18"/>
              </w:rPr>
              <w:t>2) studies where the primary aim was to evaluate long-term COVID-19 symptoms in mild, moderate, severe, and critical patients that have a follow-up of at least 14 days (Interventions)</w:t>
            </w:r>
          </w:p>
          <w:p w14:paraId="6665E117" w14:textId="77777777" w:rsidR="00D32BBB" w:rsidRDefault="00D32BBB" w:rsidP="00EA1758">
            <w:pPr>
              <w:widowControl w:val="0"/>
              <w:spacing w:line="276" w:lineRule="auto"/>
              <w:ind w:right="-111"/>
              <w:rPr>
                <w:rFonts w:eastAsia="Times New Roman"/>
                <w:color w:val="000000"/>
                <w:sz w:val="18"/>
                <w:szCs w:val="18"/>
              </w:rPr>
            </w:pPr>
            <w:r w:rsidRPr="00D67A67">
              <w:rPr>
                <w:rFonts w:eastAsia="Times New Roman"/>
                <w:color w:val="000000"/>
                <w:sz w:val="18"/>
                <w:szCs w:val="18"/>
              </w:rPr>
              <w:t>3) studies with or without a control group (Comparisons)</w:t>
            </w:r>
          </w:p>
          <w:p w14:paraId="60543D22" w14:textId="3184CBEF" w:rsidR="00D32BBB" w:rsidRPr="004C3355" w:rsidRDefault="00D32BBB" w:rsidP="00EA1758">
            <w:pPr>
              <w:widowControl w:val="0"/>
              <w:spacing w:line="276" w:lineRule="auto"/>
              <w:ind w:right="-111"/>
              <w:rPr>
                <w:rFonts w:asciiTheme="minorHAnsi" w:eastAsia="Arial" w:hAnsiTheme="minorHAnsi" w:cstheme="minorHAnsi"/>
                <w:sz w:val="18"/>
                <w:szCs w:val="18"/>
              </w:rPr>
            </w:pPr>
            <w:r w:rsidRPr="00D67A67">
              <w:rPr>
                <w:rFonts w:eastAsia="Times New Roman"/>
                <w:color w:val="000000"/>
                <w:sz w:val="18"/>
                <w:szCs w:val="18"/>
              </w:rPr>
              <w:t>4) studies that reported the long-term COVID-19 symptoms (Outcomes).</w:t>
            </w:r>
          </w:p>
        </w:tc>
        <w:tc>
          <w:tcPr>
            <w:tcW w:w="1985" w:type="dxa"/>
          </w:tcPr>
          <w:p w14:paraId="2FADC47B" w14:textId="54FAB265" w:rsidR="00D32BBB" w:rsidRPr="004C3355" w:rsidRDefault="00D32BBB" w:rsidP="00EA1758">
            <w:pPr>
              <w:widowControl w:val="0"/>
              <w:spacing w:line="276" w:lineRule="auto"/>
              <w:ind w:right="-103"/>
              <w:rPr>
                <w:rFonts w:asciiTheme="minorHAnsi" w:eastAsia="Arial" w:hAnsiTheme="minorHAnsi" w:cstheme="minorHAnsi"/>
                <w:sz w:val="18"/>
                <w:szCs w:val="18"/>
              </w:rPr>
            </w:pPr>
            <w:r>
              <w:rPr>
                <w:rFonts w:eastAsia="Times New Roman"/>
                <w:color w:val="000000"/>
                <w:sz w:val="18"/>
                <w:szCs w:val="18"/>
              </w:rPr>
              <w:t>T</w:t>
            </w:r>
            <w:r w:rsidRPr="00D67A67">
              <w:rPr>
                <w:rFonts w:eastAsia="Times New Roman"/>
                <w:color w:val="000000"/>
                <w:sz w:val="18"/>
                <w:szCs w:val="18"/>
              </w:rPr>
              <w:t>o assess the current evidence on the long-term symptoms in COVID-19 patients.</w:t>
            </w:r>
          </w:p>
        </w:tc>
        <w:tc>
          <w:tcPr>
            <w:tcW w:w="1842" w:type="dxa"/>
          </w:tcPr>
          <w:p w14:paraId="3857660C" w14:textId="6B900911" w:rsidR="00D32BBB" w:rsidRDefault="00D32BBB" w:rsidP="00E1577E">
            <w:pPr>
              <w:widowControl w:val="0"/>
              <w:spacing w:line="276" w:lineRule="auto"/>
              <w:ind w:right="-106"/>
              <w:rPr>
                <w:rFonts w:asciiTheme="minorHAnsi" w:eastAsia="Arial" w:hAnsiTheme="minorHAnsi" w:cstheme="minorHAnsi"/>
                <w:sz w:val="18"/>
                <w:szCs w:val="18"/>
              </w:rPr>
            </w:pPr>
            <w:r w:rsidRPr="00D67A67">
              <w:rPr>
                <w:rFonts w:eastAsia="Times New Roman"/>
                <w:color w:val="000000"/>
                <w:sz w:val="18"/>
                <w:szCs w:val="18"/>
              </w:rPr>
              <w:t xml:space="preserve">All study types </w:t>
            </w:r>
            <w:r>
              <w:rPr>
                <w:rFonts w:eastAsia="Times New Roman"/>
                <w:color w:val="000000"/>
                <w:sz w:val="18"/>
                <w:szCs w:val="18"/>
              </w:rPr>
              <w:t>reporting</w:t>
            </w:r>
            <w:r w:rsidRPr="00D67A67">
              <w:rPr>
                <w:rFonts w:eastAsia="Times New Roman"/>
                <w:color w:val="000000"/>
                <w:sz w:val="18"/>
                <w:szCs w:val="18"/>
              </w:rPr>
              <w:t xml:space="preserve"> at least one long-term COVID-19 symptom</w:t>
            </w:r>
            <w:r>
              <w:rPr>
                <w:rFonts w:eastAsia="Times New Roman"/>
                <w:color w:val="000000"/>
                <w:sz w:val="18"/>
                <w:szCs w:val="18"/>
              </w:rPr>
              <w:t>.</w:t>
            </w:r>
          </w:p>
          <w:p w14:paraId="2356EE33" w14:textId="77777777" w:rsidR="00D32BBB" w:rsidRPr="00D32BBB" w:rsidRDefault="00D32BBB" w:rsidP="00D32BBB">
            <w:pPr>
              <w:rPr>
                <w:rFonts w:asciiTheme="minorHAnsi" w:eastAsia="Arial" w:hAnsiTheme="minorHAnsi" w:cstheme="minorHAnsi"/>
                <w:sz w:val="18"/>
                <w:szCs w:val="18"/>
              </w:rPr>
            </w:pPr>
          </w:p>
          <w:p w14:paraId="7782F67F" w14:textId="77777777" w:rsidR="00D32BBB" w:rsidRPr="00D32BBB" w:rsidRDefault="00D32BBB" w:rsidP="00D32BBB">
            <w:pPr>
              <w:rPr>
                <w:rFonts w:asciiTheme="minorHAnsi" w:eastAsia="Arial" w:hAnsiTheme="minorHAnsi" w:cstheme="minorHAnsi"/>
                <w:sz w:val="18"/>
                <w:szCs w:val="18"/>
              </w:rPr>
            </w:pPr>
          </w:p>
          <w:p w14:paraId="43220E99" w14:textId="77777777" w:rsidR="00D32BBB" w:rsidRPr="00D32BBB" w:rsidRDefault="00D32BBB" w:rsidP="00D32BBB">
            <w:pPr>
              <w:rPr>
                <w:rFonts w:asciiTheme="minorHAnsi" w:eastAsia="Arial" w:hAnsiTheme="minorHAnsi" w:cstheme="minorHAnsi"/>
                <w:sz w:val="18"/>
                <w:szCs w:val="18"/>
              </w:rPr>
            </w:pPr>
          </w:p>
          <w:p w14:paraId="135A42AB" w14:textId="77777777" w:rsidR="00D32BBB" w:rsidRPr="00D32BBB" w:rsidRDefault="00D32BBB" w:rsidP="00D32BBB">
            <w:pPr>
              <w:rPr>
                <w:rFonts w:asciiTheme="minorHAnsi" w:eastAsia="Arial" w:hAnsiTheme="minorHAnsi" w:cstheme="minorHAnsi"/>
                <w:sz w:val="18"/>
                <w:szCs w:val="18"/>
              </w:rPr>
            </w:pPr>
          </w:p>
          <w:p w14:paraId="0FB8D068" w14:textId="08BC4C8D" w:rsidR="00D32BBB" w:rsidRDefault="00D32BBB" w:rsidP="00D32BBB">
            <w:pPr>
              <w:rPr>
                <w:rFonts w:asciiTheme="minorHAnsi" w:eastAsia="Arial" w:hAnsiTheme="minorHAnsi" w:cstheme="minorHAnsi"/>
                <w:sz w:val="18"/>
                <w:szCs w:val="18"/>
              </w:rPr>
            </w:pPr>
          </w:p>
          <w:p w14:paraId="3AD17A11" w14:textId="77777777" w:rsidR="00D32BBB" w:rsidRPr="00D32BBB" w:rsidRDefault="00D32BBB" w:rsidP="00D32BBB">
            <w:pPr>
              <w:jc w:val="center"/>
              <w:rPr>
                <w:rFonts w:asciiTheme="minorHAnsi" w:eastAsia="Arial" w:hAnsiTheme="minorHAnsi" w:cstheme="minorHAnsi"/>
                <w:sz w:val="18"/>
                <w:szCs w:val="18"/>
              </w:rPr>
            </w:pPr>
          </w:p>
        </w:tc>
        <w:tc>
          <w:tcPr>
            <w:tcW w:w="1134" w:type="dxa"/>
          </w:tcPr>
          <w:p w14:paraId="0BF29927" w14:textId="73470423" w:rsidR="00D32BBB" w:rsidRPr="004C3355" w:rsidRDefault="00D32BBB" w:rsidP="00EA1758">
            <w:pPr>
              <w:widowControl w:val="0"/>
              <w:spacing w:line="276" w:lineRule="auto"/>
              <w:ind w:right="-100"/>
              <w:rPr>
                <w:rFonts w:asciiTheme="minorHAnsi" w:eastAsia="Arial" w:hAnsiTheme="minorHAnsi" w:cstheme="minorHAnsi"/>
                <w:sz w:val="18"/>
                <w:szCs w:val="18"/>
              </w:rPr>
            </w:pPr>
            <w:r w:rsidRPr="00D67A67">
              <w:rPr>
                <w:rFonts w:eastAsia="Times New Roman"/>
                <w:color w:val="000000"/>
                <w:sz w:val="18"/>
                <w:szCs w:val="18"/>
              </w:rPr>
              <w:t>Database inception</w:t>
            </w:r>
          </w:p>
        </w:tc>
        <w:tc>
          <w:tcPr>
            <w:tcW w:w="1134" w:type="dxa"/>
          </w:tcPr>
          <w:p w14:paraId="74EA28E2" w14:textId="3DA62088" w:rsidR="00D32BBB" w:rsidRPr="004C3355" w:rsidRDefault="00D32BBB" w:rsidP="00EA1758">
            <w:pPr>
              <w:widowControl w:val="0"/>
              <w:spacing w:line="276" w:lineRule="auto"/>
              <w:ind w:right="-121"/>
              <w:rPr>
                <w:rFonts w:asciiTheme="minorHAnsi" w:eastAsia="Arial" w:hAnsiTheme="minorHAnsi" w:cstheme="minorHAnsi"/>
                <w:sz w:val="18"/>
                <w:szCs w:val="18"/>
              </w:rPr>
            </w:pPr>
            <w:r w:rsidRPr="00D67A67">
              <w:rPr>
                <w:rFonts w:eastAsia="Times New Roman"/>
                <w:color w:val="000000"/>
                <w:sz w:val="18"/>
                <w:szCs w:val="18"/>
              </w:rPr>
              <w:t>15</w:t>
            </w:r>
            <w:r w:rsidRPr="00EA1758">
              <w:rPr>
                <w:rFonts w:eastAsia="Times New Roman"/>
                <w:color w:val="000000"/>
                <w:sz w:val="18"/>
                <w:szCs w:val="18"/>
                <w:vertAlign w:val="superscript"/>
              </w:rPr>
              <w:t>th</w:t>
            </w:r>
            <w:r>
              <w:rPr>
                <w:rFonts w:eastAsia="Times New Roman"/>
                <w:color w:val="000000"/>
                <w:sz w:val="18"/>
                <w:szCs w:val="18"/>
              </w:rPr>
              <w:t xml:space="preserve"> </w:t>
            </w:r>
            <w:r w:rsidRPr="00D67A67">
              <w:rPr>
                <w:rFonts w:eastAsia="Times New Roman"/>
                <w:color w:val="000000"/>
                <w:sz w:val="18"/>
                <w:szCs w:val="18"/>
              </w:rPr>
              <w:t>February 2021</w:t>
            </w:r>
          </w:p>
        </w:tc>
        <w:tc>
          <w:tcPr>
            <w:tcW w:w="1701" w:type="dxa"/>
          </w:tcPr>
          <w:p w14:paraId="562F5D63" w14:textId="13530C31" w:rsidR="00D32BBB" w:rsidRPr="004C3355" w:rsidRDefault="00D32BBB" w:rsidP="00EA1758">
            <w:pPr>
              <w:widowControl w:val="0"/>
              <w:spacing w:line="276" w:lineRule="auto"/>
              <w:ind w:right="-84"/>
              <w:rPr>
                <w:rFonts w:asciiTheme="minorHAnsi" w:eastAsia="Arial" w:hAnsiTheme="minorHAnsi" w:cstheme="minorHAnsi"/>
                <w:sz w:val="18"/>
                <w:szCs w:val="18"/>
              </w:rPr>
            </w:pPr>
            <w:r w:rsidRPr="00D67A67">
              <w:rPr>
                <w:rFonts w:eastAsia="Times New Roman"/>
                <w:color w:val="000000"/>
                <w:sz w:val="18"/>
                <w:szCs w:val="18"/>
              </w:rPr>
              <w:t xml:space="preserve">IRCCS </w:t>
            </w:r>
            <w:proofErr w:type="spellStart"/>
            <w:r w:rsidRPr="00D67A67">
              <w:rPr>
                <w:rFonts w:eastAsia="Times New Roman"/>
                <w:color w:val="000000"/>
                <w:sz w:val="18"/>
                <w:szCs w:val="18"/>
              </w:rPr>
              <w:t>Istituto</w:t>
            </w:r>
            <w:proofErr w:type="spellEnd"/>
            <w:r w:rsidRPr="00D67A67">
              <w:rPr>
                <w:rFonts w:eastAsia="Times New Roman"/>
                <w:color w:val="000000"/>
                <w:sz w:val="18"/>
                <w:szCs w:val="18"/>
              </w:rPr>
              <w:t xml:space="preserve"> </w:t>
            </w:r>
            <w:proofErr w:type="spellStart"/>
            <w:r w:rsidRPr="00D67A67">
              <w:rPr>
                <w:rFonts w:eastAsia="Times New Roman"/>
                <w:color w:val="000000"/>
                <w:sz w:val="18"/>
                <w:szCs w:val="18"/>
              </w:rPr>
              <w:t>Ortopedico</w:t>
            </w:r>
            <w:proofErr w:type="spellEnd"/>
            <w:r w:rsidRPr="00D67A67">
              <w:rPr>
                <w:rFonts w:eastAsia="Times New Roman"/>
                <w:color w:val="000000"/>
                <w:sz w:val="18"/>
                <w:szCs w:val="18"/>
              </w:rPr>
              <w:t xml:space="preserve"> Rizzoli (</w:t>
            </w:r>
            <w:proofErr w:type="spellStart"/>
            <w:r w:rsidRPr="00D67A67">
              <w:rPr>
                <w:rFonts w:eastAsia="Times New Roman"/>
                <w:color w:val="000000"/>
                <w:sz w:val="18"/>
                <w:szCs w:val="18"/>
              </w:rPr>
              <w:t>Ricerca</w:t>
            </w:r>
            <w:proofErr w:type="spellEnd"/>
            <w:r w:rsidRPr="00D67A67">
              <w:rPr>
                <w:rFonts w:eastAsia="Times New Roman"/>
                <w:color w:val="000000"/>
                <w:sz w:val="18"/>
                <w:szCs w:val="18"/>
              </w:rPr>
              <w:t xml:space="preserve"> </w:t>
            </w:r>
            <w:proofErr w:type="spellStart"/>
            <w:r w:rsidRPr="00D67A67">
              <w:rPr>
                <w:rFonts w:eastAsia="Times New Roman"/>
                <w:color w:val="000000"/>
                <w:sz w:val="18"/>
                <w:szCs w:val="18"/>
              </w:rPr>
              <w:t>Corrente</w:t>
            </w:r>
            <w:proofErr w:type="spellEnd"/>
            <w:r w:rsidRPr="00D67A67">
              <w:rPr>
                <w:rFonts w:eastAsia="Times New Roman"/>
                <w:color w:val="000000"/>
                <w:sz w:val="18"/>
                <w:szCs w:val="18"/>
              </w:rPr>
              <w:t>)</w:t>
            </w:r>
          </w:p>
        </w:tc>
        <w:tc>
          <w:tcPr>
            <w:tcW w:w="1843" w:type="dxa"/>
          </w:tcPr>
          <w:p w14:paraId="721E7F65" w14:textId="6431223F" w:rsidR="00D32BBB" w:rsidRPr="004C3355" w:rsidRDefault="00D32BBB" w:rsidP="00D32BBB">
            <w:pPr>
              <w:widowControl w:val="0"/>
              <w:spacing w:line="276" w:lineRule="auto"/>
              <w:ind w:right="-115"/>
              <w:rPr>
                <w:rFonts w:asciiTheme="minorHAnsi" w:eastAsia="Arial" w:hAnsiTheme="minorHAnsi" w:cstheme="minorHAnsi"/>
                <w:sz w:val="18"/>
                <w:szCs w:val="18"/>
              </w:rPr>
            </w:pPr>
            <w:r w:rsidRPr="00D67A67">
              <w:rPr>
                <w:rFonts w:eastAsia="Times New Roman"/>
                <w:color w:val="000000"/>
                <w:sz w:val="18"/>
                <w:szCs w:val="18"/>
              </w:rPr>
              <w:t xml:space="preserve">Mild, moderate, severe, and critical COVID-19 patients with at least one long-term COVID-19 symptom after at least 14 days of follow-up. </w:t>
            </w:r>
          </w:p>
        </w:tc>
        <w:tc>
          <w:tcPr>
            <w:tcW w:w="2126" w:type="dxa"/>
          </w:tcPr>
          <w:p w14:paraId="170A3D21" w14:textId="4BFBA746" w:rsidR="00D32BBB" w:rsidRPr="004C3355" w:rsidRDefault="00D32BBB" w:rsidP="00EA1758">
            <w:pPr>
              <w:widowControl w:val="0"/>
              <w:spacing w:line="276" w:lineRule="auto"/>
              <w:ind w:right="-110"/>
              <w:rPr>
                <w:rFonts w:asciiTheme="minorHAnsi" w:eastAsia="Arial" w:hAnsiTheme="minorHAnsi" w:cstheme="minorHAnsi"/>
                <w:sz w:val="18"/>
                <w:szCs w:val="18"/>
              </w:rPr>
            </w:pPr>
            <w:r w:rsidRPr="00D67A67">
              <w:rPr>
                <w:rFonts w:eastAsia="Times New Roman"/>
                <w:color w:val="000000"/>
                <w:sz w:val="18"/>
                <w:szCs w:val="18"/>
              </w:rPr>
              <w:t>Any study that reported at least one long-term COVID-19 symptom after at least 14 days of follow-up</w:t>
            </w:r>
            <w:r>
              <w:rPr>
                <w:rFonts w:eastAsia="Times New Roman"/>
                <w:color w:val="000000"/>
                <w:sz w:val="18"/>
                <w:szCs w:val="18"/>
              </w:rPr>
              <w:t>.</w:t>
            </w:r>
          </w:p>
        </w:tc>
        <w:tc>
          <w:tcPr>
            <w:tcW w:w="2127" w:type="dxa"/>
          </w:tcPr>
          <w:p w14:paraId="4BAA4EBB" w14:textId="77777777" w:rsidR="00D32BBB" w:rsidRDefault="00D32BBB" w:rsidP="00EA1758">
            <w:pPr>
              <w:widowControl w:val="0"/>
              <w:spacing w:line="276" w:lineRule="auto"/>
              <w:ind w:right="-102"/>
              <w:rPr>
                <w:rFonts w:eastAsia="Times New Roman"/>
                <w:color w:val="000000"/>
                <w:sz w:val="18"/>
                <w:szCs w:val="18"/>
              </w:rPr>
            </w:pPr>
            <w:r>
              <w:rPr>
                <w:rFonts w:eastAsia="Times New Roman"/>
                <w:color w:val="000000"/>
                <w:sz w:val="18"/>
                <w:szCs w:val="18"/>
              </w:rPr>
              <w:t>- U</w:t>
            </w:r>
            <w:r w:rsidRPr="00D67A67">
              <w:rPr>
                <w:rFonts w:eastAsia="Times New Roman"/>
                <w:color w:val="000000"/>
                <w:sz w:val="18"/>
                <w:szCs w:val="18"/>
              </w:rPr>
              <w:t>npublished reports</w:t>
            </w:r>
          </w:p>
          <w:p w14:paraId="073004BB" w14:textId="77777777" w:rsidR="00D32BBB" w:rsidRDefault="00D32BBB" w:rsidP="00EA1758">
            <w:pPr>
              <w:widowControl w:val="0"/>
              <w:spacing w:line="276" w:lineRule="auto"/>
              <w:ind w:right="-102"/>
              <w:rPr>
                <w:rFonts w:eastAsia="Times New Roman"/>
                <w:color w:val="000000"/>
                <w:sz w:val="18"/>
                <w:szCs w:val="18"/>
              </w:rPr>
            </w:pPr>
            <w:r>
              <w:rPr>
                <w:rFonts w:eastAsia="Times New Roman"/>
                <w:color w:val="000000"/>
                <w:sz w:val="18"/>
                <w:szCs w:val="18"/>
              </w:rPr>
              <w:t>- U</w:t>
            </w:r>
            <w:r w:rsidRPr="00D67A67">
              <w:rPr>
                <w:rFonts w:eastAsia="Times New Roman"/>
                <w:color w:val="000000"/>
                <w:sz w:val="18"/>
                <w:szCs w:val="18"/>
              </w:rPr>
              <w:t>nspecified date/location of the study</w:t>
            </w:r>
          </w:p>
          <w:p w14:paraId="3DDADA83" w14:textId="77777777" w:rsidR="00D32BBB" w:rsidRDefault="00D32BBB" w:rsidP="00EA1758">
            <w:pPr>
              <w:widowControl w:val="0"/>
              <w:spacing w:line="276" w:lineRule="auto"/>
              <w:ind w:right="-102"/>
              <w:rPr>
                <w:rFonts w:eastAsia="Times New Roman"/>
                <w:color w:val="000000"/>
                <w:sz w:val="18"/>
                <w:szCs w:val="18"/>
              </w:rPr>
            </w:pPr>
            <w:r>
              <w:rPr>
                <w:rFonts w:eastAsia="Times New Roman"/>
                <w:color w:val="000000"/>
                <w:sz w:val="18"/>
                <w:szCs w:val="18"/>
              </w:rPr>
              <w:t>- S</w:t>
            </w:r>
            <w:r w:rsidRPr="00D67A67">
              <w:rPr>
                <w:rFonts w:eastAsia="Times New Roman"/>
                <w:color w:val="000000"/>
                <w:sz w:val="18"/>
                <w:szCs w:val="18"/>
              </w:rPr>
              <w:t>uspicion of duplicate reportin</w:t>
            </w:r>
            <w:r>
              <w:rPr>
                <w:rFonts w:eastAsia="Times New Roman"/>
                <w:color w:val="000000"/>
                <w:sz w:val="18"/>
                <w:szCs w:val="18"/>
              </w:rPr>
              <w:t>g</w:t>
            </w:r>
          </w:p>
          <w:p w14:paraId="40347A0B" w14:textId="77777777" w:rsidR="00D32BBB" w:rsidRDefault="00D32BBB" w:rsidP="00EA1758">
            <w:pPr>
              <w:widowControl w:val="0"/>
              <w:spacing w:line="276" w:lineRule="auto"/>
              <w:ind w:right="-102"/>
              <w:rPr>
                <w:rFonts w:eastAsia="Times New Roman"/>
                <w:color w:val="000000"/>
                <w:sz w:val="18"/>
                <w:szCs w:val="18"/>
              </w:rPr>
            </w:pPr>
            <w:r>
              <w:rPr>
                <w:rFonts w:eastAsia="Times New Roman"/>
                <w:color w:val="000000"/>
                <w:sz w:val="18"/>
                <w:szCs w:val="18"/>
              </w:rPr>
              <w:t>- C</w:t>
            </w:r>
            <w:r w:rsidRPr="00D67A67">
              <w:rPr>
                <w:rFonts w:eastAsia="Times New Roman"/>
                <w:color w:val="000000"/>
                <w:sz w:val="18"/>
                <w:szCs w:val="18"/>
              </w:rPr>
              <w:t>oronavirus strains other than COVID-19</w:t>
            </w:r>
          </w:p>
          <w:p w14:paraId="61532B9F" w14:textId="77777777" w:rsidR="00D32BBB" w:rsidRDefault="00D32BBB" w:rsidP="00EA1758">
            <w:pPr>
              <w:widowControl w:val="0"/>
              <w:spacing w:line="276" w:lineRule="auto"/>
              <w:ind w:right="-102"/>
              <w:rPr>
                <w:rFonts w:eastAsia="Times New Roman"/>
                <w:color w:val="000000"/>
                <w:sz w:val="18"/>
                <w:szCs w:val="18"/>
              </w:rPr>
            </w:pPr>
            <w:r>
              <w:rPr>
                <w:rFonts w:eastAsia="Times New Roman"/>
                <w:color w:val="000000"/>
                <w:sz w:val="18"/>
                <w:szCs w:val="18"/>
              </w:rPr>
              <w:t xml:space="preserve">- </w:t>
            </w:r>
            <w:proofErr w:type="spellStart"/>
            <w:r>
              <w:rPr>
                <w:rFonts w:eastAsia="Times New Roman"/>
                <w:color w:val="000000"/>
                <w:sz w:val="18"/>
                <w:szCs w:val="18"/>
              </w:rPr>
              <w:t>U</w:t>
            </w:r>
            <w:r w:rsidRPr="00D67A67">
              <w:rPr>
                <w:rFonts w:eastAsia="Times New Roman"/>
                <w:color w:val="000000"/>
                <w:sz w:val="18"/>
                <w:szCs w:val="18"/>
              </w:rPr>
              <w:t>reported</w:t>
            </w:r>
            <w:proofErr w:type="spellEnd"/>
            <w:r w:rsidRPr="00D67A67">
              <w:rPr>
                <w:rFonts w:eastAsia="Times New Roman"/>
                <w:color w:val="000000"/>
                <w:sz w:val="18"/>
                <w:szCs w:val="18"/>
              </w:rPr>
              <w:t xml:space="preserve"> long-term COVID-19 symptoms</w:t>
            </w:r>
          </w:p>
          <w:p w14:paraId="7ED7E324" w14:textId="4B293F9A" w:rsidR="00D32BBB" w:rsidRPr="004C3355" w:rsidRDefault="00D32BBB" w:rsidP="00EA1758">
            <w:pPr>
              <w:widowControl w:val="0"/>
              <w:spacing w:line="276" w:lineRule="auto"/>
              <w:ind w:right="-102"/>
              <w:rPr>
                <w:rFonts w:asciiTheme="minorHAnsi" w:eastAsia="Arial" w:hAnsiTheme="minorHAnsi" w:cstheme="minorHAnsi"/>
                <w:sz w:val="18"/>
                <w:szCs w:val="18"/>
              </w:rPr>
            </w:pPr>
            <w:r>
              <w:rPr>
                <w:rFonts w:eastAsia="Times New Roman"/>
                <w:color w:val="000000"/>
                <w:sz w:val="18"/>
                <w:szCs w:val="18"/>
              </w:rPr>
              <w:t>- S</w:t>
            </w:r>
            <w:r w:rsidRPr="00D67A67">
              <w:rPr>
                <w:rFonts w:eastAsia="Times New Roman"/>
                <w:color w:val="000000"/>
                <w:sz w:val="18"/>
                <w:szCs w:val="18"/>
              </w:rPr>
              <w:t>tudies that only hypothesize post-COVID-19 sequelae.</w:t>
            </w:r>
          </w:p>
        </w:tc>
        <w:tc>
          <w:tcPr>
            <w:tcW w:w="992" w:type="dxa"/>
          </w:tcPr>
          <w:p w14:paraId="0266AD49" w14:textId="4AF01691" w:rsidR="00D32BBB" w:rsidRPr="004C3355" w:rsidRDefault="00D32BBB" w:rsidP="00EA1758">
            <w:pPr>
              <w:widowControl w:val="0"/>
              <w:spacing w:line="276" w:lineRule="auto"/>
              <w:ind w:right="-127"/>
              <w:rPr>
                <w:rFonts w:asciiTheme="minorHAnsi" w:eastAsia="Arial" w:hAnsiTheme="minorHAnsi" w:cstheme="minorHAnsi"/>
                <w:sz w:val="18"/>
                <w:szCs w:val="18"/>
              </w:rPr>
            </w:pPr>
            <w:r w:rsidRPr="00D67A67">
              <w:rPr>
                <w:rFonts w:eastAsia="Times New Roman"/>
                <w:color w:val="000000"/>
                <w:sz w:val="18"/>
                <w:szCs w:val="18"/>
              </w:rPr>
              <w:t>145</w:t>
            </w:r>
          </w:p>
        </w:tc>
        <w:tc>
          <w:tcPr>
            <w:tcW w:w="2542" w:type="dxa"/>
          </w:tcPr>
          <w:p w14:paraId="3C1A9113" w14:textId="77777777" w:rsidR="00D32BBB" w:rsidRDefault="00D32BBB" w:rsidP="00D32BBB">
            <w:pPr>
              <w:widowControl w:val="0"/>
              <w:spacing w:line="276" w:lineRule="auto"/>
              <w:ind w:right="-107"/>
              <w:rPr>
                <w:rFonts w:eastAsia="Times New Roman"/>
                <w:color w:val="000000"/>
                <w:sz w:val="18"/>
                <w:szCs w:val="18"/>
              </w:rPr>
            </w:pPr>
            <w:r w:rsidRPr="00D67A67">
              <w:rPr>
                <w:rFonts w:eastAsia="Times New Roman"/>
                <w:color w:val="000000"/>
                <w:sz w:val="18"/>
                <w:szCs w:val="18"/>
              </w:rPr>
              <w:t xml:space="preserve">Presents symptoms and mechanisms together in Table 1 under each study, so these needed to be distinguished in reporting the findings. </w:t>
            </w:r>
          </w:p>
          <w:p w14:paraId="678056C2" w14:textId="623C55D9" w:rsidR="00D32BBB" w:rsidRPr="009B5210" w:rsidRDefault="00D32BBB" w:rsidP="00D32BBB">
            <w:pPr>
              <w:widowControl w:val="0"/>
              <w:spacing w:line="276" w:lineRule="auto"/>
              <w:ind w:right="-100"/>
              <w:rPr>
                <w:rFonts w:asciiTheme="minorHAnsi" w:eastAsia="Arial" w:hAnsiTheme="minorHAnsi" w:cstheme="minorHAnsi"/>
                <w:b/>
                <w:sz w:val="18"/>
                <w:szCs w:val="18"/>
              </w:rPr>
            </w:pPr>
            <w:r w:rsidRPr="00D67A67">
              <w:rPr>
                <w:rFonts w:eastAsia="Times New Roman"/>
                <w:color w:val="000000"/>
                <w:sz w:val="18"/>
                <w:szCs w:val="18"/>
              </w:rPr>
              <w:t>All study designs similarly presented together in Table 1; these needed to be distinguished. Studies also varied by duration since COVID-19 onset, hence difficult to compare prevalence and longevity of symptoms</w:t>
            </w:r>
            <w:r>
              <w:rPr>
                <w:rFonts w:eastAsia="Times New Roman"/>
                <w:color w:val="000000"/>
                <w:sz w:val="18"/>
                <w:szCs w:val="18"/>
              </w:rPr>
              <w:t xml:space="preserve"> and </w:t>
            </w:r>
            <w:r w:rsidRPr="00D67A67">
              <w:rPr>
                <w:rFonts w:eastAsia="Times New Roman"/>
                <w:color w:val="000000"/>
                <w:sz w:val="18"/>
                <w:szCs w:val="18"/>
              </w:rPr>
              <w:t>mechanisms</w:t>
            </w:r>
            <w:r>
              <w:rPr>
                <w:rFonts w:eastAsia="Times New Roman"/>
                <w:color w:val="000000"/>
                <w:sz w:val="18"/>
                <w:szCs w:val="18"/>
              </w:rPr>
              <w:t>.</w:t>
            </w:r>
          </w:p>
        </w:tc>
      </w:tr>
      <w:tr w:rsidR="00B3377F" w14:paraId="2960A20D" w14:textId="77777777" w:rsidTr="00CE4F22">
        <w:tc>
          <w:tcPr>
            <w:tcW w:w="988" w:type="dxa"/>
          </w:tcPr>
          <w:p w14:paraId="7A452EBF" w14:textId="1E89DAF4" w:rsidR="00B3377F" w:rsidRPr="0050617B" w:rsidRDefault="00B3377F" w:rsidP="00B3377F">
            <w:pPr>
              <w:widowControl w:val="0"/>
              <w:spacing w:line="276" w:lineRule="auto"/>
              <w:ind w:right="-105"/>
              <w:rPr>
                <w:rFonts w:eastAsia="Times New Roman"/>
                <w:b/>
                <w:color w:val="000000"/>
                <w:sz w:val="18"/>
                <w:szCs w:val="18"/>
              </w:rPr>
            </w:pPr>
            <w:r w:rsidRPr="0050617B">
              <w:rPr>
                <w:rFonts w:eastAsia="Times New Roman"/>
                <w:b/>
                <w:color w:val="000000"/>
                <w:sz w:val="18"/>
                <w:szCs w:val="18"/>
              </w:rPr>
              <w:t>Garg 2021</w:t>
            </w:r>
          </w:p>
        </w:tc>
        <w:tc>
          <w:tcPr>
            <w:tcW w:w="1417" w:type="dxa"/>
          </w:tcPr>
          <w:p w14:paraId="18F40027" w14:textId="77777777" w:rsidR="00B3377F" w:rsidRDefault="00B3377F" w:rsidP="00B3377F">
            <w:pPr>
              <w:widowControl w:val="0"/>
              <w:spacing w:line="276" w:lineRule="auto"/>
              <w:ind w:right="-105"/>
              <w:rPr>
                <w:rFonts w:eastAsia="Times New Roman"/>
                <w:i/>
                <w:color w:val="000000"/>
                <w:sz w:val="18"/>
                <w:szCs w:val="18"/>
              </w:rPr>
            </w:pPr>
            <w:r w:rsidRPr="00EB236C">
              <w:rPr>
                <w:rFonts w:eastAsia="Times New Roman"/>
                <w:i/>
                <w:color w:val="000000"/>
                <w:sz w:val="18"/>
                <w:szCs w:val="18"/>
              </w:rPr>
              <w:t>The Conundrum of Long-COVID-19: A Narrative Review</w:t>
            </w:r>
          </w:p>
          <w:p w14:paraId="4B1F5DE8" w14:textId="6FD351BF" w:rsidR="00EB236C" w:rsidRPr="00EB236C" w:rsidRDefault="00EB236C" w:rsidP="00B3377F">
            <w:pPr>
              <w:widowControl w:val="0"/>
              <w:spacing w:line="276" w:lineRule="auto"/>
              <w:ind w:right="-105"/>
              <w:rPr>
                <w:rFonts w:eastAsia="Times New Roman"/>
                <w:i/>
                <w:color w:val="000000"/>
                <w:sz w:val="18"/>
                <w:szCs w:val="18"/>
              </w:rPr>
            </w:pPr>
          </w:p>
        </w:tc>
        <w:tc>
          <w:tcPr>
            <w:tcW w:w="851" w:type="dxa"/>
          </w:tcPr>
          <w:p w14:paraId="0D626553" w14:textId="1902F7D4" w:rsidR="00B3377F" w:rsidRPr="00D67A67" w:rsidRDefault="00B3377F" w:rsidP="00EA1758">
            <w:pPr>
              <w:widowControl w:val="0"/>
              <w:spacing w:line="276" w:lineRule="auto"/>
              <w:ind w:right="-1440"/>
              <w:rPr>
                <w:rFonts w:eastAsia="Times New Roman"/>
                <w:color w:val="000000"/>
                <w:sz w:val="18"/>
                <w:szCs w:val="18"/>
              </w:rPr>
            </w:pPr>
            <w:r>
              <w:rPr>
                <w:rFonts w:eastAsia="Times New Roman"/>
                <w:color w:val="000000"/>
                <w:sz w:val="18"/>
                <w:szCs w:val="18"/>
              </w:rPr>
              <w:t>India</w:t>
            </w:r>
          </w:p>
        </w:tc>
        <w:tc>
          <w:tcPr>
            <w:tcW w:w="1984" w:type="dxa"/>
          </w:tcPr>
          <w:p w14:paraId="12D5E50A" w14:textId="0785105B" w:rsidR="00B3377F" w:rsidRPr="00B3377F" w:rsidRDefault="00B3377F" w:rsidP="00EA1758">
            <w:pPr>
              <w:widowControl w:val="0"/>
              <w:spacing w:line="276" w:lineRule="auto"/>
              <w:ind w:right="-111"/>
              <w:rPr>
                <w:rFonts w:eastAsia="Times New Roman"/>
                <w:color w:val="000000"/>
                <w:sz w:val="18"/>
                <w:szCs w:val="18"/>
              </w:rPr>
            </w:pPr>
            <w:r w:rsidRPr="00B3377F">
              <w:rPr>
                <w:rFonts w:eastAsia="Times New Roman"/>
                <w:color w:val="000000"/>
                <w:sz w:val="18"/>
                <w:szCs w:val="18"/>
              </w:rPr>
              <w:t>Search terms included</w:t>
            </w:r>
            <w:r>
              <w:rPr>
                <w:rFonts w:eastAsia="Times New Roman"/>
                <w:color w:val="000000"/>
                <w:sz w:val="18"/>
                <w:szCs w:val="18"/>
              </w:rPr>
              <w:t>:</w:t>
            </w:r>
            <w:r w:rsidRPr="00B3377F">
              <w:rPr>
                <w:rFonts w:eastAsia="Times New Roman"/>
                <w:color w:val="000000"/>
                <w:sz w:val="18"/>
                <w:szCs w:val="18"/>
              </w:rPr>
              <w:t xml:space="preserve"> </w:t>
            </w:r>
            <w:r w:rsidRPr="00B3377F">
              <w:rPr>
                <w:rFonts w:eastAsia="Times New Roman"/>
                <w:color w:val="000000"/>
                <w:sz w:val="18"/>
                <w:szCs w:val="18"/>
              </w:rPr>
              <w:br/>
              <w:t xml:space="preserve">Long COVID-19, </w:t>
            </w:r>
            <w:r w:rsidRPr="00B3377F">
              <w:rPr>
                <w:rFonts w:eastAsia="Times New Roman"/>
                <w:color w:val="000000"/>
                <w:sz w:val="18"/>
                <w:szCs w:val="18"/>
              </w:rPr>
              <w:br/>
              <w:t xml:space="preserve">post-COVID, </w:t>
            </w:r>
            <w:r w:rsidRPr="00B3377F">
              <w:rPr>
                <w:rFonts w:eastAsia="Times New Roman"/>
                <w:color w:val="000000"/>
                <w:sz w:val="18"/>
                <w:szCs w:val="18"/>
              </w:rPr>
              <w:br/>
              <w:t xml:space="preserve">chronic COVID, </w:t>
            </w:r>
            <w:r w:rsidRPr="00B3377F">
              <w:rPr>
                <w:rFonts w:eastAsia="Times New Roman"/>
                <w:color w:val="000000"/>
                <w:sz w:val="18"/>
                <w:szCs w:val="18"/>
              </w:rPr>
              <w:br/>
              <w:t xml:space="preserve">post-COVID syndrome </w:t>
            </w:r>
            <w:r w:rsidRPr="00B3377F">
              <w:rPr>
                <w:rFonts w:eastAsia="Times New Roman"/>
                <w:color w:val="000000"/>
                <w:sz w:val="18"/>
                <w:szCs w:val="18"/>
              </w:rPr>
              <w:br/>
              <w:t xml:space="preserve">long-haul COVID, </w:t>
            </w:r>
            <w:r w:rsidRPr="00B3377F">
              <w:rPr>
                <w:rFonts w:eastAsia="Times New Roman"/>
                <w:color w:val="000000"/>
                <w:sz w:val="18"/>
                <w:szCs w:val="18"/>
              </w:rPr>
              <w:br/>
              <w:t>viral illness following COVID19</w:t>
            </w:r>
            <w:r w:rsidRPr="00B3377F">
              <w:rPr>
                <w:rFonts w:eastAsia="Times New Roman"/>
                <w:color w:val="000000"/>
                <w:sz w:val="18"/>
                <w:szCs w:val="18"/>
              </w:rPr>
              <w:br/>
              <w:t xml:space="preserve">post-COVID illness, </w:t>
            </w:r>
            <w:r w:rsidRPr="00B3377F">
              <w:rPr>
                <w:rFonts w:eastAsia="Times New Roman"/>
                <w:color w:val="000000"/>
                <w:sz w:val="18"/>
                <w:szCs w:val="18"/>
              </w:rPr>
              <w:br/>
              <w:t xml:space="preserve">COVID recovery, </w:t>
            </w:r>
            <w:r w:rsidRPr="00B3377F">
              <w:rPr>
                <w:rFonts w:eastAsia="Times New Roman"/>
                <w:color w:val="000000"/>
                <w:sz w:val="18"/>
                <w:szCs w:val="18"/>
              </w:rPr>
              <w:br/>
              <w:t>predictors of Long COVID</w:t>
            </w:r>
            <w:r>
              <w:rPr>
                <w:rFonts w:eastAsia="Times New Roman"/>
                <w:color w:val="000000"/>
                <w:sz w:val="18"/>
                <w:szCs w:val="18"/>
              </w:rPr>
              <w:t>.</w:t>
            </w:r>
            <w:r w:rsidRPr="00B3377F">
              <w:rPr>
                <w:rFonts w:eastAsia="Times New Roman"/>
                <w:color w:val="000000"/>
                <w:sz w:val="18"/>
                <w:szCs w:val="18"/>
              </w:rPr>
              <w:br/>
              <w:t xml:space="preserve">Databases searched: Google Scholar, PubMed, Web of science, </w:t>
            </w:r>
            <w:proofErr w:type="spellStart"/>
            <w:r w:rsidRPr="00B3377F">
              <w:rPr>
                <w:rFonts w:eastAsia="Times New Roman"/>
                <w:color w:val="000000"/>
                <w:sz w:val="18"/>
                <w:szCs w:val="18"/>
              </w:rPr>
              <w:t>bioRxiv</w:t>
            </w:r>
            <w:proofErr w:type="spellEnd"/>
            <w:r w:rsidRPr="00B3377F">
              <w:rPr>
                <w:rFonts w:eastAsia="Times New Roman"/>
                <w:color w:val="000000"/>
                <w:sz w:val="18"/>
                <w:szCs w:val="18"/>
              </w:rPr>
              <w:t xml:space="preserve">, </w:t>
            </w:r>
            <w:proofErr w:type="spellStart"/>
            <w:r w:rsidRPr="00B3377F">
              <w:rPr>
                <w:rFonts w:eastAsia="Times New Roman"/>
                <w:color w:val="000000"/>
                <w:sz w:val="18"/>
                <w:szCs w:val="18"/>
              </w:rPr>
              <w:t>medRxiv</w:t>
            </w:r>
            <w:proofErr w:type="spellEnd"/>
            <w:r w:rsidRPr="00B3377F">
              <w:rPr>
                <w:rFonts w:eastAsia="Times New Roman"/>
                <w:color w:val="000000"/>
                <w:sz w:val="18"/>
                <w:szCs w:val="18"/>
              </w:rPr>
              <w:t>, and ResearchGate, references from relevant articles, and internet sources (WHO reports)</w:t>
            </w:r>
            <w:r>
              <w:rPr>
                <w:rFonts w:eastAsia="Times New Roman"/>
                <w:color w:val="000000"/>
                <w:sz w:val="18"/>
                <w:szCs w:val="18"/>
              </w:rPr>
              <w:t>.</w:t>
            </w:r>
          </w:p>
        </w:tc>
        <w:tc>
          <w:tcPr>
            <w:tcW w:w="1985" w:type="dxa"/>
          </w:tcPr>
          <w:p w14:paraId="32C079D7" w14:textId="365E9AE4" w:rsidR="00B3377F" w:rsidRPr="00671250" w:rsidRDefault="00671250" w:rsidP="00EA1758">
            <w:pPr>
              <w:widowControl w:val="0"/>
              <w:spacing w:line="276" w:lineRule="auto"/>
              <w:ind w:right="-103"/>
              <w:rPr>
                <w:rFonts w:eastAsia="Times New Roman"/>
                <w:color w:val="000000"/>
                <w:sz w:val="18"/>
                <w:szCs w:val="18"/>
              </w:rPr>
            </w:pPr>
            <w:r>
              <w:rPr>
                <w:rFonts w:eastAsia="Times New Roman"/>
                <w:color w:val="000000"/>
                <w:sz w:val="18"/>
                <w:szCs w:val="18"/>
              </w:rPr>
              <w:t>T</w:t>
            </w:r>
            <w:r w:rsidRPr="00671250">
              <w:rPr>
                <w:rFonts w:eastAsia="Times New Roman"/>
                <w:color w:val="000000"/>
                <w:sz w:val="18"/>
                <w:szCs w:val="18"/>
              </w:rPr>
              <w:t>o review the epidemiology, etiopathogenesis, clinical manifestations, predictors, and management strategies in COVID-19 survivors in their convalescent/</w:t>
            </w:r>
            <w:r>
              <w:rPr>
                <w:rFonts w:eastAsia="Times New Roman"/>
                <w:color w:val="000000"/>
                <w:sz w:val="18"/>
                <w:szCs w:val="18"/>
              </w:rPr>
              <w:t xml:space="preserve"> r</w:t>
            </w:r>
            <w:r w:rsidRPr="00671250">
              <w:rPr>
                <w:rFonts w:eastAsia="Times New Roman"/>
                <w:color w:val="000000"/>
                <w:sz w:val="18"/>
                <w:szCs w:val="18"/>
              </w:rPr>
              <w:t>ecovery phase</w:t>
            </w:r>
            <w:r>
              <w:rPr>
                <w:rFonts w:eastAsia="Times New Roman"/>
                <w:color w:val="000000"/>
                <w:sz w:val="18"/>
                <w:szCs w:val="18"/>
              </w:rPr>
              <w:t>.</w:t>
            </w:r>
          </w:p>
        </w:tc>
        <w:tc>
          <w:tcPr>
            <w:tcW w:w="1842" w:type="dxa"/>
          </w:tcPr>
          <w:p w14:paraId="1D0EF257" w14:textId="41EF5B1E" w:rsidR="00B3377F" w:rsidRPr="005A20F4" w:rsidRDefault="005A20F4" w:rsidP="00E1577E">
            <w:pPr>
              <w:widowControl w:val="0"/>
              <w:spacing w:line="276" w:lineRule="auto"/>
              <w:ind w:right="-106"/>
              <w:rPr>
                <w:rFonts w:eastAsia="Times New Roman"/>
                <w:color w:val="000000"/>
                <w:sz w:val="18"/>
                <w:szCs w:val="18"/>
              </w:rPr>
            </w:pPr>
            <w:r w:rsidRPr="005A20F4">
              <w:rPr>
                <w:rFonts w:eastAsia="Times New Roman"/>
                <w:color w:val="000000"/>
                <w:sz w:val="18"/>
                <w:szCs w:val="18"/>
              </w:rPr>
              <w:t xml:space="preserve">Cohort studies and </w:t>
            </w:r>
            <w:proofErr w:type="gramStart"/>
            <w:r w:rsidRPr="005A20F4">
              <w:rPr>
                <w:rFonts w:eastAsia="Times New Roman"/>
                <w:color w:val="000000"/>
                <w:sz w:val="18"/>
                <w:szCs w:val="18"/>
              </w:rPr>
              <w:t>cross sectional</w:t>
            </w:r>
            <w:proofErr w:type="gramEnd"/>
            <w:r w:rsidRPr="005A20F4">
              <w:rPr>
                <w:rFonts w:eastAsia="Times New Roman"/>
                <w:color w:val="000000"/>
                <w:sz w:val="18"/>
                <w:szCs w:val="18"/>
              </w:rPr>
              <w:t xml:space="preserve"> clinical reviews or questionnaires</w:t>
            </w:r>
            <w:r>
              <w:rPr>
                <w:rFonts w:eastAsia="Times New Roman"/>
                <w:color w:val="000000"/>
                <w:sz w:val="18"/>
                <w:szCs w:val="18"/>
              </w:rPr>
              <w:t>.</w:t>
            </w:r>
          </w:p>
        </w:tc>
        <w:tc>
          <w:tcPr>
            <w:tcW w:w="1134" w:type="dxa"/>
          </w:tcPr>
          <w:p w14:paraId="6173C726" w14:textId="293D90BC" w:rsidR="00B3377F" w:rsidRPr="00557E63" w:rsidRDefault="00557E63" w:rsidP="00EA1758">
            <w:pPr>
              <w:widowControl w:val="0"/>
              <w:spacing w:line="276" w:lineRule="auto"/>
              <w:ind w:right="-100"/>
              <w:rPr>
                <w:rFonts w:eastAsia="Times New Roman"/>
                <w:color w:val="000000"/>
                <w:sz w:val="18"/>
                <w:szCs w:val="18"/>
              </w:rPr>
            </w:pPr>
            <w:r w:rsidRPr="00557E63">
              <w:rPr>
                <w:rFonts w:eastAsia="Times New Roman"/>
                <w:color w:val="000000"/>
                <w:sz w:val="18"/>
                <w:szCs w:val="18"/>
              </w:rPr>
              <w:t>Not clear</w:t>
            </w:r>
          </w:p>
        </w:tc>
        <w:tc>
          <w:tcPr>
            <w:tcW w:w="1134" w:type="dxa"/>
          </w:tcPr>
          <w:p w14:paraId="31ABEAF3" w14:textId="7B56BC0E" w:rsidR="00B3377F" w:rsidRPr="00557E63" w:rsidRDefault="000275B1" w:rsidP="00EA1758">
            <w:pPr>
              <w:widowControl w:val="0"/>
              <w:spacing w:line="276" w:lineRule="auto"/>
              <w:ind w:right="-121"/>
              <w:rPr>
                <w:rFonts w:eastAsia="Times New Roman"/>
                <w:color w:val="000000"/>
                <w:sz w:val="18"/>
                <w:szCs w:val="18"/>
                <w:highlight w:val="yellow"/>
              </w:rPr>
            </w:pPr>
            <w:r w:rsidRPr="000275B1">
              <w:rPr>
                <w:rFonts w:eastAsia="Times New Roman"/>
                <w:color w:val="000000"/>
                <w:sz w:val="18"/>
                <w:szCs w:val="18"/>
              </w:rPr>
              <w:t>25</w:t>
            </w:r>
            <w:r w:rsidRPr="000275B1">
              <w:rPr>
                <w:rFonts w:eastAsia="Times New Roman"/>
                <w:color w:val="000000"/>
                <w:sz w:val="18"/>
                <w:szCs w:val="18"/>
                <w:vertAlign w:val="superscript"/>
              </w:rPr>
              <w:t>th</w:t>
            </w:r>
            <w:r w:rsidRPr="000275B1">
              <w:rPr>
                <w:rFonts w:eastAsia="Times New Roman"/>
                <w:color w:val="000000"/>
                <w:sz w:val="18"/>
                <w:szCs w:val="18"/>
              </w:rPr>
              <w:t xml:space="preserve"> April 2021</w:t>
            </w:r>
          </w:p>
        </w:tc>
        <w:tc>
          <w:tcPr>
            <w:tcW w:w="1701" w:type="dxa"/>
          </w:tcPr>
          <w:p w14:paraId="2B614691" w14:textId="7F76F9FD" w:rsidR="00B3377F" w:rsidRPr="00D67A67" w:rsidRDefault="001E1FCA" w:rsidP="00EA1758">
            <w:pPr>
              <w:widowControl w:val="0"/>
              <w:spacing w:line="276" w:lineRule="auto"/>
              <w:ind w:right="-84"/>
              <w:rPr>
                <w:rFonts w:eastAsia="Times New Roman"/>
                <w:color w:val="000000"/>
                <w:sz w:val="18"/>
                <w:szCs w:val="18"/>
              </w:rPr>
            </w:pPr>
            <w:r>
              <w:rPr>
                <w:rFonts w:eastAsia="Times New Roman"/>
                <w:color w:val="000000"/>
                <w:sz w:val="18"/>
                <w:szCs w:val="18"/>
              </w:rPr>
              <w:t>Not declared</w:t>
            </w:r>
          </w:p>
        </w:tc>
        <w:tc>
          <w:tcPr>
            <w:tcW w:w="1843" w:type="dxa"/>
          </w:tcPr>
          <w:p w14:paraId="4DDCFDCB" w14:textId="361B7EE9" w:rsidR="00B3377F" w:rsidRPr="00D67A67" w:rsidRDefault="001E1FCA" w:rsidP="00D32BBB">
            <w:pPr>
              <w:widowControl w:val="0"/>
              <w:spacing w:line="276" w:lineRule="auto"/>
              <w:ind w:right="-115"/>
              <w:rPr>
                <w:rFonts w:eastAsia="Times New Roman"/>
                <w:color w:val="000000"/>
                <w:sz w:val="18"/>
                <w:szCs w:val="18"/>
              </w:rPr>
            </w:pPr>
            <w:r>
              <w:rPr>
                <w:rFonts w:eastAsia="Times New Roman"/>
                <w:color w:val="000000"/>
                <w:sz w:val="18"/>
                <w:szCs w:val="18"/>
              </w:rPr>
              <w:t>Mixed</w:t>
            </w:r>
          </w:p>
        </w:tc>
        <w:tc>
          <w:tcPr>
            <w:tcW w:w="2126" w:type="dxa"/>
          </w:tcPr>
          <w:p w14:paraId="32013BC6" w14:textId="507852CE" w:rsidR="000275B1" w:rsidRPr="00534BA8" w:rsidRDefault="000275B1" w:rsidP="00EA1758">
            <w:pPr>
              <w:widowControl w:val="0"/>
              <w:spacing w:line="276" w:lineRule="auto"/>
              <w:ind w:right="-110"/>
              <w:rPr>
                <w:rFonts w:eastAsia="Times New Roman"/>
                <w:b/>
                <w:color w:val="FF0000"/>
              </w:rPr>
            </w:pPr>
            <w:r>
              <w:rPr>
                <w:rFonts w:eastAsia="Times New Roman"/>
                <w:color w:val="000000"/>
                <w:sz w:val="18"/>
                <w:szCs w:val="18"/>
              </w:rPr>
              <w:t>Not reported</w:t>
            </w:r>
          </w:p>
        </w:tc>
        <w:tc>
          <w:tcPr>
            <w:tcW w:w="2127" w:type="dxa"/>
          </w:tcPr>
          <w:p w14:paraId="745EEB66" w14:textId="3F05EA69" w:rsidR="00B3377F" w:rsidRDefault="002D57A2" w:rsidP="00EA1758">
            <w:pPr>
              <w:widowControl w:val="0"/>
              <w:spacing w:line="276" w:lineRule="auto"/>
              <w:ind w:right="-102"/>
              <w:rPr>
                <w:rFonts w:eastAsia="Times New Roman"/>
                <w:color w:val="000000"/>
                <w:sz w:val="18"/>
                <w:szCs w:val="18"/>
              </w:rPr>
            </w:pPr>
            <w:r>
              <w:rPr>
                <w:rFonts w:eastAsia="Times New Roman"/>
                <w:color w:val="000000"/>
                <w:sz w:val="18"/>
                <w:szCs w:val="18"/>
              </w:rPr>
              <w:t>Not reported</w:t>
            </w:r>
          </w:p>
        </w:tc>
        <w:tc>
          <w:tcPr>
            <w:tcW w:w="992" w:type="dxa"/>
          </w:tcPr>
          <w:p w14:paraId="7879AB67" w14:textId="396A783E" w:rsidR="00B3377F" w:rsidRPr="00D67A67" w:rsidRDefault="002D57A2" w:rsidP="00EA1758">
            <w:pPr>
              <w:widowControl w:val="0"/>
              <w:spacing w:line="276" w:lineRule="auto"/>
              <w:ind w:right="-127"/>
              <w:rPr>
                <w:rFonts w:eastAsia="Times New Roman"/>
                <w:color w:val="000000"/>
                <w:sz w:val="18"/>
                <w:szCs w:val="18"/>
              </w:rPr>
            </w:pPr>
            <w:r>
              <w:rPr>
                <w:rFonts w:eastAsia="Times New Roman"/>
                <w:color w:val="000000"/>
                <w:sz w:val="18"/>
                <w:szCs w:val="18"/>
              </w:rPr>
              <w:t>212</w:t>
            </w:r>
          </w:p>
        </w:tc>
        <w:tc>
          <w:tcPr>
            <w:tcW w:w="2542" w:type="dxa"/>
          </w:tcPr>
          <w:p w14:paraId="6EB1784A" w14:textId="65DCCC57" w:rsidR="000275B1" w:rsidRPr="00CB1BB3" w:rsidRDefault="000275B1" w:rsidP="00D32BBB">
            <w:pPr>
              <w:widowControl w:val="0"/>
              <w:spacing w:line="276" w:lineRule="auto"/>
              <w:ind w:right="-107"/>
              <w:rPr>
                <w:rFonts w:eastAsia="Times New Roman"/>
                <w:bCs/>
                <w:color w:val="000000"/>
                <w:sz w:val="18"/>
                <w:szCs w:val="18"/>
                <w:highlight w:val="yellow"/>
              </w:rPr>
            </w:pPr>
            <w:r w:rsidRPr="00CB1BB3">
              <w:rPr>
                <w:rFonts w:eastAsia="Times New Roman"/>
                <w:bCs/>
                <w:sz w:val="18"/>
                <w:szCs w:val="18"/>
              </w:rPr>
              <w:t xml:space="preserve">This review was a mix of hospitalised and </w:t>
            </w:r>
            <w:proofErr w:type="spellStart"/>
            <w:r w:rsidRPr="00CB1BB3">
              <w:rPr>
                <w:rFonts w:eastAsia="Times New Roman"/>
                <w:bCs/>
                <w:sz w:val="18"/>
                <w:szCs w:val="18"/>
              </w:rPr>
              <w:t>non hospitalised</w:t>
            </w:r>
            <w:proofErr w:type="spellEnd"/>
            <w:r w:rsidRPr="00CB1BB3">
              <w:rPr>
                <w:rFonts w:eastAsia="Times New Roman"/>
                <w:bCs/>
                <w:sz w:val="18"/>
                <w:szCs w:val="18"/>
              </w:rPr>
              <w:t xml:space="preserve"> patients with mild, moderate, severe covid. </w:t>
            </w:r>
          </w:p>
        </w:tc>
      </w:tr>
      <w:tr w:rsidR="00B3377F" w14:paraId="7BE72551" w14:textId="77777777" w:rsidTr="00CE4F22">
        <w:tc>
          <w:tcPr>
            <w:tcW w:w="988" w:type="dxa"/>
          </w:tcPr>
          <w:p w14:paraId="64B45E42" w14:textId="51A572D6" w:rsidR="00B3377F" w:rsidRPr="0050617B" w:rsidRDefault="00A536F6" w:rsidP="00A536F6">
            <w:pPr>
              <w:widowControl w:val="0"/>
              <w:spacing w:line="276" w:lineRule="auto"/>
              <w:ind w:right="-105"/>
              <w:rPr>
                <w:rFonts w:eastAsia="Times New Roman"/>
                <w:b/>
                <w:color w:val="000000"/>
                <w:sz w:val="18"/>
                <w:szCs w:val="18"/>
              </w:rPr>
            </w:pPr>
            <w:proofErr w:type="spellStart"/>
            <w:r w:rsidRPr="0050617B">
              <w:rPr>
                <w:rFonts w:eastAsia="Times New Roman"/>
                <w:b/>
                <w:color w:val="000000"/>
                <w:sz w:val="18"/>
                <w:szCs w:val="18"/>
              </w:rPr>
              <w:t>Joshee</w:t>
            </w:r>
            <w:proofErr w:type="spellEnd"/>
            <w:r w:rsidRPr="0050617B">
              <w:rPr>
                <w:rFonts w:eastAsia="Times New Roman"/>
                <w:b/>
                <w:color w:val="000000"/>
                <w:sz w:val="18"/>
                <w:szCs w:val="18"/>
              </w:rPr>
              <w:t xml:space="preserve"> 2022</w:t>
            </w:r>
          </w:p>
        </w:tc>
        <w:tc>
          <w:tcPr>
            <w:tcW w:w="1417" w:type="dxa"/>
          </w:tcPr>
          <w:p w14:paraId="7690F1F9" w14:textId="01786193" w:rsidR="00B3377F" w:rsidRPr="0050617B" w:rsidRDefault="00A536F6" w:rsidP="00EA1758">
            <w:pPr>
              <w:widowControl w:val="0"/>
              <w:spacing w:line="276" w:lineRule="auto"/>
              <w:ind w:right="-69"/>
              <w:rPr>
                <w:rFonts w:eastAsia="Times New Roman"/>
                <w:i/>
                <w:color w:val="000000"/>
                <w:sz w:val="18"/>
                <w:szCs w:val="18"/>
              </w:rPr>
            </w:pPr>
            <w:r w:rsidRPr="0050617B">
              <w:rPr>
                <w:rFonts w:eastAsia="Times New Roman"/>
                <w:i/>
                <w:color w:val="000000"/>
                <w:sz w:val="18"/>
                <w:szCs w:val="18"/>
              </w:rPr>
              <w:t>Long-Term Effects of COVID-19</w:t>
            </w:r>
          </w:p>
        </w:tc>
        <w:tc>
          <w:tcPr>
            <w:tcW w:w="851" w:type="dxa"/>
          </w:tcPr>
          <w:p w14:paraId="319FE228" w14:textId="17136C4A" w:rsidR="00B3377F" w:rsidRPr="00D67A67" w:rsidRDefault="00A536F6" w:rsidP="00A536F6">
            <w:pPr>
              <w:widowControl w:val="0"/>
              <w:spacing w:line="276" w:lineRule="auto"/>
              <w:ind w:right="-179"/>
              <w:rPr>
                <w:rFonts w:eastAsia="Times New Roman"/>
                <w:color w:val="000000"/>
                <w:sz w:val="18"/>
                <w:szCs w:val="18"/>
              </w:rPr>
            </w:pPr>
            <w:r w:rsidRPr="00C41D45">
              <w:rPr>
                <w:rFonts w:eastAsia="Times New Roman"/>
                <w:color w:val="000000"/>
                <w:sz w:val="18"/>
                <w:szCs w:val="18"/>
              </w:rPr>
              <w:t>United States</w:t>
            </w:r>
          </w:p>
        </w:tc>
        <w:tc>
          <w:tcPr>
            <w:tcW w:w="1984" w:type="dxa"/>
          </w:tcPr>
          <w:p w14:paraId="5DB3E661" w14:textId="792DC4B8" w:rsidR="00B3377F" w:rsidRPr="00D67A67" w:rsidRDefault="00A536F6" w:rsidP="00A536F6">
            <w:pPr>
              <w:widowControl w:val="0"/>
              <w:spacing w:line="276" w:lineRule="auto"/>
              <w:ind w:right="-60"/>
              <w:rPr>
                <w:rFonts w:eastAsia="Times New Roman"/>
                <w:color w:val="000000"/>
                <w:sz w:val="18"/>
                <w:szCs w:val="18"/>
              </w:rPr>
            </w:pPr>
            <w:r w:rsidRPr="00C41D45">
              <w:rPr>
                <w:rFonts w:eastAsia="Times New Roman"/>
                <w:color w:val="000000"/>
                <w:sz w:val="18"/>
                <w:szCs w:val="18"/>
              </w:rPr>
              <w:t>PubMed search was completed using the terms</w:t>
            </w:r>
            <w:r>
              <w:rPr>
                <w:rFonts w:eastAsia="Times New Roman"/>
                <w:color w:val="000000"/>
                <w:sz w:val="18"/>
                <w:szCs w:val="18"/>
              </w:rPr>
              <w:t xml:space="preserve">: </w:t>
            </w:r>
            <w:r w:rsidRPr="00C41D45">
              <w:rPr>
                <w:rFonts w:eastAsia="Times New Roman"/>
                <w:color w:val="000000"/>
                <w:sz w:val="18"/>
                <w:szCs w:val="18"/>
              </w:rPr>
              <w:t>long-COVID,</w:t>
            </w:r>
            <w:r>
              <w:rPr>
                <w:rFonts w:eastAsia="Times New Roman"/>
                <w:color w:val="000000"/>
                <w:sz w:val="18"/>
                <w:szCs w:val="18"/>
              </w:rPr>
              <w:t xml:space="preserve"> </w:t>
            </w:r>
            <w:r w:rsidRPr="00C41D45">
              <w:rPr>
                <w:rFonts w:eastAsia="Times New Roman"/>
                <w:color w:val="000000"/>
                <w:sz w:val="18"/>
                <w:szCs w:val="18"/>
              </w:rPr>
              <w:t>post-acute COVID-19,</w:t>
            </w:r>
            <w:r>
              <w:rPr>
                <w:rFonts w:eastAsia="Times New Roman"/>
                <w:color w:val="000000"/>
                <w:sz w:val="18"/>
                <w:szCs w:val="18"/>
              </w:rPr>
              <w:t xml:space="preserve"> p</w:t>
            </w:r>
            <w:r w:rsidRPr="00C41D45">
              <w:rPr>
                <w:rFonts w:eastAsia="Times New Roman"/>
                <w:color w:val="000000"/>
                <w:sz w:val="18"/>
                <w:szCs w:val="18"/>
              </w:rPr>
              <w:t>ost-COVID condition,</w:t>
            </w:r>
            <w:r>
              <w:rPr>
                <w:rFonts w:eastAsia="Times New Roman"/>
                <w:color w:val="000000"/>
                <w:sz w:val="18"/>
                <w:szCs w:val="18"/>
              </w:rPr>
              <w:t xml:space="preserve"> </w:t>
            </w:r>
            <w:r w:rsidRPr="00C41D45">
              <w:rPr>
                <w:rFonts w:eastAsia="Times New Roman"/>
                <w:color w:val="000000"/>
                <w:sz w:val="18"/>
                <w:szCs w:val="18"/>
              </w:rPr>
              <w:t>post-COVID sequelae,</w:t>
            </w:r>
            <w:r>
              <w:rPr>
                <w:rFonts w:eastAsia="Times New Roman"/>
                <w:color w:val="000000"/>
                <w:sz w:val="18"/>
                <w:szCs w:val="18"/>
              </w:rPr>
              <w:t xml:space="preserve"> </w:t>
            </w:r>
            <w:r w:rsidRPr="00C41D45">
              <w:rPr>
                <w:rFonts w:eastAsia="Times New Roman"/>
                <w:color w:val="000000"/>
                <w:sz w:val="18"/>
                <w:szCs w:val="18"/>
              </w:rPr>
              <w:t>long-term</w:t>
            </w:r>
            <w:r>
              <w:rPr>
                <w:rFonts w:eastAsia="Times New Roman"/>
                <w:color w:val="000000"/>
                <w:sz w:val="18"/>
                <w:szCs w:val="18"/>
              </w:rPr>
              <w:t xml:space="preserve"> </w:t>
            </w:r>
            <w:r w:rsidRPr="00C41D45">
              <w:rPr>
                <w:rFonts w:eastAsia="Times New Roman"/>
                <w:color w:val="000000"/>
                <w:sz w:val="18"/>
                <w:szCs w:val="18"/>
              </w:rPr>
              <w:t>sequelae of COVID-19</w:t>
            </w:r>
            <w:r>
              <w:rPr>
                <w:rFonts w:eastAsia="Times New Roman"/>
                <w:color w:val="000000"/>
                <w:sz w:val="18"/>
                <w:szCs w:val="18"/>
              </w:rPr>
              <w:t>.</w:t>
            </w:r>
          </w:p>
        </w:tc>
        <w:tc>
          <w:tcPr>
            <w:tcW w:w="1985" w:type="dxa"/>
          </w:tcPr>
          <w:p w14:paraId="599A0CE0" w14:textId="38D32CD5" w:rsidR="00B3377F" w:rsidRDefault="0050617B" w:rsidP="00A536F6">
            <w:pPr>
              <w:widowControl w:val="0"/>
              <w:spacing w:line="276" w:lineRule="auto"/>
              <w:ind w:right="-60"/>
              <w:rPr>
                <w:rFonts w:eastAsia="Times New Roman"/>
                <w:color w:val="000000"/>
                <w:sz w:val="18"/>
                <w:szCs w:val="18"/>
              </w:rPr>
            </w:pPr>
            <w:r w:rsidRPr="00C41D45">
              <w:rPr>
                <w:rFonts w:eastAsia="Times New Roman"/>
                <w:color w:val="000000"/>
                <w:sz w:val="18"/>
                <w:szCs w:val="18"/>
              </w:rPr>
              <w:t xml:space="preserve">To report up-to-date epidemiology, pathophysiology, clinical predictors, management recommendations, and unanswered questions/future directions for the </w:t>
            </w:r>
            <w:r w:rsidRPr="00C41D45">
              <w:rPr>
                <w:rFonts w:eastAsia="Times New Roman"/>
                <w:color w:val="000000"/>
                <w:sz w:val="18"/>
                <w:szCs w:val="18"/>
              </w:rPr>
              <w:lastRenderedPageBreak/>
              <w:t>systematic effects of long-term COVID-19 infections</w:t>
            </w:r>
            <w:r>
              <w:rPr>
                <w:rFonts w:eastAsia="Times New Roman"/>
                <w:color w:val="000000"/>
                <w:sz w:val="18"/>
                <w:szCs w:val="18"/>
              </w:rPr>
              <w:t>.</w:t>
            </w:r>
          </w:p>
        </w:tc>
        <w:tc>
          <w:tcPr>
            <w:tcW w:w="1842" w:type="dxa"/>
          </w:tcPr>
          <w:p w14:paraId="05ECCDF6" w14:textId="4209255E" w:rsidR="00B3377F" w:rsidRPr="00D67A67" w:rsidRDefault="00254875" w:rsidP="00E1577E">
            <w:pPr>
              <w:widowControl w:val="0"/>
              <w:spacing w:line="276" w:lineRule="auto"/>
              <w:ind w:right="-106"/>
              <w:rPr>
                <w:rFonts w:eastAsia="Times New Roman"/>
                <w:color w:val="000000"/>
                <w:sz w:val="18"/>
                <w:szCs w:val="18"/>
              </w:rPr>
            </w:pPr>
            <w:r>
              <w:rPr>
                <w:rFonts w:eastAsia="Times New Roman"/>
                <w:color w:val="000000"/>
                <w:sz w:val="18"/>
                <w:szCs w:val="18"/>
              </w:rPr>
              <w:lastRenderedPageBreak/>
              <w:t>M</w:t>
            </w:r>
            <w:r w:rsidRPr="00C41D45">
              <w:rPr>
                <w:rFonts w:eastAsia="Times New Roman"/>
                <w:color w:val="000000"/>
                <w:sz w:val="18"/>
                <w:szCs w:val="18"/>
              </w:rPr>
              <w:t xml:space="preserve">ix of various study types including cohort studies (including retrospective), meta-analysis, prospective studies, observational studies, systematic reviews and case </w:t>
            </w:r>
            <w:r w:rsidRPr="00C41D45">
              <w:rPr>
                <w:rFonts w:eastAsia="Times New Roman"/>
                <w:color w:val="000000"/>
                <w:sz w:val="18"/>
                <w:szCs w:val="18"/>
              </w:rPr>
              <w:lastRenderedPageBreak/>
              <w:t>reports.</w:t>
            </w:r>
          </w:p>
        </w:tc>
        <w:tc>
          <w:tcPr>
            <w:tcW w:w="1134" w:type="dxa"/>
          </w:tcPr>
          <w:p w14:paraId="68A60F03" w14:textId="0794DD2D" w:rsidR="00B3377F" w:rsidRPr="00D67A67" w:rsidRDefault="00254875" w:rsidP="00EA1758">
            <w:pPr>
              <w:widowControl w:val="0"/>
              <w:spacing w:line="276" w:lineRule="auto"/>
              <w:ind w:right="-100"/>
              <w:rPr>
                <w:rFonts w:eastAsia="Times New Roman"/>
                <w:color w:val="000000"/>
                <w:sz w:val="18"/>
                <w:szCs w:val="18"/>
              </w:rPr>
            </w:pPr>
            <w:r w:rsidRPr="00C41D45">
              <w:rPr>
                <w:rFonts w:eastAsia="Times New Roman"/>
                <w:color w:val="000000"/>
                <w:sz w:val="18"/>
                <w:szCs w:val="18"/>
              </w:rPr>
              <w:lastRenderedPageBreak/>
              <w:t>2020</w:t>
            </w:r>
          </w:p>
        </w:tc>
        <w:tc>
          <w:tcPr>
            <w:tcW w:w="1134" w:type="dxa"/>
          </w:tcPr>
          <w:p w14:paraId="459ACC38" w14:textId="62F24149" w:rsidR="00B3377F" w:rsidRPr="00D67A67" w:rsidRDefault="00254875" w:rsidP="00EA1758">
            <w:pPr>
              <w:widowControl w:val="0"/>
              <w:spacing w:line="276" w:lineRule="auto"/>
              <w:ind w:right="-121"/>
              <w:rPr>
                <w:rFonts w:eastAsia="Times New Roman"/>
                <w:color w:val="000000"/>
                <w:sz w:val="18"/>
                <w:szCs w:val="18"/>
              </w:rPr>
            </w:pPr>
            <w:r w:rsidRPr="00C41D45">
              <w:rPr>
                <w:rFonts w:eastAsia="Times New Roman"/>
                <w:color w:val="000000"/>
                <w:sz w:val="18"/>
                <w:szCs w:val="18"/>
              </w:rPr>
              <w:t>17th July 2021</w:t>
            </w:r>
          </w:p>
        </w:tc>
        <w:tc>
          <w:tcPr>
            <w:tcW w:w="1701" w:type="dxa"/>
          </w:tcPr>
          <w:p w14:paraId="5E9949EC" w14:textId="284703B4" w:rsidR="00B3377F" w:rsidRPr="00D67A67" w:rsidRDefault="00254875" w:rsidP="00EA1758">
            <w:pPr>
              <w:widowControl w:val="0"/>
              <w:spacing w:line="276" w:lineRule="auto"/>
              <w:ind w:right="-84"/>
              <w:rPr>
                <w:rFonts w:eastAsia="Times New Roman"/>
                <w:color w:val="000000"/>
                <w:sz w:val="18"/>
                <w:szCs w:val="18"/>
              </w:rPr>
            </w:pPr>
            <w:r>
              <w:rPr>
                <w:rFonts w:eastAsia="Times New Roman"/>
                <w:color w:val="000000"/>
                <w:sz w:val="18"/>
                <w:szCs w:val="18"/>
              </w:rPr>
              <w:t>N</w:t>
            </w:r>
            <w:r w:rsidRPr="00C41D45">
              <w:rPr>
                <w:rFonts w:eastAsia="Times New Roman"/>
                <w:color w:val="000000"/>
                <w:sz w:val="18"/>
                <w:szCs w:val="18"/>
              </w:rPr>
              <w:t>one declared</w:t>
            </w:r>
          </w:p>
        </w:tc>
        <w:tc>
          <w:tcPr>
            <w:tcW w:w="1843" w:type="dxa"/>
          </w:tcPr>
          <w:p w14:paraId="39B5CACF" w14:textId="6B3C3BA2" w:rsidR="00B3377F" w:rsidRPr="00D67A67" w:rsidRDefault="00254875" w:rsidP="00D32BBB">
            <w:pPr>
              <w:widowControl w:val="0"/>
              <w:spacing w:line="276" w:lineRule="auto"/>
              <w:ind w:right="-115"/>
              <w:rPr>
                <w:rFonts w:eastAsia="Times New Roman"/>
                <w:color w:val="000000"/>
                <w:sz w:val="18"/>
                <w:szCs w:val="18"/>
              </w:rPr>
            </w:pPr>
            <w:r>
              <w:rPr>
                <w:rFonts w:eastAsia="Times New Roman"/>
                <w:color w:val="000000"/>
                <w:sz w:val="18"/>
                <w:szCs w:val="18"/>
              </w:rPr>
              <w:t>T</w:t>
            </w:r>
            <w:r w:rsidRPr="00C41D45">
              <w:rPr>
                <w:rFonts w:eastAsia="Times New Roman"/>
                <w:color w:val="000000"/>
                <w:sz w:val="18"/>
                <w:szCs w:val="18"/>
              </w:rPr>
              <w:t>otal number of participants unclear. 253,869 from numbers provided - 5 studies did</w:t>
            </w:r>
            <w:r>
              <w:rPr>
                <w:rFonts w:eastAsia="Times New Roman"/>
                <w:color w:val="000000"/>
                <w:sz w:val="18"/>
                <w:szCs w:val="18"/>
              </w:rPr>
              <w:t xml:space="preserve"> not</w:t>
            </w:r>
            <w:r w:rsidRPr="00C41D45">
              <w:rPr>
                <w:rFonts w:eastAsia="Times New Roman"/>
                <w:color w:val="000000"/>
                <w:sz w:val="18"/>
                <w:szCs w:val="18"/>
              </w:rPr>
              <w:t xml:space="preserve"> specify number of participants</w:t>
            </w:r>
            <w:r>
              <w:rPr>
                <w:rFonts w:eastAsia="Times New Roman"/>
                <w:color w:val="000000"/>
                <w:sz w:val="18"/>
                <w:szCs w:val="18"/>
              </w:rPr>
              <w:t>.</w:t>
            </w:r>
          </w:p>
        </w:tc>
        <w:tc>
          <w:tcPr>
            <w:tcW w:w="2126" w:type="dxa"/>
          </w:tcPr>
          <w:p w14:paraId="431F38F0" w14:textId="77777777" w:rsidR="00254875" w:rsidRDefault="00254875" w:rsidP="00254875">
            <w:pPr>
              <w:widowControl w:val="0"/>
              <w:spacing w:line="276" w:lineRule="auto"/>
              <w:ind w:right="-108"/>
              <w:rPr>
                <w:rFonts w:eastAsia="Times New Roman"/>
                <w:color w:val="000000"/>
                <w:sz w:val="18"/>
                <w:szCs w:val="18"/>
              </w:rPr>
            </w:pPr>
            <w:r>
              <w:rPr>
                <w:rFonts w:eastAsia="Times New Roman"/>
                <w:color w:val="000000"/>
                <w:sz w:val="18"/>
                <w:szCs w:val="18"/>
              </w:rPr>
              <w:t>P</w:t>
            </w:r>
            <w:r w:rsidRPr="00C41D45">
              <w:rPr>
                <w:rFonts w:eastAsia="Times New Roman"/>
                <w:color w:val="000000"/>
                <w:sz w:val="18"/>
                <w:szCs w:val="18"/>
              </w:rPr>
              <w:t>eer-reviewed studies in English published by July 17, 2021</w:t>
            </w:r>
            <w:r>
              <w:rPr>
                <w:rFonts w:eastAsia="Times New Roman"/>
                <w:color w:val="000000"/>
                <w:sz w:val="18"/>
                <w:szCs w:val="18"/>
              </w:rPr>
              <w:t>.</w:t>
            </w:r>
            <w:r w:rsidRPr="00C41D45">
              <w:rPr>
                <w:rFonts w:eastAsia="Times New Roman"/>
                <w:color w:val="000000"/>
                <w:sz w:val="18"/>
                <w:szCs w:val="18"/>
              </w:rPr>
              <w:t xml:space="preserve"> </w:t>
            </w:r>
          </w:p>
          <w:p w14:paraId="0E324C81" w14:textId="77D482BC" w:rsidR="00B3377F" w:rsidRPr="00D67A67" w:rsidRDefault="00254875" w:rsidP="00254875">
            <w:pPr>
              <w:widowControl w:val="0"/>
              <w:spacing w:before="120" w:line="276" w:lineRule="auto"/>
              <w:ind w:right="-108"/>
              <w:rPr>
                <w:rFonts w:eastAsia="Times New Roman"/>
                <w:color w:val="000000"/>
                <w:sz w:val="18"/>
                <w:szCs w:val="18"/>
              </w:rPr>
            </w:pPr>
            <w:r w:rsidRPr="00C41D45">
              <w:rPr>
                <w:rFonts w:eastAsia="Times New Roman"/>
                <w:color w:val="000000"/>
                <w:sz w:val="18"/>
                <w:szCs w:val="18"/>
              </w:rPr>
              <w:t>All studies are from adult populations unless specified</w:t>
            </w:r>
            <w:r>
              <w:rPr>
                <w:rFonts w:eastAsia="Times New Roman"/>
                <w:color w:val="000000"/>
                <w:sz w:val="18"/>
                <w:szCs w:val="18"/>
              </w:rPr>
              <w:t>.</w:t>
            </w:r>
          </w:p>
        </w:tc>
        <w:tc>
          <w:tcPr>
            <w:tcW w:w="2127" w:type="dxa"/>
          </w:tcPr>
          <w:p w14:paraId="3AADBA85" w14:textId="4252D550" w:rsidR="00B3377F" w:rsidRDefault="00C20866" w:rsidP="00EA1758">
            <w:pPr>
              <w:widowControl w:val="0"/>
              <w:spacing w:line="276" w:lineRule="auto"/>
              <w:ind w:right="-102"/>
              <w:rPr>
                <w:rFonts w:eastAsia="Times New Roman"/>
                <w:color w:val="000000"/>
                <w:sz w:val="18"/>
                <w:szCs w:val="18"/>
              </w:rPr>
            </w:pPr>
            <w:r>
              <w:rPr>
                <w:rFonts w:eastAsia="Times New Roman"/>
                <w:color w:val="000000"/>
                <w:sz w:val="18"/>
                <w:szCs w:val="18"/>
              </w:rPr>
              <w:t>Not specified.</w:t>
            </w:r>
          </w:p>
        </w:tc>
        <w:tc>
          <w:tcPr>
            <w:tcW w:w="992" w:type="dxa"/>
          </w:tcPr>
          <w:p w14:paraId="35D948FF" w14:textId="3BE1A794" w:rsidR="00B3377F" w:rsidRPr="00D67A67" w:rsidRDefault="00C20866" w:rsidP="00EA1758">
            <w:pPr>
              <w:widowControl w:val="0"/>
              <w:spacing w:line="276" w:lineRule="auto"/>
              <w:ind w:right="-127"/>
              <w:rPr>
                <w:rFonts w:eastAsia="Times New Roman"/>
                <w:color w:val="000000"/>
                <w:sz w:val="18"/>
                <w:szCs w:val="18"/>
              </w:rPr>
            </w:pPr>
            <w:r>
              <w:rPr>
                <w:rFonts w:eastAsia="Times New Roman"/>
                <w:color w:val="000000"/>
                <w:sz w:val="18"/>
                <w:szCs w:val="18"/>
              </w:rPr>
              <w:t>U</w:t>
            </w:r>
            <w:r w:rsidRPr="00C41D45">
              <w:rPr>
                <w:rFonts w:eastAsia="Times New Roman"/>
                <w:color w:val="000000"/>
                <w:sz w:val="18"/>
                <w:szCs w:val="18"/>
              </w:rPr>
              <w:t>nclear</w:t>
            </w:r>
            <w:r>
              <w:rPr>
                <w:rFonts w:eastAsia="Times New Roman"/>
                <w:color w:val="000000"/>
                <w:sz w:val="18"/>
                <w:szCs w:val="18"/>
              </w:rPr>
              <w:t>.</w:t>
            </w:r>
          </w:p>
        </w:tc>
        <w:tc>
          <w:tcPr>
            <w:tcW w:w="2542" w:type="dxa"/>
          </w:tcPr>
          <w:p w14:paraId="6BD23FD1" w14:textId="57988835" w:rsidR="00B3377F" w:rsidRPr="00D67A67" w:rsidRDefault="00C20866" w:rsidP="00D32BBB">
            <w:pPr>
              <w:widowControl w:val="0"/>
              <w:spacing w:line="276" w:lineRule="auto"/>
              <w:ind w:right="-107"/>
              <w:rPr>
                <w:rFonts w:eastAsia="Times New Roman"/>
                <w:color w:val="000000"/>
                <w:sz w:val="18"/>
                <w:szCs w:val="18"/>
              </w:rPr>
            </w:pPr>
            <w:r>
              <w:rPr>
                <w:rFonts w:eastAsia="Times New Roman"/>
                <w:color w:val="000000"/>
                <w:sz w:val="18"/>
                <w:szCs w:val="18"/>
              </w:rPr>
              <w:t>None.</w:t>
            </w:r>
          </w:p>
        </w:tc>
      </w:tr>
      <w:tr w:rsidR="0013028B" w14:paraId="5FF4DC56" w14:textId="77777777" w:rsidTr="00CE4F22">
        <w:tc>
          <w:tcPr>
            <w:tcW w:w="988" w:type="dxa"/>
          </w:tcPr>
          <w:p w14:paraId="5FDE0E9C" w14:textId="76DCCD65" w:rsidR="0013028B" w:rsidRPr="0013028B" w:rsidRDefault="0013028B" w:rsidP="00A536F6">
            <w:pPr>
              <w:widowControl w:val="0"/>
              <w:spacing w:line="276" w:lineRule="auto"/>
              <w:ind w:right="-105"/>
              <w:rPr>
                <w:rFonts w:eastAsia="Times New Roman"/>
                <w:b/>
                <w:color w:val="000000"/>
                <w:sz w:val="18"/>
                <w:szCs w:val="18"/>
              </w:rPr>
            </w:pPr>
            <w:proofErr w:type="spellStart"/>
            <w:r w:rsidRPr="0013028B">
              <w:rPr>
                <w:rFonts w:eastAsia="Times New Roman"/>
                <w:b/>
                <w:color w:val="000000"/>
                <w:sz w:val="18"/>
                <w:szCs w:val="18"/>
              </w:rPr>
              <w:t>Tesarz</w:t>
            </w:r>
            <w:proofErr w:type="spellEnd"/>
            <w:r w:rsidRPr="0013028B">
              <w:rPr>
                <w:rFonts w:eastAsia="Times New Roman"/>
                <w:b/>
                <w:color w:val="000000"/>
                <w:sz w:val="18"/>
                <w:szCs w:val="18"/>
              </w:rPr>
              <w:t xml:space="preserve"> 2022</w:t>
            </w:r>
          </w:p>
        </w:tc>
        <w:tc>
          <w:tcPr>
            <w:tcW w:w="1417" w:type="dxa"/>
          </w:tcPr>
          <w:p w14:paraId="64E35FB8" w14:textId="1ADA2221" w:rsidR="0013028B" w:rsidRPr="0013028B" w:rsidRDefault="0013028B" w:rsidP="00EA1758">
            <w:pPr>
              <w:widowControl w:val="0"/>
              <w:spacing w:line="276" w:lineRule="auto"/>
              <w:ind w:right="-69"/>
              <w:rPr>
                <w:rFonts w:eastAsia="Times New Roman"/>
                <w:i/>
                <w:color w:val="000000"/>
                <w:sz w:val="18"/>
                <w:szCs w:val="18"/>
              </w:rPr>
            </w:pPr>
            <w:r w:rsidRPr="0013028B">
              <w:rPr>
                <w:rFonts w:eastAsia="Times New Roman"/>
                <w:i/>
                <w:color w:val="000000"/>
                <w:sz w:val="18"/>
                <w:szCs w:val="18"/>
              </w:rPr>
              <w:t>Pain, the brain, and SARS-CoV-2: evidence for pain-specific alterations in brain-related structur</w:t>
            </w:r>
            <w:r w:rsidR="008A0ED0">
              <w:rPr>
                <w:rFonts w:eastAsia="Times New Roman"/>
                <w:i/>
                <w:color w:val="000000"/>
                <w:sz w:val="18"/>
                <w:szCs w:val="18"/>
              </w:rPr>
              <w:t xml:space="preserve">e - </w:t>
            </w:r>
            <w:r w:rsidRPr="0013028B">
              <w:rPr>
                <w:rFonts w:eastAsia="Times New Roman"/>
                <w:i/>
                <w:color w:val="000000"/>
                <w:sz w:val="18"/>
                <w:szCs w:val="18"/>
              </w:rPr>
              <w:t>function properties</w:t>
            </w:r>
          </w:p>
        </w:tc>
        <w:tc>
          <w:tcPr>
            <w:tcW w:w="851" w:type="dxa"/>
          </w:tcPr>
          <w:p w14:paraId="01DC0903" w14:textId="5BDE0B29" w:rsidR="0013028B" w:rsidRPr="00C41D45" w:rsidRDefault="0013028B" w:rsidP="00A536F6">
            <w:pPr>
              <w:widowControl w:val="0"/>
              <w:spacing w:line="276" w:lineRule="auto"/>
              <w:ind w:right="-179"/>
              <w:rPr>
                <w:rFonts w:eastAsia="Times New Roman"/>
                <w:color w:val="000000"/>
                <w:sz w:val="18"/>
                <w:szCs w:val="18"/>
              </w:rPr>
            </w:pPr>
            <w:r w:rsidRPr="00FF3D8A">
              <w:rPr>
                <w:rFonts w:eastAsia="Times New Roman"/>
                <w:color w:val="000000"/>
                <w:sz w:val="18"/>
                <w:szCs w:val="18"/>
              </w:rPr>
              <w:t>Germany</w:t>
            </w:r>
          </w:p>
        </w:tc>
        <w:tc>
          <w:tcPr>
            <w:tcW w:w="1984" w:type="dxa"/>
          </w:tcPr>
          <w:p w14:paraId="71527288" w14:textId="09602610" w:rsidR="0013028B" w:rsidRPr="00C41D45" w:rsidRDefault="004E28C0" w:rsidP="00A536F6">
            <w:pPr>
              <w:widowControl w:val="0"/>
              <w:spacing w:line="276" w:lineRule="auto"/>
              <w:ind w:right="-60"/>
              <w:rPr>
                <w:rFonts w:eastAsia="Times New Roman"/>
                <w:color w:val="000000"/>
                <w:sz w:val="18"/>
                <w:szCs w:val="18"/>
              </w:rPr>
            </w:pPr>
            <w:r w:rsidRPr="00FF3D8A">
              <w:rPr>
                <w:rFonts w:eastAsia="Times New Roman"/>
                <w:color w:val="000000"/>
                <w:sz w:val="18"/>
                <w:szCs w:val="18"/>
              </w:rPr>
              <w:t>Databases: Medline; Web of Science</w:t>
            </w:r>
            <w:r>
              <w:rPr>
                <w:rFonts w:eastAsia="Times New Roman"/>
                <w:color w:val="000000"/>
                <w:sz w:val="18"/>
                <w:szCs w:val="18"/>
              </w:rPr>
              <w:t>.</w:t>
            </w:r>
          </w:p>
        </w:tc>
        <w:tc>
          <w:tcPr>
            <w:tcW w:w="1985" w:type="dxa"/>
          </w:tcPr>
          <w:p w14:paraId="0300BF54" w14:textId="58CB4698" w:rsidR="0013028B" w:rsidRPr="00C41D45" w:rsidRDefault="004E28C0" w:rsidP="00A536F6">
            <w:pPr>
              <w:widowControl w:val="0"/>
              <w:spacing w:line="276" w:lineRule="auto"/>
              <w:ind w:right="-60"/>
              <w:rPr>
                <w:rFonts w:eastAsia="Times New Roman"/>
                <w:color w:val="000000"/>
                <w:sz w:val="18"/>
                <w:szCs w:val="18"/>
              </w:rPr>
            </w:pPr>
            <w:r w:rsidRPr="00FF3D8A">
              <w:rPr>
                <w:rFonts w:eastAsia="Times New Roman"/>
                <w:color w:val="000000"/>
                <w:sz w:val="18"/>
                <w:szCs w:val="18"/>
              </w:rPr>
              <w:t>Provide an overview of the central nervous alterations in the brain described in the context of SARS-CoV-2 infection, focusing on findings with brain imaging</w:t>
            </w:r>
            <w:r>
              <w:rPr>
                <w:rFonts w:eastAsia="Times New Roman"/>
                <w:color w:val="000000"/>
                <w:sz w:val="18"/>
                <w:szCs w:val="18"/>
              </w:rPr>
              <w:t>.</w:t>
            </w:r>
          </w:p>
        </w:tc>
        <w:tc>
          <w:tcPr>
            <w:tcW w:w="1842" w:type="dxa"/>
          </w:tcPr>
          <w:p w14:paraId="4EB89D8E" w14:textId="742D262A" w:rsidR="0013028B" w:rsidRDefault="004E28C0" w:rsidP="00E1577E">
            <w:pPr>
              <w:widowControl w:val="0"/>
              <w:spacing w:line="276" w:lineRule="auto"/>
              <w:ind w:right="-106"/>
              <w:rPr>
                <w:rFonts w:eastAsia="Times New Roman"/>
                <w:color w:val="000000"/>
                <w:sz w:val="18"/>
                <w:szCs w:val="18"/>
              </w:rPr>
            </w:pPr>
            <w:r w:rsidRPr="00FF3D8A">
              <w:rPr>
                <w:rFonts w:eastAsia="Times New Roman"/>
                <w:color w:val="000000"/>
                <w:sz w:val="18"/>
                <w:szCs w:val="18"/>
              </w:rPr>
              <w:t>No study design criterion</w:t>
            </w:r>
            <w:r>
              <w:rPr>
                <w:rFonts w:eastAsia="Times New Roman"/>
                <w:color w:val="000000"/>
                <w:sz w:val="18"/>
                <w:szCs w:val="18"/>
              </w:rPr>
              <w:t>.</w:t>
            </w:r>
          </w:p>
        </w:tc>
        <w:tc>
          <w:tcPr>
            <w:tcW w:w="1134" w:type="dxa"/>
          </w:tcPr>
          <w:p w14:paraId="1B813897" w14:textId="10AB5A2B" w:rsidR="0013028B" w:rsidRPr="00C41D45" w:rsidRDefault="008A0ED0" w:rsidP="00EA1758">
            <w:pPr>
              <w:widowControl w:val="0"/>
              <w:spacing w:line="276" w:lineRule="auto"/>
              <w:ind w:right="-100"/>
              <w:rPr>
                <w:rFonts w:eastAsia="Times New Roman"/>
                <w:color w:val="000000"/>
                <w:sz w:val="18"/>
                <w:szCs w:val="18"/>
              </w:rPr>
            </w:pPr>
            <w:r>
              <w:rPr>
                <w:rFonts w:eastAsia="Times New Roman"/>
                <w:color w:val="000000"/>
                <w:sz w:val="18"/>
                <w:szCs w:val="18"/>
              </w:rPr>
              <w:t>10/2019</w:t>
            </w:r>
          </w:p>
        </w:tc>
        <w:tc>
          <w:tcPr>
            <w:tcW w:w="1134" w:type="dxa"/>
          </w:tcPr>
          <w:p w14:paraId="4764C7D4" w14:textId="46F0392B" w:rsidR="0013028B" w:rsidRPr="00C41D45" w:rsidRDefault="008A0ED0" w:rsidP="00EA1758">
            <w:pPr>
              <w:widowControl w:val="0"/>
              <w:spacing w:line="276" w:lineRule="auto"/>
              <w:ind w:right="-121"/>
              <w:rPr>
                <w:rFonts w:eastAsia="Times New Roman"/>
                <w:color w:val="000000"/>
                <w:sz w:val="18"/>
                <w:szCs w:val="18"/>
              </w:rPr>
            </w:pPr>
            <w:r>
              <w:rPr>
                <w:rFonts w:eastAsia="Times New Roman"/>
                <w:color w:val="000000"/>
                <w:sz w:val="18"/>
                <w:szCs w:val="18"/>
              </w:rPr>
              <w:t>Not clear</w:t>
            </w:r>
          </w:p>
        </w:tc>
        <w:tc>
          <w:tcPr>
            <w:tcW w:w="1701" w:type="dxa"/>
          </w:tcPr>
          <w:p w14:paraId="409DD9DB" w14:textId="77777777" w:rsidR="00AD1479" w:rsidRDefault="00AD1479" w:rsidP="00EA1758">
            <w:pPr>
              <w:widowControl w:val="0"/>
              <w:spacing w:line="276" w:lineRule="auto"/>
              <w:ind w:right="-84"/>
              <w:rPr>
                <w:rFonts w:eastAsia="Times New Roman"/>
                <w:color w:val="000000"/>
                <w:sz w:val="18"/>
                <w:szCs w:val="18"/>
              </w:rPr>
            </w:pPr>
            <w:r>
              <w:rPr>
                <w:rFonts w:eastAsia="Times New Roman"/>
                <w:color w:val="000000"/>
                <w:sz w:val="18"/>
                <w:szCs w:val="18"/>
              </w:rPr>
              <w:t>S</w:t>
            </w:r>
            <w:r w:rsidRPr="00FF3D8A">
              <w:rPr>
                <w:rFonts w:eastAsia="Times New Roman"/>
                <w:color w:val="000000"/>
                <w:sz w:val="18"/>
                <w:szCs w:val="18"/>
              </w:rPr>
              <w:t>upported by</w:t>
            </w:r>
            <w:r>
              <w:rPr>
                <w:rFonts w:eastAsia="Times New Roman"/>
                <w:color w:val="000000"/>
                <w:sz w:val="18"/>
                <w:szCs w:val="18"/>
              </w:rPr>
              <w:t>:</w:t>
            </w:r>
          </w:p>
          <w:p w14:paraId="0052FB18" w14:textId="745F745F" w:rsidR="0013028B" w:rsidRDefault="00AD1479" w:rsidP="00EA1758">
            <w:pPr>
              <w:widowControl w:val="0"/>
              <w:spacing w:line="276" w:lineRule="auto"/>
              <w:ind w:right="-84"/>
              <w:rPr>
                <w:rFonts w:eastAsia="Times New Roman"/>
                <w:color w:val="000000"/>
                <w:sz w:val="18"/>
                <w:szCs w:val="18"/>
              </w:rPr>
            </w:pPr>
            <w:r w:rsidRPr="00FF3D8A">
              <w:rPr>
                <w:rFonts w:eastAsia="Times New Roman"/>
                <w:color w:val="000000"/>
                <w:sz w:val="18"/>
                <w:szCs w:val="18"/>
              </w:rPr>
              <w:t xml:space="preserve">German Research Foundation (DFG) within the Collaborative Research </w:t>
            </w:r>
            <w:proofErr w:type="spellStart"/>
            <w:r w:rsidRPr="00FF3D8A">
              <w:rPr>
                <w:rFonts w:eastAsia="Times New Roman"/>
                <w:color w:val="000000"/>
                <w:sz w:val="18"/>
                <w:szCs w:val="18"/>
              </w:rPr>
              <w:t>Center</w:t>
            </w:r>
            <w:proofErr w:type="spellEnd"/>
            <w:r w:rsidRPr="00FF3D8A">
              <w:rPr>
                <w:rFonts w:eastAsia="Times New Roman"/>
                <w:color w:val="000000"/>
                <w:sz w:val="18"/>
                <w:szCs w:val="18"/>
              </w:rPr>
              <w:t xml:space="preserve"> and by the German Federal Ministry of Education and Research</w:t>
            </w:r>
            <w:r>
              <w:rPr>
                <w:rFonts w:eastAsia="Times New Roman"/>
                <w:color w:val="000000"/>
                <w:sz w:val="18"/>
                <w:szCs w:val="18"/>
              </w:rPr>
              <w:t>.</w:t>
            </w:r>
          </w:p>
        </w:tc>
        <w:tc>
          <w:tcPr>
            <w:tcW w:w="1843" w:type="dxa"/>
          </w:tcPr>
          <w:p w14:paraId="0A776A7D" w14:textId="36A657DD" w:rsidR="0013028B" w:rsidRDefault="000C0276" w:rsidP="00D32BBB">
            <w:pPr>
              <w:widowControl w:val="0"/>
              <w:spacing w:line="276" w:lineRule="auto"/>
              <w:ind w:right="-115"/>
              <w:rPr>
                <w:rFonts w:eastAsia="Times New Roman"/>
                <w:color w:val="000000"/>
                <w:sz w:val="18"/>
                <w:szCs w:val="18"/>
              </w:rPr>
            </w:pPr>
            <w:r w:rsidRPr="00FF3D8A">
              <w:rPr>
                <w:rFonts w:eastAsia="Times New Roman"/>
                <w:color w:val="000000"/>
                <w:sz w:val="18"/>
                <w:szCs w:val="18"/>
              </w:rPr>
              <w:t>Not clearly specified</w:t>
            </w:r>
            <w:r>
              <w:rPr>
                <w:rFonts w:eastAsia="Times New Roman"/>
                <w:color w:val="000000"/>
                <w:sz w:val="18"/>
                <w:szCs w:val="18"/>
              </w:rPr>
              <w:t>.</w:t>
            </w:r>
          </w:p>
        </w:tc>
        <w:tc>
          <w:tcPr>
            <w:tcW w:w="2126" w:type="dxa"/>
          </w:tcPr>
          <w:p w14:paraId="223CFBAE" w14:textId="60D44B15" w:rsidR="0013028B" w:rsidRDefault="000C0276" w:rsidP="00254875">
            <w:pPr>
              <w:widowControl w:val="0"/>
              <w:spacing w:line="276" w:lineRule="auto"/>
              <w:ind w:right="-108"/>
              <w:rPr>
                <w:rFonts w:eastAsia="Times New Roman"/>
                <w:color w:val="000000"/>
                <w:sz w:val="18"/>
                <w:szCs w:val="18"/>
              </w:rPr>
            </w:pPr>
            <w:r w:rsidRPr="00FF3D8A">
              <w:rPr>
                <w:rFonts w:eastAsia="Times New Roman"/>
                <w:color w:val="000000"/>
                <w:sz w:val="18"/>
                <w:szCs w:val="18"/>
              </w:rPr>
              <w:t>Included all types of studies that investigated SARS-CoV-2-associated central nervous system changes in humans using brain imaging techniques</w:t>
            </w:r>
            <w:r>
              <w:rPr>
                <w:rFonts w:eastAsia="Times New Roman"/>
                <w:color w:val="000000"/>
                <w:sz w:val="18"/>
                <w:szCs w:val="18"/>
              </w:rPr>
              <w:t>.</w:t>
            </w:r>
          </w:p>
        </w:tc>
        <w:tc>
          <w:tcPr>
            <w:tcW w:w="2127" w:type="dxa"/>
          </w:tcPr>
          <w:p w14:paraId="189001E5" w14:textId="1DCC3574" w:rsidR="0013028B" w:rsidRDefault="000C0276" w:rsidP="00EA1758">
            <w:pPr>
              <w:widowControl w:val="0"/>
              <w:spacing w:line="276" w:lineRule="auto"/>
              <w:ind w:right="-102"/>
              <w:rPr>
                <w:rFonts w:eastAsia="Times New Roman"/>
                <w:color w:val="000000"/>
                <w:sz w:val="18"/>
                <w:szCs w:val="18"/>
              </w:rPr>
            </w:pPr>
            <w:r w:rsidRPr="00FF3D8A">
              <w:rPr>
                <w:rFonts w:eastAsia="Times New Roman"/>
                <w:color w:val="000000"/>
                <w:sz w:val="18"/>
                <w:szCs w:val="18"/>
              </w:rPr>
              <w:t>Studies that were limited to examining changes in the peripheral nervous system and those that did not focus on human individuals (e.g., animal studies, cell cultures, etc.) were excluded</w:t>
            </w:r>
            <w:r>
              <w:rPr>
                <w:rFonts w:eastAsia="Times New Roman"/>
                <w:color w:val="000000"/>
                <w:sz w:val="18"/>
                <w:szCs w:val="18"/>
              </w:rPr>
              <w:t>.</w:t>
            </w:r>
          </w:p>
        </w:tc>
        <w:tc>
          <w:tcPr>
            <w:tcW w:w="992" w:type="dxa"/>
          </w:tcPr>
          <w:p w14:paraId="67A5618D" w14:textId="54BD4E86" w:rsidR="0013028B" w:rsidRDefault="000C0276" w:rsidP="00EA1758">
            <w:pPr>
              <w:widowControl w:val="0"/>
              <w:spacing w:line="276" w:lineRule="auto"/>
              <w:ind w:right="-127"/>
              <w:rPr>
                <w:rFonts w:eastAsia="Times New Roman"/>
                <w:color w:val="000000"/>
                <w:sz w:val="18"/>
                <w:szCs w:val="18"/>
              </w:rPr>
            </w:pPr>
            <w:r w:rsidRPr="00FF3D8A">
              <w:rPr>
                <w:rFonts w:eastAsia="Times New Roman"/>
                <w:color w:val="000000"/>
                <w:sz w:val="18"/>
                <w:szCs w:val="18"/>
              </w:rPr>
              <w:t>69</w:t>
            </w:r>
          </w:p>
        </w:tc>
        <w:tc>
          <w:tcPr>
            <w:tcW w:w="2542" w:type="dxa"/>
          </w:tcPr>
          <w:p w14:paraId="4E9C5EFD" w14:textId="705040F1" w:rsidR="0013028B" w:rsidRDefault="000C0276" w:rsidP="00D32BBB">
            <w:pPr>
              <w:widowControl w:val="0"/>
              <w:spacing w:line="276" w:lineRule="auto"/>
              <w:ind w:right="-107"/>
              <w:rPr>
                <w:rFonts w:eastAsia="Times New Roman"/>
                <w:color w:val="000000"/>
                <w:sz w:val="18"/>
                <w:szCs w:val="18"/>
              </w:rPr>
            </w:pPr>
            <w:r>
              <w:rPr>
                <w:rFonts w:eastAsia="Times New Roman"/>
                <w:color w:val="000000"/>
                <w:sz w:val="18"/>
                <w:szCs w:val="18"/>
              </w:rPr>
              <w:t>None.</w:t>
            </w:r>
          </w:p>
        </w:tc>
      </w:tr>
      <w:tr w:rsidR="000F52BA" w14:paraId="338045B4" w14:textId="77777777" w:rsidTr="00CE4F22">
        <w:tc>
          <w:tcPr>
            <w:tcW w:w="988" w:type="dxa"/>
          </w:tcPr>
          <w:p w14:paraId="07CF1E62" w14:textId="46AEB5DB" w:rsidR="000F52BA" w:rsidRPr="00952FF4" w:rsidRDefault="000F52BA" w:rsidP="000F52BA">
            <w:pPr>
              <w:widowControl w:val="0"/>
              <w:spacing w:line="276" w:lineRule="auto"/>
              <w:ind w:right="-105"/>
              <w:rPr>
                <w:rFonts w:eastAsia="Times New Roman"/>
                <w:b/>
                <w:color w:val="000000"/>
                <w:sz w:val="18"/>
                <w:szCs w:val="18"/>
              </w:rPr>
            </w:pPr>
            <w:proofErr w:type="spellStart"/>
            <w:r w:rsidRPr="00952FF4">
              <w:rPr>
                <w:rFonts w:eastAsia="Times New Roman"/>
                <w:b/>
                <w:color w:val="000000"/>
                <w:sz w:val="18"/>
                <w:szCs w:val="18"/>
              </w:rPr>
              <w:t>Houben</w:t>
            </w:r>
            <w:proofErr w:type="spellEnd"/>
            <w:r w:rsidRPr="00952FF4">
              <w:rPr>
                <w:rFonts w:eastAsia="Times New Roman"/>
                <w:b/>
                <w:color w:val="000000"/>
                <w:sz w:val="18"/>
                <w:szCs w:val="18"/>
              </w:rPr>
              <w:t xml:space="preserve"> 2022</w:t>
            </w:r>
          </w:p>
        </w:tc>
        <w:tc>
          <w:tcPr>
            <w:tcW w:w="1417" w:type="dxa"/>
          </w:tcPr>
          <w:p w14:paraId="2FCD4C9A" w14:textId="10EC472A" w:rsidR="000F52BA" w:rsidRPr="00952FF4" w:rsidRDefault="000F52BA" w:rsidP="000F52BA">
            <w:pPr>
              <w:widowControl w:val="0"/>
              <w:spacing w:line="276" w:lineRule="auto"/>
              <w:ind w:right="-69"/>
              <w:rPr>
                <w:rFonts w:eastAsia="Times New Roman"/>
                <w:i/>
                <w:color w:val="000000"/>
                <w:sz w:val="18"/>
                <w:szCs w:val="18"/>
              </w:rPr>
            </w:pPr>
            <w:r w:rsidRPr="00952FF4">
              <w:rPr>
                <w:rFonts w:eastAsia="Times New Roman"/>
                <w:i/>
                <w:color w:val="000000"/>
                <w:sz w:val="18"/>
                <w:szCs w:val="18"/>
              </w:rPr>
              <w:t>The Impact of COVID-19 Infection on Cognitive Function and the Implication for Rehabilitation: A Systematic Review and Meta-Analysis</w:t>
            </w:r>
          </w:p>
        </w:tc>
        <w:tc>
          <w:tcPr>
            <w:tcW w:w="851" w:type="dxa"/>
          </w:tcPr>
          <w:p w14:paraId="72006FDB" w14:textId="7A6F70C4" w:rsidR="000F52BA" w:rsidRPr="00952FF4" w:rsidRDefault="000F52BA" w:rsidP="000F52BA">
            <w:pPr>
              <w:widowControl w:val="0"/>
              <w:spacing w:line="276" w:lineRule="auto"/>
              <w:ind w:right="-179"/>
              <w:rPr>
                <w:rFonts w:eastAsia="Times New Roman"/>
                <w:color w:val="000000"/>
                <w:sz w:val="18"/>
                <w:szCs w:val="18"/>
              </w:rPr>
            </w:pPr>
            <w:r w:rsidRPr="00952FF4">
              <w:rPr>
                <w:rFonts w:eastAsia="Times New Roman"/>
                <w:color w:val="000000"/>
                <w:sz w:val="18"/>
                <w:szCs w:val="18"/>
              </w:rPr>
              <w:t>Belgium</w:t>
            </w:r>
          </w:p>
        </w:tc>
        <w:tc>
          <w:tcPr>
            <w:tcW w:w="1984" w:type="dxa"/>
          </w:tcPr>
          <w:p w14:paraId="15D02271" w14:textId="6E022705" w:rsidR="000F52BA" w:rsidRPr="00952FF4" w:rsidRDefault="000F52BA" w:rsidP="000F52BA">
            <w:pPr>
              <w:widowControl w:val="0"/>
              <w:spacing w:line="276" w:lineRule="auto"/>
              <w:ind w:right="-60"/>
              <w:rPr>
                <w:rFonts w:eastAsia="Times New Roman"/>
                <w:color w:val="000000"/>
                <w:sz w:val="18"/>
                <w:szCs w:val="18"/>
              </w:rPr>
            </w:pPr>
            <w:r>
              <w:rPr>
                <w:rFonts w:eastAsia="Times New Roman"/>
                <w:color w:val="000000"/>
                <w:sz w:val="18"/>
                <w:szCs w:val="18"/>
              </w:rPr>
              <w:t>S</w:t>
            </w:r>
            <w:r w:rsidRPr="00952FF4">
              <w:rPr>
                <w:rFonts w:eastAsia="Times New Roman"/>
                <w:color w:val="000000"/>
                <w:sz w:val="18"/>
                <w:szCs w:val="18"/>
              </w:rPr>
              <w:t>earch terms included a combination of the following: COVID-19: (COVID* OR SARS-CoV-2); COGNITION: (</w:t>
            </w:r>
            <w:r w:rsidR="008A0ED0">
              <w:rPr>
                <w:rFonts w:eastAsia="Times New Roman"/>
                <w:color w:val="000000"/>
                <w:sz w:val="18"/>
                <w:szCs w:val="18"/>
              </w:rPr>
              <w:t>“</w:t>
            </w:r>
            <w:r w:rsidRPr="00952FF4">
              <w:rPr>
                <w:rFonts w:eastAsia="Times New Roman"/>
                <w:color w:val="000000"/>
                <w:sz w:val="18"/>
                <w:szCs w:val="18"/>
              </w:rPr>
              <w:t>cognit*</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memory</w:t>
            </w:r>
            <w:r w:rsidR="008A0ED0">
              <w:rPr>
                <w:rFonts w:eastAsia="Times New Roman"/>
                <w:color w:val="000000"/>
                <w:sz w:val="18"/>
                <w:szCs w:val="18"/>
              </w:rPr>
              <w:t xml:space="preserve">” </w:t>
            </w:r>
            <w:r w:rsidRPr="00952FF4">
              <w:rPr>
                <w:rFonts w:eastAsia="Times New Roman"/>
                <w:color w:val="000000"/>
                <w:sz w:val="18"/>
                <w:szCs w:val="18"/>
              </w:rPr>
              <w:t xml:space="preserve">OR </w:t>
            </w:r>
            <w:r w:rsidR="008A0ED0">
              <w:rPr>
                <w:rFonts w:eastAsia="Times New Roman"/>
                <w:color w:val="000000"/>
                <w:sz w:val="18"/>
                <w:szCs w:val="18"/>
              </w:rPr>
              <w:t>“</w:t>
            </w:r>
            <w:proofErr w:type="spellStart"/>
            <w:r w:rsidRPr="00952FF4">
              <w:rPr>
                <w:rFonts w:eastAsia="Times New Roman"/>
                <w:color w:val="000000"/>
                <w:sz w:val="18"/>
                <w:szCs w:val="18"/>
              </w:rPr>
              <w:t>attent</w:t>
            </w:r>
            <w:proofErr w:type="spellEnd"/>
            <w:r w:rsidRPr="00952FF4">
              <w:rPr>
                <w:rFonts w:eastAsia="Times New Roman"/>
                <w:color w:val="000000"/>
                <w:sz w:val="18"/>
                <w:szCs w:val="18"/>
              </w:rPr>
              <w:t>*</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intellect</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 xml:space="preserve">executive </w:t>
            </w:r>
            <w:proofErr w:type="spellStart"/>
            <w:r w:rsidRPr="00952FF4">
              <w:rPr>
                <w:rFonts w:eastAsia="Times New Roman"/>
                <w:color w:val="000000"/>
                <w:sz w:val="18"/>
                <w:szCs w:val="18"/>
              </w:rPr>
              <w:t>funct</w:t>
            </w:r>
            <w:proofErr w:type="spellEnd"/>
            <w:r w:rsidRPr="00952FF4">
              <w:rPr>
                <w:rFonts w:eastAsia="Times New Roman"/>
                <w:color w:val="000000"/>
                <w:sz w:val="18"/>
                <w:szCs w:val="18"/>
              </w:rPr>
              <w:t>*</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proofErr w:type="spellStart"/>
            <w:r w:rsidRPr="00952FF4">
              <w:rPr>
                <w:rFonts w:eastAsia="Times New Roman"/>
                <w:color w:val="000000"/>
                <w:sz w:val="18"/>
                <w:szCs w:val="18"/>
              </w:rPr>
              <w:t>recognit</w:t>
            </w:r>
            <w:proofErr w:type="spellEnd"/>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IQ</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proofErr w:type="spellStart"/>
            <w:r w:rsidRPr="00952FF4">
              <w:rPr>
                <w:rFonts w:eastAsia="Times New Roman"/>
                <w:color w:val="000000"/>
                <w:sz w:val="18"/>
                <w:szCs w:val="18"/>
              </w:rPr>
              <w:t>problemsolving</w:t>
            </w:r>
            <w:proofErr w:type="spellEnd"/>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psychomotor speed</w:t>
            </w:r>
            <w:r w:rsidR="008A0ED0">
              <w:rPr>
                <w:rFonts w:eastAsia="Times New Roman"/>
                <w:color w:val="000000"/>
                <w:sz w:val="18"/>
                <w:szCs w:val="18"/>
              </w:rPr>
              <w:t xml:space="preserve">” </w:t>
            </w:r>
            <w:r w:rsidRPr="00952FF4">
              <w:rPr>
                <w:rFonts w:eastAsia="Times New Roman"/>
                <w:color w:val="000000"/>
                <w:sz w:val="18"/>
                <w:szCs w:val="18"/>
              </w:rPr>
              <w:t xml:space="preserve">OR </w:t>
            </w:r>
            <w:r w:rsidR="008A0ED0">
              <w:rPr>
                <w:rFonts w:eastAsia="Times New Roman"/>
                <w:color w:val="000000"/>
                <w:sz w:val="18"/>
                <w:szCs w:val="18"/>
              </w:rPr>
              <w:t>“</w:t>
            </w:r>
            <w:r w:rsidRPr="00952FF4">
              <w:rPr>
                <w:rFonts w:eastAsia="Times New Roman"/>
                <w:color w:val="000000"/>
                <w:sz w:val="18"/>
                <w:szCs w:val="18"/>
              </w:rPr>
              <w:t xml:space="preserve">mental </w:t>
            </w:r>
            <w:proofErr w:type="spellStart"/>
            <w:r w:rsidRPr="00952FF4">
              <w:rPr>
                <w:rFonts w:eastAsia="Times New Roman"/>
                <w:color w:val="000000"/>
                <w:sz w:val="18"/>
                <w:szCs w:val="18"/>
              </w:rPr>
              <w:t>flexib</w:t>
            </w:r>
            <w:proofErr w:type="spellEnd"/>
            <w:r w:rsidRPr="00952FF4">
              <w:rPr>
                <w:rFonts w:eastAsia="Times New Roman"/>
                <w:color w:val="000000"/>
                <w:sz w:val="18"/>
                <w:szCs w:val="18"/>
              </w:rPr>
              <w:t>*</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choice react*</w:t>
            </w:r>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proofErr w:type="spellStart"/>
            <w:r w:rsidRPr="00952FF4">
              <w:rPr>
                <w:rFonts w:eastAsia="Times New Roman"/>
                <w:color w:val="000000"/>
                <w:sz w:val="18"/>
                <w:szCs w:val="18"/>
              </w:rPr>
              <w:t>emotionalbias</w:t>
            </w:r>
            <w:proofErr w:type="spellEnd"/>
            <w:r w:rsidR="008A0ED0">
              <w:rPr>
                <w:rFonts w:eastAsia="Times New Roman"/>
                <w:color w:val="000000"/>
                <w:sz w:val="18"/>
                <w:szCs w:val="18"/>
              </w:rPr>
              <w:t>”</w:t>
            </w:r>
            <w:r w:rsidRPr="00952FF4">
              <w:rPr>
                <w:rFonts w:eastAsia="Times New Roman"/>
                <w:color w:val="000000"/>
                <w:sz w:val="18"/>
                <w:szCs w:val="18"/>
              </w:rPr>
              <w:t xml:space="preserve"> OR </w:t>
            </w:r>
            <w:r w:rsidR="008A0ED0">
              <w:rPr>
                <w:rFonts w:eastAsia="Times New Roman"/>
                <w:color w:val="000000"/>
                <w:sz w:val="18"/>
                <w:szCs w:val="18"/>
              </w:rPr>
              <w:t>“</w:t>
            </w:r>
            <w:r w:rsidRPr="00952FF4">
              <w:rPr>
                <w:rFonts w:eastAsia="Times New Roman"/>
                <w:color w:val="000000"/>
                <w:sz w:val="18"/>
                <w:szCs w:val="18"/>
              </w:rPr>
              <w:t>planning</w:t>
            </w:r>
            <w:r w:rsidR="008A0ED0" w:rsidRPr="008A0ED0">
              <w:rPr>
                <w:rFonts w:eastAsia="Times New Roman"/>
                <w:color w:val="000000"/>
                <w:sz w:val="18"/>
                <w:szCs w:val="18"/>
              </w:rPr>
              <w:t>”</w:t>
            </w:r>
            <w:r w:rsidRPr="008A0ED0">
              <w:rPr>
                <w:rFonts w:eastAsia="Times New Roman"/>
                <w:color w:val="000000"/>
                <w:sz w:val="18"/>
                <w:szCs w:val="18"/>
              </w:rPr>
              <w:t xml:space="preserve"> </w:t>
            </w:r>
            <w:r w:rsidRPr="00952FF4">
              <w:rPr>
                <w:rFonts w:eastAsia="Times New Roman"/>
                <w:color w:val="000000"/>
                <w:sz w:val="18"/>
                <w:szCs w:val="18"/>
              </w:rPr>
              <w:t xml:space="preserve">OR </w:t>
            </w:r>
            <w:r w:rsidR="008A0ED0">
              <w:rPr>
                <w:rFonts w:eastAsia="Times New Roman"/>
                <w:color w:val="000000"/>
                <w:sz w:val="18"/>
                <w:szCs w:val="18"/>
              </w:rPr>
              <w:t>“</w:t>
            </w:r>
            <w:r w:rsidRPr="00952FF4">
              <w:rPr>
                <w:rFonts w:eastAsia="Times New Roman"/>
                <w:color w:val="000000"/>
                <w:sz w:val="18"/>
                <w:szCs w:val="18"/>
              </w:rPr>
              <w:t>response inhibition</w:t>
            </w:r>
            <w:r w:rsidR="008A0ED0">
              <w:rPr>
                <w:rFonts w:eastAsia="Times New Roman"/>
                <w:color w:val="000000"/>
                <w:sz w:val="18"/>
                <w:szCs w:val="18"/>
              </w:rPr>
              <w:t>”</w:t>
            </w:r>
            <w:r w:rsidRPr="00952FF4">
              <w:rPr>
                <w:rFonts w:eastAsia="Times New Roman"/>
                <w:color w:val="000000"/>
                <w:sz w:val="18"/>
                <w:szCs w:val="18"/>
              </w:rPr>
              <w:t xml:space="preserve">). </w:t>
            </w:r>
            <w:r w:rsidRPr="00952FF4">
              <w:rPr>
                <w:rFonts w:eastAsia="Times New Roman"/>
                <w:color w:val="000000"/>
                <w:sz w:val="18"/>
                <w:szCs w:val="18"/>
              </w:rPr>
              <w:br/>
              <w:t xml:space="preserve">References from selected papers and from other relevant articles were screened for potential additional studies in accordance with the snowball principle. </w:t>
            </w:r>
            <w:r w:rsidRPr="00952FF4">
              <w:rPr>
                <w:rFonts w:eastAsia="Times New Roman"/>
                <w:color w:val="000000"/>
                <w:sz w:val="18"/>
                <w:szCs w:val="18"/>
              </w:rPr>
              <w:br/>
            </w:r>
            <w:r>
              <w:rPr>
                <w:rFonts w:eastAsia="Times New Roman"/>
                <w:color w:val="000000"/>
                <w:sz w:val="18"/>
                <w:szCs w:val="18"/>
              </w:rPr>
              <w:t>S</w:t>
            </w:r>
            <w:r w:rsidRPr="00952FF4">
              <w:rPr>
                <w:rFonts w:eastAsia="Times New Roman"/>
                <w:color w:val="000000"/>
                <w:sz w:val="18"/>
                <w:szCs w:val="18"/>
              </w:rPr>
              <w:t>earch limited to journal articles in English.</w:t>
            </w:r>
          </w:p>
        </w:tc>
        <w:tc>
          <w:tcPr>
            <w:tcW w:w="1985" w:type="dxa"/>
          </w:tcPr>
          <w:p w14:paraId="6CC60285" w14:textId="2D6B9E20" w:rsidR="000F52BA" w:rsidRPr="00952298" w:rsidRDefault="000F52BA" w:rsidP="000F52BA">
            <w:pPr>
              <w:widowControl w:val="0"/>
              <w:spacing w:line="276" w:lineRule="auto"/>
              <w:ind w:right="-60"/>
              <w:rPr>
                <w:rFonts w:eastAsia="Times New Roman"/>
                <w:color w:val="000000"/>
                <w:sz w:val="18"/>
                <w:szCs w:val="18"/>
              </w:rPr>
            </w:pPr>
            <w:r>
              <w:rPr>
                <w:rFonts w:eastAsia="Times New Roman"/>
                <w:color w:val="000000"/>
                <w:sz w:val="18"/>
                <w:szCs w:val="18"/>
              </w:rPr>
              <w:t>T</w:t>
            </w:r>
            <w:r w:rsidRPr="00952298">
              <w:rPr>
                <w:rFonts w:eastAsia="Times New Roman"/>
                <w:color w:val="000000"/>
                <w:sz w:val="18"/>
                <w:szCs w:val="18"/>
              </w:rPr>
              <w:t xml:space="preserve">o summarise the current level of evidence supporting the negative impact of COVID-19 infection on cognitive functions. </w:t>
            </w:r>
            <w:r w:rsidRPr="00952298">
              <w:rPr>
                <w:rFonts w:eastAsia="Times New Roman"/>
                <w:color w:val="000000"/>
                <w:sz w:val="18"/>
                <w:szCs w:val="18"/>
              </w:rPr>
              <w:br/>
            </w:r>
            <w:proofErr w:type="gramStart"/>
            <w:r w:rsidRPr="00952298">
              <w:rPr>
                <w:rFonts w:eastAsia="Times New Roman"/>
                <w:color w:val="000000"/>
                <w:sz w:val="18"/>
                <w:szCs w:val="18"/>
              </w:rPr>
              <w:t>Also</w:t>
            </w:r>
            <w:proofErr w:type="gramEnd"/>
            <w:r w:rsidRPr="00952298">
              <w:rPr>
                <w:rFonts w:eastAsia="Times New Roman"/>
                <w:color w:val="000000"/>
                <w:sz w:val="18"/>
                <w:szCs w:val="18"/>
              </w:rPr>
              <w:t xml:space="preserve"> to  present and discuss the different potential interventions available in rehabilitation to try to decrease the risk of cognitive disorders after COVID-19 infection and restore optimal cognitive functions in patients presenting long COVID symptoms.</w:t>
            </w:r>
          </w:p>
        </w:tc>
        <w:tc>
          <w:tcPr>
            <w:tcW w:w="1842" w:type="dxa"/>
          </w:tcPr>
          <w:p w14:paraId="035B8E5F" w14:textId="7AF4BE20" w:rsidR="000F52BA" w:rsidRPr="000F52BA" w:rsidRDefault="000F52BA" w:rsidP="000F52BA">
            <w:pPr>
              <w:widowControl w:val="0"/>
              <w:spacing w:line="276" w:lineRule="auto"/>
              <w:ind w:right="-106"/>
              <w:rPr>
                <w:rFonts w:eastAsia="Times New Roman"/>
                <w:color w:val="000000"/>
                <w:sz w:val="18"/>
                <w:szCs w:val="18"/>
              </w:rPr>
            </w:pPr>
            <w:r w:rsidRPr="000F52BA">
              <w:rPr>
                <w:rFonts w:eastAsia="Times New Roman"/>
                <w:color w:val="000000"/>
                <w:sz w:val="18"/>
                <w:szCs w:val="18"/>
              </w:rPr>
              <w:t>Cohort study</w:t>
            </w:r>
          </w:p>
        </w:tc>
        <w:tc>
          <w:tcPr>
            <w:tcW w:w="1134" w:type="dxa"/>
          </w:tcPr>
          <w:p w14:paraId="6A719545" w14:textId="69DD7371" w:rsidR="000F52BA" w:rsidRPr="000F52BA" w:rsidRDefault="007052A8" w:rsidP="000F52BA">
            <w:pPr>
              <w:widowControl w:val="0"/>
              <w:spacing w:line="276" w:lineRule="auto"/>
              <w:ind w:right="-100"/>
              <w:rPr>
                <w:rFonts w:eastAsia="Times New Roman"/>
                <w:color w:val="000000"/>
                <w:sz w:val="18"/>
                <w:szCs w:val="18"/>
                <w:highlight w:val="yellow"/>
              </w:rPr>
            </w:pPr>
            <w:r w:rsidRPr="007052A8">
              <w:rPr>
                <w:rFonts w:eastAsia="Times New Roman"/>
                <w:color w:val="000000"/>
                <w:sz w:val="18"/>
                <w:szCs w:val="18"/>
              </w:rPr>
              <w:t>Not stated</w:t>
            </w:r>
          </w:p>
        </w:tc>
        <w:tc>
          <w:tcPr>
            <w:tcW w:w="1134" w:type="dxa"/>
          </w:tcPr>
          <w:p w14:paraId="22787234" w14:textId="0141328D" w:rsidR="000F52BA" w:rsidRPr="000F52BA" w:rsidRDefault="007052A8" w:rsidP="000F52BA">
            <w:pPr>
              <w:widowControl w:val="0"/>
              <w:spacing w:line="276" w:lineRule="auto"/>
              <w:ind w:right="-121"/>
              <w:rPr>
                <w:rFonts w:eastAsia="Times New Roman"/>
                <w:color w:val="000000"/>
                <w:sz w:val="18"/>
                <w:szCs w:val="18"/>
                <w:highlight w:val="yellow"/>
              </w:rPr>
            </w:pPr>
            <w:r w:rsidRPr="007052A8">
              <w:rPr>
                <w:rFonts w:eastAsia="Times New Roman"/>
                <w:color w:val="000000"/>
                <w:sz w:val="18"/>
                <w:szCs w:val="18"/>
              </w:rPr>
              <w:t>April 2022</w:t>
            </w:r>
          </w:p>
        </w:tc>
        <w:tc>
          <w:tcPr>
            <w:tcW w:w="1701" w:type="dxa"/>
          </w:tcPr>
          <w:p w14:paraId="01C1EB38" w14:textId="00364D97" w:rsidR="000F52BA" w:rsidRPr="000F52BA" w:rsidRDefault="000F52BA" w:rsidP="000F52BA">
            <w:pPr>
              <w:widowControl w:val="0"/>
              <w:spacing w:line="276" w:lineRule="auto"/>
              <w:ind w:right="-84"/>
              <w:rPr>
                <w:rFonts w:eastAsia="Times New Roman"/>
                <w:color w:val="000000"/>
                <w:sz w:val="18"/>
                <w:szCs w:val="18"/>
              </w:rPr>
            </w:pPr>
            <w:r>
              <w:rPr>
                <w:rFonts w:eastAsia="Times New Roman"/>
                <w:color w:val="000000"/>
                <w:sz w:val="18"/>
                <w:szCs w:val="18"/>
              </w:rPr>
              <w:t>N</w:t>
            </w:r>
            <w:r w:rsidRPr="000F52BA">
              <w:rPr>
                <w:rFonts w:eastAsia="Times New Roman"/>
                <w:color w:val="000000"/>
                <w:sz w:val="18"/>
                <w:szCs w:val="18"/>
              </w:rPr>
              <w:t>o external funding</w:t>
            </w:r>
          </w:p>
        </w:tc>
        <w:tc>
          <w:tcPr>
            <w:tcW w:w="1843" w:type="dxa"/>
          </w:tcPr>
          <w:p w14:paraId="07696AE9" w14:textId="76DC2ACB" w:rsidR="000F52BA" w:rsidRPr="004E2A5B" w:rsidRDefault="004E2A5B" w:rsidP="000F52BA">
            <w:pPr>
              <w:widowControl w:val="0"/>
              <w:spacing w:line="276" w:lineRule="auto"/>
              <w:ind w:right="-115"/>
              <w:rPr>
                <w:rFonts w:eastAsia="Times New Roman"/>
                <w:color w:val="000000"/>
                <w:sz w:val="18"/>
                <w:szCs w:val="18"/>
              </w:rPr>
            </w:pPr>
            <w:r w:rsidRPr="004E2A5B">
              <w:rPr>
                <w:rFonts w:eastAsia="Times New Roman"/>
                <w:color w:val="000000"/>
                <w:sz w:val="18"/>
                <w:szCs w:val="18"/>
              </w:rPr>
              <w:t>94,103 participants included: 90,317 COVID-19 patients and 3786 control</w:t>
            </w:r>
            <w:r w:rsidR="008064C2">
              <w:rPr>
                <w:rFonts w:eastAsia="Times New Roman"/>
                <w:color w:val="000000"/>
                <w:sz w:val="18"/>
                <w:szCs w:val="18"/>
              </w:rPr>
              <w:t>.</w:t>
            </w:r>
            <w:r w:rsidRPr="004E2A5B">
              <w:rPr>
                <w:rFonts w:eastAsia="Times New Roman"/>
                <w:color w:val="000000"/>
                <w:sz w:val="18"/>
                <w:szCs w:val="18"/>
              </w:rPr>
              <w:br/>
              <w:t>Of 27 studies included</w:t>
            </w:r>
            <w:r w:rsidR="008064C2">
              <w:rPr>
                <w:rFonts w:eastAsia="Times New Roman"/>
                <w:color w:val="000000"/>
                <w:sz w:val="18"/>
                <w:szCs w:val="18"/>
              </w:rPr>
              <w:t>,</w:t>
            </w:r>
            <w:r w:rsidRPr="004E2A5B">
              <w:rPr>
                <w:rFonts w:eastAsia="Times New Roman"/>
                <w:color w:val="000000"/>
                <w:sz w:val="18"/>
                <w:szCs w:val="18"/>
              </w:rPr>
              <w:t xml:space="preserve"> five (959 participants,</w:t>
            </w:r>
            <w:r w:rsidR="008064C2">
              <w:rPr>
                <w:rFonts w:eastAsia="Times New Roman"/>
                <w:color w:val="000000"/>
                <w:sz w:val="18"/>
                <w:szCs w:val="18"/>
              </w:rPr>
              <w:t xml:space="preserve"> </w:t>
            </w:r>
            <w:r w:rsidRPr="004E2A5B">
              <w:rPr>
                <w:rFonts w:eastAsia="Times New Roman"/>
                <w:color w:val="000000"/>
                <w:sz w:val="18"/>
                <w:szCs w:val="18"/>
              </w:rPr>
              <w:t>513 patients) included in a meta-analysis to quantify the impact of COVID-19 on cognitive</w:t>
            </w:r>
            <w:r w:rsidR="0039262C">
              <w:rPr>
                <w:rFonts w:eastAsia="Times New Roman"/>
                <w:color w:val="000000"/>
                <w:sz w:val="18"/>
                <w:szCs w:val="18"/>
              </w:rPr>
              <w:t xml:space="preserve"> </w:t>
            </w:r>
            <w:r w:rsidRPr="004E2A5B">
              <w:rPr>
                <w:rFonts w:eastAsia="Times New Roman"/>
                <w:color w:val="000000"/>
                <w:sz w:val="18"/>
                <w:szCs w:val="18"/>
              </w:rPr>
              <w:t>(sub)function</w:t>
            </w:r>
            <w:r w:rsidR="008064C2">
              <w:rPr>
                <w:rFonts w:eastAsia="Times New Roman"/>
                <w:color w:val="000000"/>
                <w:sz w:val="18"/>
                <w:szCs w:val="18"/>
              </w:rPr>
              <w:t>s</w:t>
            </w:r>
            <w:r w:rsidR="0039262C">
              <w:rPr>
                <w:rFonts w:eastAsia="Times New Roman"/>
                <w:color w:val="000000"/>
                <w:sz w:val="18"/>
                <w:szCs w:val="18"/>
              </w:rPr>
              <w:t>.</w:t>
            </w:r>
          </w:p>
        </w:tc>
        <w:tc>
          <w:tcPr>
            <w:tcW w:w="2126" w:type="dxa"/>
          </w:tcPr>
          <w:p w14:paraId="7793879A" w14:textId="77777777" w:rsidR="008064C2" w:rsidRDefault="008064C2" w:rsidP="000F52BA">
            <w:pPr>
              <w:widowControl w:val="0"/>
              <w:spacing w:line="276" w:lineRule="auto"/>
              <w:ind w:right="-108"/>
              <w:rPr>
                <w:rFonts w:eastAsia="Times New Roman"/>
                <w:color w:val="000000"/>
                <w:sz w:val="18"/>
                <w:szCs w:val="18"/>
              </w:rPr>
            </w:pPr>
            <w:r w:rsidRPr="008064C2">
              <w:rPr>
                <w:rFonts w:eastAsia="Times New Roman"/>
                <w:color w:val="000000"/>
                <w:sz w:val="18"/>
                <w:szCs w:val="18"/>
              </w:rPr>
              <w:t>Healthy adults with COVID-19 diagnosed using PCR</w:t>
            </w:r>
            <w:r>
              <w:rPr>
                <w:rFonts w:eastAsia="Times New Roman"/>
                <w:color w:val="000000"/>
                <w:sz w:val="18"/>
                <w:szCs w:val="18"/>
              </w:rPr>
              <w:t>.</w:t>
            </w:r>
          </w:p>
          <w:p w14:paraId="72371C86" w14:textId="7248DDA8" w:rsidR="000F52BA" w:rsidRPr="008064C2" w:rsidRDefault="008064C2" w:rsidP="000F52BA">
            <w:pPr>
              <w:widowControl w:val="0"/>
              <w:spacing w:line="276" w:lineRule="auto"/>
              <w:ind w:right="-108"/>
              <w:rPr>
                <w:rFonts w:eastAsia="Times New Roman"/>
                <w:color w:val="000000"/>
                <w:sz w:val="18"/>
                <w:szCs w:val="18"/>
              </w:rPr>
            </w:pPr>
            <w:r w:rsidRPr="008064C2">
              <w:rPr>
                <w:rFonts w:eastAsia="Times New Roman"/>
                <w:color w:val="000000"/>
                <w:sz w:val="18"/>
                <w:szCs w:val="18"/>
              </w:rPr>
              <w:t>Any outcomes related to cognitive disorders, loss of cognitive functions, and/or cognitive fatigue</w:t>
            </w:r>
            <w:r>
              <w:rPr>
                <w:rFonts w:eastAsia="Times New Roman"/>
                <w:color w:val="000000"/>
                <w:sz w:val="18"/>
                <w:szCs w:val="18"/>
              </w:rPr>
              <w:t>.</w:t>
            </w:r>
            <w:r w:rsidRPr="008064C2">
              <w:rPr>
                <w:rFonts w:eastAsia="Times New Roman"/>
                <w:color w:val="000000"/>
                <w:sz w:val="18"/>
                <w:szCs w:val="18"/>
              </w:rPr>
              <w:br/>
            </w:r>
          </w:p>
        </w:tc>
        <w:tc>
          <w:tcPr>
            <w:tcW w:w="2127" w:type="dxa"/>
          </w:tcPr>
          <w:p w14:paraId="474E3422" w14:textId="4C540576" w:rsidR="000F52BA" w:rsidRPr="007F0A86" w:rsidRDefault="007F0A86" w:rsidP="000F52BA">
            <w:pPr>
              <w:widowControl w:val="0"/>
              <w:spacing w:line="276" w:lineRule="auto"/>
              <w:ind w:right="-102"/>
              <w:rPr>
                <w:rFonts w:eastAsia="Times New Roman"/>
                <w:color w:val="000000"/>
                <w:sz w:val="18"/>
                <w:szCs w:val="18"/>
              </w:rPr>
            </w:pPr>
            <w:r w:rsidRPr="007F0A86">
              <w:rPr>
                <w:rFonts w:eastAsia="Times New Roman"/>
                <w:color w:val="000000"/>
                <w:sz w:val="18"/>
                <w:szCs w:val="18"/>
              </w:rPr>
              <w:t>Studies with patients suffering from neuropsychiatric disorders before infection were not included</w:t>
            </w:r>
            <w:r>
              <w:rPr>
                <w:rFonts w:eastAsia="Times New Roman"/>
                <w:color w:val="000000"/>
                <w:sz w:val="18"/>
                <w:szCs w:val="18"/>
              </w:rPr>
              <w:t>.</w:t>
            </w:r>
          </w:p>
        </w:tc>
        <w:tc>
          <w:tcPr>
            <w:tcW w:w="992" w:type="dxa"/>
          </w:tcPr>
          <w:p w14:paraId="1E32E9D3" w14:textId="2F3A995D" w:rsidR="000F52BA" w:rsidRPr="00FF3D8A" w:rsidRDefault="007F0A86" w:rsidP="000F52BA">
            <w:pPr>
              <w:widowControl w:val="0"/>
              <w:spacing w:line="276" w:lineRule="auto"/>
              <w:ind w:right="-127"/>
              <w:rPr>
                <w:rFonts w:eastAsia="Times New Roman"/>
                <w:color w:val="000000"/>
                <w:sz w:val="18"/>
                <w:szCs w:val="18"/>
              </w:rPr>
            </w:pPr>
            <w:r>
              <w:rPr>
                <w:rFonts w:eastAsia="Times New Roman"/>
                <w:color w:val="000000"/>
                <w:sz w:val="18"/>
                <w:szCs w:val="18"/>
              </w:rPr>
              <w:t>27</w:t>
            </w:r>
          </w:p>
        </w:tc>
        <w:tc>
          <w:tcPr>
            <w:tcW w:w="2542" w:type="dxa"/>
          </w:tcPr>
          <w:p w14:paraId="26AB3312" w14:textId="77777777" w:rsidR="000F52BA" w:rsidRDefault="008064C2" w:rsidP="000F52BA">
            <w:pPr>
              <w:widowControl w:val="0"/>
              <w:spacing w:line="276" w:lineRule="auto"/>
              <w:ind w:right="-107"/>
              <w:rPr>
                <w:rFonts w:eastAsia="Times New Roman"/>
                <w:color w:val="000000"/>
                <w:sz w:val="18"/>
                <w:szCs w:val="18"/>
              </w:rPr>
            </w:pPr>
            <w:r>
              <w:rPr>
                <w:rFonts w:eastAsia="Times New Roman"/>
                <w:color w:val="000000"/>
                <w:sz w:val="18"/>
                <w:szCs w:val="18"/>
              </w:rPr>
              <w:t>T</w:t>
            </w:r>
            <w:r w:rsidRPr="008064C2">
              <w:rPr>
                <w:rFonts w:eastAsia="Times New Roman"/>
                <w:color w:val="000000"/>
                <w:sz w:val="18"/>
                <w:szCs w:val="18"/>
              </w:rPr>
              <w:t>he authors were unsure of follow-up for patients in 14 of the 27 studies so it is unclear whether those studies relate to Long Covid.</w:t>
            </w:r>
          </w:p>
          <w:p w14:paraId="34D04785" w14:textId="77777777" w:rsidR="007F0A86" w:rsidRDefault="007F0A86" w:rsidP="000F52BA">
            <w:pPr>
              <w:widowControl w:val="0"/>
              <w:spacing w:line="276" w:lineRule="auto"/>
              <w:ind w:right="-107"/>
              <w:rPr>
                <w:rFonts w:eastAsia="Times New Roman"/>
                <w:color w:val="000000"/>
                <w:sz w:val="18"/>
                <w:szCs w:val="18"/>
              </w:rPr>
            </w:pPr>
          </w:p>
          <w:p w14:paraId="22410597" w14:textId="12E08046" w:rsidR="007F0A86" w:rsidRPr="007F0A86" w:rsidRDefault="007F0A86" w:rsidP="000F52BA">
            <w:pPr>
              <w:widowControl w:val="0"/>
              <w:spacing w:line="276" w:lineRule="auto"/>
              <w:ind w:right="-107"/>
              <w:rPr>
                <w:rFonts w:eastAsia="Times New Roman"/>
                <w:color w:val="000000"/>
                <w:sz w:val="18"/>
                <w:szCs w:val="18"/>
              </w:rPr>
            </w:pPr>
            <w:r w:rsidRPr="007F0A86">
              <w:rPr>
                <w:rFonts w:eastAsia="Times New Roman"/>
                <w:color w:val="000000"/>
                <w:sz w:val="18"/>
                <w:szCs w:val="18"/>
              </w:rPr>
              <w:t>Most (n =20) ranked good quality according to the AHQR standards using the NOS. 7 remaining studies ranked as fair quality</w:t>
            </w:r>
            <w:r w:rsidR="0039262C">
              <w:rPr>
                <w:rFonts w:eastAsia="Times New Roman"/>
                <w:color w:val="000000"/>
                <w:sz w:val="18"/>
                <w:szCs w:val="18"/>
              </w:rPr>
              <w:t>.</w:t>
            </w:r>
          </w:p>
        </w:tc>
      </w:tr>
      <w:tr w:rsidR="00536FB5" w14:paraId="20739D47" w14:textId="77777777" w:rsidTr="00CE4F22">
        <w:tc>
          <w:tcPr>
            <w:tcW w:w="988" w:type="dxa"/>
          </w:tcPr>
          <w:p w14:paraId="636C5C2D" w14:textId="633A7B53" w:rsidR="00536FB5" w:rsidRPr="00536FB5" w:rsidRDefault="00536FB5" w:rsidP="00536FB5">
            <w:pPr>
              <w:widowControl w:val="0"/>
              <w:spacing w:line="276" w:lineRule="auto"/>
              <w:ind w:right="-92"/>
              <w:rPr>
                <w:rFonts w:eastAsia="Times New Roman"/>
                <w:b/>
                <w:color w:val="000000"/>
                <w:sz w:val="18"/>
                <w:szCs w:val="18"/>
              </w:rPr>
            </w:pPr>
            <w:r w:rsidRPr="00536FB5">
              <w:rPr>
                <w:rFonts w:eastAsia="Times New Roman"/>
                <w:b/>
                <w:color w:val="000000"/>
                <w:sz w:val="18"/>
                <w:szCs w:val="18"/>
              </w:rPr>
              <w:t>Pierce 2022</w:t>
            </w:r>
          </w:p>
        </w:tc>
        <w:tc>
          <w:tcPr>
            <w:tcW w:w="1417" w:type="dxa"/>
          </w:tcPr>
          <w:p w14:paraId="4F1917D1" w14:textId="425240C8" w:rsidR="00536FB5" w:rsidRPr="00536FB5" w:rsidRDefault="00536FB5" w:rsidP="000F52BA">
            <w:pPr>
              <w:widowControl w:val="0"/>
              <w:spacing w:line="276" w:lineRule="auto"/>
              <w:ind w:right="-69"/>
              <w:rPr>
                <w:rFonts w:eastAsia="Times New Roman"/>
                <w:i/>
                <w:color w:val="000000"/>
                <w:sz w:val="18"/>
                <w:szCs w:val="18"/>
              </w:rPr>
            </w:pPr>
            <w:r w:rsidRPr="00536FB5">
              <w:rPr>
                <w:rFonts w:eastAsia="Times New Roman"/>
                <w:i/>
                <w:color w:val="000000"/>
                <w:sz w:val="18"/>
                <w:szCs w:val="18"/>
              </w:rPr>
              <w:t>Post-COVID-19 Syndrome</w:t>
            </w:r>
          </w:p>
        </w:tc>
        <w:tc>
          <w:tcPr>
            <w:tcW w:w="851" w:type="dxa"/>
          </w:tcPr>
          <w:p w14:paraId="10B3953B" w14:textId="464090E4" w:rsidR="00536FB5" w:rsidRPr="00952FF4" w:rsidRDefault="00536FB5" w:rsidP="000F52BA">
            <w:pPr>
              <w:widowControl w:val="0"/>
              <w:spacing w:line="276" w:lineRule="auto"/>
              <w:ind w:right="-179"/>
              <w:rPr>
                <w:rFonts w:eastAsia="Times New Roman"/>
                <w:color w:val="000000"/>
                <w:sz w:val="18"/>
                <w:szCs w:val="18"/>
              </w:rPr>
            </w:pPr>
            <w:r w:rsidRPr="00C7476B">
              <w:rPr>
                <w:rFonts w:eastAsia="Times New Roman"/>
                <w:color w:val="000000"/>
                <w:sz w:val="18"/>
                <w:szCs w:val="18"/>
              </w:rPr>
              <w:t>United States</w:t>
            </w:r>
          </w:p>
        </w:tc>
        <w:tc>
          <w:tcPr>
            <w:tcW w:w="1984" w:type="dxa"/>
          </w:tcPr>
          <w:p w14:paraId="5470A5EA" w14:textId="72F20DB9" w:rsidR="00536FB5" w:rsidRDefault="00536FB5" w:rsidP="000F52BA">
            <w:pPr>
              <w:widowControl w:val="0"/>
              <w:spacing w:line="276" w:lineRule="auto"/>
              <w:ind w:right="-60"/>
              <w:rPr>
                <w:rFonts w:eastAsia="Times New Roman"/>
                <w:color w:val="000000"/>
                <w:sz w:val="18"/>
                <w:szCs w:val="18"/>
              </w:rPr>
            </w:pPr>
            <w:r w:rsidRPr="00C7476B">
              <w:rPr>
                <w:rFonts w:eastAsia="Times New Roman"/>
                <w:color w:val="000000"/>
                <w:sz w:val="18"/>
                <w:szCs w:val="18"/>
              </w:rPr>
              <w:t>PubMed; CINAHL; Web of Science; official scientific and public health websites (e.g., CDC, NIH)</w:t>
            </w:r>
            <w:r>
              <w:rPr>
                <w:rFonts w:eastAsia="Times New Roman"/>
                <w:color w:val="000000"/>
                <w:sz w:val="18"/>
                <w:szCs w:val="18"/>
              </w:rPr>
              <w:t>.</w:t>
            </w:r>
            <w:r w:rsidRPr="00C7476B">
              <w:rPr>
                <w:rFonts w:eastAsia="Times New Roman"/>
                <w:color w:val="000000"/>
                <w:sz w:val="18"/>
                <w:szCs w:val="18"/>
              </w:rPr>
              <w:br/>
              <w:t>Used combinations of the following key words: post-COVID-19 syndrome, post-SARS-CoV-2, long COVID-19, long COVID-19 syndrome, and pathophysiology of post-</w:t>
            </w:r>
            <w:r w:rsidRPr="00C7476B">
              <w:rPr>
                <w:rFonts w:eastAsia="Times New Roman"/>
                <w:color w:val="000000"/>
                <w:sz w:val="18"/>
                <w:szCs w:val="18"/>
              </w:rPr>
              <w:lastRenderedPageBreak/>
              <w:t>COVID-19</w:t>
            </w:r>
            <w:r>
              <w:rPr>
                <w:rFonts w:eastAsia="Times New Roman"/>
                <w:color w:val="000000"/>
                <w:sz w:val="18"/>
                <w:szCs w:val="18"/>
              </w:rPr>
              <w:t>.</w:t>
            </w:r>
          </w:p>
        </w:tc>
        <w:tc>
          <w:tcPr>
            <w:tcW w:w="1985" w:type="dxa"/>
          </w:tcPr>
          <w:p w14:paraId="0099E5AB" w14:textId="7CE90354" w:rsidR="00536FB5" w:rsidRDefault="00536FB5" w:rsidP="000F52BA">
            <w:pPr>
              <w:widowControl w:val="0"/>
              <w:spacing w:line="276" w:lineRule="auto"/>
              <w:ind w:right="-60"/>
              <w:rPr>
                <w:rFonts w:eastAsia="Times New Roman"/>
                <w:color w:val="000000"/>
                <w:sz w:val="18"/>
                <w:szCs w:val="18"/>
              </w:rPr>
            </w:pPr>
            <w:r w:rsidRPr="00C7476B">
              <w:rPr>
                <w:rFonts w:eastAsia="Times New Roman"/>
                <w:color w:val="000000"/>
                <w:sz w:val="18"/>
                <w:szCs w:val="18"/>
              </w:rPr>
              <w:lastRenderedPageBreak/>
              <w:t>To summarise and evaluate post-COVID-19 syn</w:t>
            </w:r>
            <w:r>
              <w:rPr>
                <w:rFonts w:eastAsia="Times New Roman"/>
                <w:color w:val="000000"/>
                <w:sz w:val="18"/>
                <w:szCs w:val="18"/>
              </w:rPr>
              <w:t>d</w:t>
            </w:r>
            <w:r w:rsidRPr="00C7476B">
              <w:rPr>
                <w:rFonts w:eastAsia="Times New Roman"/>
                <w:color w:val="000000"/>
                <w:sz w:val="18"/>
                <w:szCs w:val="18"/>
              </w:rPr>
              <w:t xml:space="preserve">rome from a biological perspective: describe the symptoms and various definitions and categories of post-COVID-19 syndrome; discuss the known pathophysiological changes that occur in post-COVID-19 syndrome and possible </w:t>
            </w:r>
            <w:r w:rsidRPr="00C7476B">
              <w:rPr>
                <w:rFonts w:eastAsia="Times New Roman"/>
                <w:color w:val="000000"/>
                <w:sz w:val="18"/>
                <w:szCs w:val="18"/>
              </w:rPr>
              <w:lastRenderedPageBreak/>
              <w:t>mechanisms for these symptoms.</w:t>
            </w:r>
          </w:p>
        </w:tc>
        <w:tc>
          <w:tcPr>
            <w:tcW w:w="1842" w:type="dxa"/>
          </w:tcPr>
          <w:p w14:paraId="2B0C7490" w14:textId="35B557BA" w:rsidR="00536FB5" w:rsidRPr="000F52BA" w:rsidRDefault="00536FB5" w:rsidP="000F52BA">
            <w:pPr>
              <w:widowControl w:val="0"/>
              <w:spacing w:line="276" w:lineRule="auto"/>
              <w:ind w:right="-106"/>
              <w:rPr>
                <w:rFonts w:eastAsia="Times New Roman"/>
                <w:color w:val="000000"/>
                <w:sz w:val="18"/>
                <w:szCs w:val="18"/>
              </w:rPr>
            </w:pPr>
            <w:r w:rsidRPr="00C7476B">
              <w:rPr>
                <w:rFonts w:eastAsia="Times New Roman"/>
                <w:color w:val="000000"/>
                <w:sz w:val="18"/>
                <w:szCs w:val="18"/>
              </w:rPr>
              <w:lastRenderedPageBreak/>
              <w:t>No criterion on study design</w:t>
            </w:r>
            <w:r>
              <w:rPr>
                <w:rFonts w:eastAsia="Times New Roman"/>
                <w:color w:val="000000"/>
                <w:sz w:val="18"/>
                <w:szCs w:val="18"/>
              </w:rPr>
              <w:t>.</w:t>
            </w:r>
          </w:p>
        </w:tc>
        <w:tc>
          <w:tcPr>
            <w:tcW w:w="1134" w:type="dxa"/>
          </w:tcPr>
          <w:p w14:paraId="17E08EEF" w14:textId="024C1F62" w:rsidR="00536FB5" w:rsidRPr="000F52BA" w:rsidRDefault="00536FB5" w:rsidP="000F52BA">
            <w:pPr>
              <w:widowControl w:val="0"/>
              <w:spacing w:line="276" w:lineRule="auto"/>
              <w:ind w:right="-100"/>
              <w:rPr>
                <w:rFonts w:eastAsia="Times New Roman"/>
                <w:color w:val="000000"/>
                <w:sz w:val="18"/>
                <w:szCs w:val="18"/>
                <w:highlight w:val="yellow"/>
              </w:rPr>
            </w:pPr>
            <w:r w:rsidRPr="00C7476B">
              <w:rPr>
                <w:rFonts w:eastAsia="Times New Roman"/>
                <w:color w:val="000000"/>
                <w:sz w:val="18"/>
                <w:szCs w:val="18"/>
              </w:rPr>
              <w:t>Not stated</w:t>
            </w:r>
          </w:p>
        </w:tc>
        <w:tc>
          <w:tcPr>
            <w:tcW w:w="1134" w:type="dxa"/>
          </w:tcPr>
          <w:p w14:paraId="1CD824E8" w14:textId="5E1E87B6" w:rsidR="00536FB5" w:rsidRPr="000F52BA" w:rsidRDefault="00536FB5" w:rsidP="000F52BA">
            <w:pPr>
              <w:widowControl w:val="0"/>
              <w:spacing w:line="276" w:lineRule="auto"/>
              <w:ind w:right="-121"/>
              <w:rPr>
                <w:rFonts w:eastAsia="Times New Roman"/>
                <w:color w:val="000000"/>
                <w:sz w:val="18"/>
                <w:szCs w:val="18"/>
                <w:highlight w:val="yellow"/>
              </w:rPr>
            </w:pPr>
            <w:r w:rsidRPr="00C7476B">
              <w:rPr>
                <w:rFonts w:eastAsia="Times New Roman"/>
                <w:color w:val="000000"/>
                <w:sz w:val="18"/>
                <w:szCs w:val="18"/>
              </w:rPr>
              <w:t>30th August 2021</w:t>
            </w:r>
          </w:p>
        </w:tc>
        <w:tc>
          <w:tcPr>
            <w:tcW w:w="1701" w:type="dxa"/>
          </w:tcPr>
          <w:p w14:paraId="2B0C8B59" w14:textId="3018D90F" w:rsidR="00536FB5" w:rsidRDefault="00536FB5" w:rsidP="000F52BA">
            <w:pPr>
              <w:widowControl w:val="0"/>
              <w:spacing w:line="276" w:lineRule="auto"/>
              <w:ind w:right="-84"/>
              <w:rPr>
                <w:rFonts w:eastAsia="Times New Roman"/>
                <w:color w:val="000000"/>
                <w:sz w:val="18"/>
                <w:szCs w:val="18"/>
              </w:rPr>
            </w:pPr>
            <w:r w:rsidRPr="00C7476B">
              <w:rPr>
                <w:rFonts w:eastAsia="Times New Roman"/>
                <w:color w:val="000000"/>
                <w:sz w:val="18"/>
                <w:szCs w:val="18"/>
              </w:rPr>
              <w:t>Not reported</w:t>
            </w:r>
          </w:p>
        </w:tc>
        <w:tc>
          <w:tcPr>
            <w:tcW w:w="1843" w:type="dxa"/>
          </w:tcPr>
          <w:p w14:paraId="1B4A93DD" w14:textId="7CDA0DFC" w:rsidR="00536FB5" w:rsidRPr="004E2A5B" w:rsidRDefault="00536FB5" w:rsidP="000F52BA">
            <w:pPr>
              <w:widowControl w:val="0"/>
              <w:spacing w:line="276" w:lineRule="auto"/>
              <w:ind w:right="-115"/>
              <w:rPr>
                <w:rFonts w:eastAsia="Times New Roman"/>
                <w:color w:val="000000"/>
                <w:sz w:val="18"/>
                <w:szCs w:val="18"/>
              </w:rPr>
            </w:pPr>
            <w:r w:rsidRPr="00C7476B">
              <w:rPr>
                <w:rFonts w:eastAsia="Times New Roman"/>
                <w:color w:val="000000"/>
                <w:sz w:val="18"/>
                <w:szCs w:val="18"/>
              </w:rPr>
              <w:t>Not reported</w:t>
            </w:r>
          </w:p>
        </w:tc>
        <w:tc>
          <w:tcPr>
            <w:tcW w:w="2126" w:type="dxa"/>
          </w:tcPr>
          <w:p w14:paraId="17173BCC" w14:textId="04EC84FD" w:rsidR="00536FB5" w:rsidRPr="008064C2" w:rsidRDefault="00536FB5" w:rsidP="000F52BA">
            <w:pPr>
              <w:widowControl w:val="0"/>
              <w:spacing w:line="276" w:lineRule="auto"/>
              <w:ind w:right="-108"/>
              <w:rPr>
                <w:rFonts w:eastAsia="Times New Roman"/>
                <w:color w:val="000000"/>
                <w:sz w:val="18"/>
                <w:szCs w:val="18"/>
              </w:rPr>
            </w:pPr>
            <w:r w:rsidRPr="00C7476B">
              <w:rPr>
                <w:rFonts w:eastAsia="Times New Roman"/>
                <w:color w:val="000000"/>
                <w:sz w:val="18"/>
                <w:szCs w:val="18"/>
              </w:rPr>
              <w:t>Related to the pathophysiology of post-COVID-19 syndrome</w:t>
            </w:r>
            <w:r>
              <w:rPr>
                <w:rFonts w:eastAsia="Times New Roman"/>
                <w:color w:val="000000"/>
                <w:sz w:val="18"/>
                <w:szCs w:val="18"/>
              </w:rPr>
              <w:t>.</w:t>
            </w:r>
          </w:p>
        </w:tc>
        <w:tc>
          <w:tcPr>
            <w:tcW w:w="2127" w:type="dxa"/>
          </w:tcPr>
          <w:p w14:paraId="715DCD45" w14:textId="1A6B016E" w:rsidR="00536FB5" w:rsidRPr="007F0A86" w:rsidRDefault="00536FB5" w:rsidP="000F52BA">
            <w:pPr>
              <w:widowControl w:val="0"/>
              <w:spacing w:line="276" w:lineRule="auto"/>
              <w:ind w:right="-102"/>
              <w:rPr>
                <w:rFonts w:eastAsia="Times New Roman"/>
                <w:color w:val="000000"/>
                <w:sz w:val="18"/>
                <w:szCs w:val="18"/>
              </w:rPr>
            </w:pPr>
            <w:r w:rsidRPr="00C7476B">
              <w:rPr>
                <w:rFonts w:eastAsia="Times New Roman"/>
                <w:color w:val="000000"/>
                <w:sz w:val="18"/>
                <w:szCs w:val="18"/>
              </w:rPr>
              <w:t>Articles on children aged &lt;18 years and articles on animals</w:t>
            </w:r>
            <w:r>
              <w:rPr>
                <w:rFonts w:eastAsia="Times New Roman"/>
                <w:color w:val="000000"/>
                <w:sz w:val="18"/>
                <w:szCs w:val="18"/>
              </w:rPr>
              <w:t>.</w:t>
            </w:r>
          </w:p>
        </w:tc>
        <w:tc>
          <w:tcPr>
            <w:tcW w:w="992" w:type="dxa"/>
          </w:tcPr>
          <w:p w14:paraId="3698D58D" w14:textId="7E58122E" w:rsidR="00536FB5" w:rsidRDefault="00536FB5" w:rsidP="000F52BA">
            <w:pPr>
              <w:widowControl w:val="0"/>
              <w:spacing w:line="276" w:lineRule="auto"/>
              <w:ind w:right="-127"/>
              <w:rPr>
                <w:rFonts w:eastAsia="Times New Roman"/>
                <w:color w:val="000000"/>
                <w:sz w:val="18"/>
                <w:szCs w:val="18"/>
              </w:rPr>
            </w:pPr>
            <w:r w:rsidRPr="00C7476B">
              <w:rPr>
                <w:rFonts w:eastAsia="Times New Roman"/>
                <w:color w:val="000000"/>
                <w:sz w:val="18"/>
                <w:szCs w:val="18"/>
              </w:rPr>
              <w:t>54</w:t>
            </w:r>
          </w:p>
        </w:tc>
        <w:tc>
          <w:tcPr>
            <w:tcW w:w="2542" w:type="dxa"/>
          </w:tcPr>
          <w:p w14:paraId="20455FA9" w14:textId="7AF69E58" w:rsidR="00536FB5" w:rsidRDefault="00536FB5" w:rsidP="000F52BA">
            <w:pPr>
              <w:widowControl w:val="0"/>
              <w:spacing w:line="276" w:lineRule="auto"/>
              <w:ind w:right="-107"/>
              <w:rPr>
                <w:rFonts w:eastAsia="Times New Roman"/>
                <w:color w:val="000000"/>
                <w:sz w:val="18"/>
                <w:szCs w:val="18"/>
              </w:rPr>
            </w:pPr>
            <w:r w:rsidRPr="00C7476B">
              <w:rPr>
                <w:rFonts w:eastAsia="Times New Roman"/>
                <w:color w:val="000000"/>
                <w:sz w:val="18"/>
                <w:szCs w:val="18"/>
              </w:rPr>
              <w:t>Data were analysed using the constant comparison method.</w:t>
            </w:r>
            <w:r w:rsidRPr="00C7476B">
              <w:rPr>
                <w:rFonts w:eastAsia="Times New Roman"/>
                <w:color w:val="000000"/>
                <w:sz w:val="18"/>
                <w:szCs w:val="18"/>
              </w:rPr>
              <w:br/>
              <w:t>Design of included studies not reported: "many of the articles used retrospective and case</w:t>
            </w:r>
            <w:r w:rsidR="007052A8">
              <w:rPr>
                <w:rFonts w:eastAsia="Times New Roman"/>
                <w:color w:val="000000"/>
                <w:sz w:val="18"/>
                <w:szCs w:val="18"/>
              </w:rPr>
              <w:t xml:space="preserve"> </w:t>
            </w:r>
            <w:r w:rsidRPr="00C7476B">
              <w:rPr>
                <w:rFonts w:eastAsia="Times New Roman"/>
                <w:color w:val="000000"/>
                <w:sz w:val="18"/>
                <w:szCs w:val="18"/>
              </w:rPr>
              <w:t>control designs"</w:t>
            </w:r>
            <w:r w:rsidR="00B52BB8">
              <w:rPr>
                <w:rFonts w:eastAsia="Times New Roman"/>
                <w:color w:val="000000"/>
                <w:sz w:val="18"/>
                <w:szCs w:val="18"/>
              </w:rPr>
              <w:t>.</w:t>
            </w:r>
          </w:p>
        </w:tc>
      </w:tr>
      <w:tr w:rsidR="00E1516D" w14:paraId="4FBD7C5B" w14:textId="77777777" w:rsidTr="00CE4F22">
        <w:tc>
          <w:tcPr>
            <w:tcW w:w="988" w:type="dxa"/>
            <w:shd w:val="clear" w:color="auto" w:fill="auto"/>
          </w:tcPr>
          <w:p w14:paraId="270DB870" w14:textId="7C85BCA1" w:rsidR="00E1516D" w:rsidRPr="00E1516D" w:rsidRDefault="00E1516D" w:rsidP="00536FB5">
            <w:pPr>
              <w:widowControl w:val="0"/>
              <w:spacing w:line="276" w:lineRule="auto"/>
              <w:ind w:right="-92"/>
              <w:rPr>
                <w:rFonts w:eastAsia="Times New Roman"/>
                <w:b/>
                <w:color w:val="000000"/>
                <w:sz w:val="18"/>
                <w:szCs w:val="18"/>
              </w:rPr>
            </w:pPr>
            <w:r w:rsidRPr="00E1516D">
              <w:rPr>
                <w:rFonts w:eastAsia="Times New Roman"/>
                <w:b/>
                <w:color w:val="000000"/>
                <w:sz w:val="18"/>
                <w:szCs w:val="18"/>
              </w:rPr>
              <w:t>Piri 2021</w:t>
            </w:r>
          </w:p>
        </w:tc>
        <w:tc>
          <w:tcPr>
            <w:tcW w:w="1417" w:type="dxa"/>
          </w:tcPr>
          <w:p w14:paraId="54696E50" w14:textId="6F8EF7C4" w:rsidR="00E1516D" w:rsidRPr="00E1516D" w:rsidRDefault="00E1516D" w:rsidP="000F52BA">
            <w:pPr>
              <w:widowControl w:val="0"/>
              <w:spacing w:line="276" w:lineRule="auto"/>
              <w:ind w:right="-69"/>
              <w:rPr>
                <w:rFonts w:eastAsia="Times New Roman"/>
                <w:i/>
                <w:color w:val="000000"/>
                <w:sz w:val="18"/>
                <w:szCs w:val="18"/>
              </w:rPr>
            </w:pPr>
            <w:r w:rsidRPr="00E1516D">
              <w:rPr>
                <w:rFonts w:eastAsia="Times New Roman"/>
                <w:i/>
                <w:color w:val="000000"/>
                <w:sz w:val="18"/>
                <w:szCs w:val="18"/>
              </w:rPr>
              <w:t>A systematic review on the recurrence of SARS-CoV-2 virus: frequency, risk factors, and possible explanations</w:t>
            </w:r>
          </w:p>
        </w:tc>
        <w:tc>
          <w:tcPr>
            <w:tcW w:w="851" w:type="dxa"/>
          </w:tcPr>
          <w:p w14:paraId="6BB9D3CB" w14:textId="1F0C0EAE" w:rsidR="00E1516D" w:rsidRPr="00C7476B" w:rsidRDefault="00E1516D" w:rsidP="000F52BA">
            <w:pPr>
              <w:widowControl w:val="0"/>
              <w:spacing w:line="276" w:lineRule="auto"/>
              <w:ind w:right="-179"/>
              <w:rPr>
                <w:rFonts w:eastAsia="Times New Roman"/>
                <w:color w:val="000000"/>
                <w:sz w:val="18"/>
                <w:szCs w:val="18"/>
              </w:rPr>
            </w:pPr>
            <w:r w:rsidRPr="00C7476B">
              <w:rPr>
                <w:rFonts w:eastAsia="Times New Roman"/>
                <w:color w:val="000000"/>
                <w:sz w:val="18"/>
                <w:szCs w:val="18"/>
              </w:rPr>
              <w:t>Iran</w:t>
            </w:r>
          </w:p>
        </w:tc>
        <w:tc>
          <w:tcPr>
            <w:tcW w:w="1984" w:type="dxa"/>
          </w:tcPr>
          <w:p w14:paraId="52FEFFB1" w14:textId="78F91AC4" w:rsidR="00E1516D" w:rsidRPr="00C7476B" w:rsidRDefault="00E1516D" w:rsidP="000F52BA">
            <w:pPr>
              <w:widowControl w:val="0"/>
              <w:spacing w:line="276" w:lineRule="auto"/>
              <w:ind w:right="-60"/>
              <w:rPr>
                <w:rFonts w:eastAsia="Times New Roman"/>
                <w:color w:val="000000"/>
                <w:sz w:val="18"/>
                <w:szCs w:val="18"/>
              </w:rPr>
            </w:pPr>
            <w:r w:rsidRPr="00C7476B">
              <w:rPr>
                <w:rFonts w:eastAsia="Times New Roman"/>
                <w:color w:val="000000"/>
                <w:sz w:val="18"/>
                <w:szCs w:val="18"/>
              </w:rPr>
              <w:t xml:space="preserve">Databases: </w:t>
            </w:r>
            <w:proofErr w:type="spellStart"/>
            <w:r w:rsidRPr="00C7476B">
              <w:rPr>
                <w:rFonts w:eastAsia="Times New Roman"/>
                <w:color w:val="000000"/>
                <w:sz w:val="18"/>
                <w:szCs w:val="18"/>
              </w:rPr>
              <w:t>Pubmed</w:t>
            </w:r>
            <w:proofErr w:type="spellEnd"/>
            <w:r w:rsidRPr="00C7476B">
              <w:rPr>
                <w:rFonts w:eastAsia="Times New Roman"/>
                <w:color w:val="000000"/>
                <w:sz w:val="18"/>
                <w:szCs w:val="18"/>
              </w:rPr>
              <w:t>; Medline</w:t>
            </w:r>
            <w:r>
              <w:rPr>
                <w:rFonts w:eastAsia="Times New Roman"/>
                <w:color w:val="000000"/>
                <w:sz w:val="18"/>
                <w:szCs w:val="18"/>
              </w:rPr>
              <w:t>.</w:t>
            </w:r>
          </w:p>
        </w:tc>
        <w:tc>
          <w:tcPr>
            <w:tcW w:w="1985" w:type="dxa"/>
          </w:tcPr>
          <w:p w14:paraId="1BA40757" w14:textId="0C3D1380" w:rsidR="00E1516D" w:rsidRPr="00C7476B" w:rsidRDefault="00E1516D" w:rsidP="000F52BA">
            <w:pPr>
              <w:widowControl w:val="0"/>
              <w:spacing w:line="276" w:lineRule="auto"/>
              <w:ind w:right="-60"/>
              <w:rPr>
                <w:rFonts w:eastAsia="Times New Roman"/>
                <w:color w:val="000000"/>
                <w:sz w:val="18"/>
                <w:szCs w:val="18"/>
              </w:rPr>
            </w:pPr>
            <w:r w:rsidRPr="00C7476B">
              <w:rPr>
                <w:rFonts w:eastAsia="Times New Roman"/>
                <w:color w:val="000000"/>
                <w:sz w:val="18"/>
                <w:szCs w:val="18"/>
              </w:rPr>
              <w:t xml:space="preserve">To evaluate rate of SARS-CoV-2 recurrence, changes in disease severity, the interval between negative RT-PCR test for SARS-CoV-2 and disease recurrence, disease and </w:t>
            </w:r>
            <w:proofErr w:type="gramStart"/>
            <w:r w:rsidRPr="00C7476B">
              <w:rPr>
                <w:rFonts w:eastAsia="Times New Roman"/>
                <w:color w:val="000000"/>
                <w:sz w:val="18"/>
                <w:szCs w:val="18"/>
              </w:rPr>
              <w:t>patients</w:t>
            </w:r>
            <w:proofErr w:type="gramEnd"/>
            <w:r w:rsidR="007052A8">
              <w:rPr>
                <w:rFonts w:eastAsia="Times New Roman"/>
                <w:color w:val="000000"/>
                <w:sz w:val="18"/>
                <w:szCs w:val="18"/>
              </w:rPr>
              <w:t xml:space="preserve"> </w:t>
            </w:r>
            <w:r w:rsidRPr="00C7476B">
              <w:rPr>
                <w:rFonts w:eastAsia="Times New Roman"/>
                <w:color w:val="000000"/>
                <w:sz w:val="18"/>
                <w:szCs w:val="18"/>
              </w:rPr>
              <w:t>characteristics, risk factors for predicting recurrence and outcomes, as well as the prognosis of recurrent patients</w:t>
            </w:r>
            <w:r>
              <w:rPr>
                <w:rFonts w:eastAsia="Times New Roman"/>
                <w:color w:val="000000"/>
                <w:sz w:val="18"/>
                <w:szCs w:val="18"/>
              </w:rPr>
              <w:t>.</w:t>
            </w:r>
          </w:p>
        </w:tc>
        <w:tc>
          <w:tcPr>
            <w:tcW w:w="1842" w:type="dxa"/>
          </w:tcPr>
          <w:p w14:paraId="7EBA4681" w14:textId="0DC296C7" w:rsidR="00E1516D" w:rsidRPr="00C7476B" w:rsidRDefault="00E86BA6" w:rsidP="000F52BA">
            <w:pPr>
              <w:widowControl w:val="0"/>
              <w:spacing w:line="276" w:lineRule="auto"/>
              <w:ind w:right="-106"/>
              <w:rPr>
                <w:rFonts w:eastAsia="Times New Roman"/>
                <w:color w:val="000000"/>
                <w:sz w:val="18"/>
                <w:szCs w:val="18"/>
              </w:rPr>
            </w:pPr>
            <w:r w:rsidRPr="00C7476B">
              <w:rPr>
                <w:rFonts w:eastAsia="Times New Roman"/>
                <w:color w:val="000000"/>
                <w:sz w:val="18"/>
                <w:szCs w:val="18"/>
              </w:rPr>
              <w:t>Any study reporting primary data</w:t>
            </w:r>
            <w:r>
              <w:rPr>
                <w:rFonts w:eastAsia="Times New Roman"/>
                <w:color w:val="000000"/>
                <w:sz w:val="18"/>
                <w:szCs w:val="18"/>
              </w:rPr>
              <w:t>.</w:t>
            </w:r>
          </w:p>
        </w:tc>
        <w:tc>
          <w:tcPr>
            <w:tcW w:w="1134" w:type="dxa"/>
          </w:tcPr>
          <w:p w14:paraId="4B2FC204" w14:textId="1FADB83E" w:rsidR="00E1516D" w:rsidRPr="00C7476B" w:rsidRDefault="00E86BA6" w:rsidP="000F52BA">
            <w:pPr>
              <w:widowControl w:val="0"/>
              <w:spacing w:line="276" w:lineRule="auto"/>
              <w:ind w:right="-100"/>
              <w:rPr>
                <w:rFonts w:eastAsia="Times New Roman"/>
                <w:color w:val="000000"/>
                <w:sz w:val="18"/>
                <w:szCs w:val="18"/>
              </w:rPr>
            </w:pPr>
            <w:r w:rsidRPr="00C7476B">
              <w:rPr>
                <w:rFonts w:eastAsia="Times New Roman"/>
                <w:color w:val="000000"/>
                <w:sz w:val="18"/>
                <w:szCs w:val="18"/>
              </w:rPr>
              <w:t>Not reported</w:t>
            </w:r>
          </w:p>
        </w:tc>
        <w:tc>
          <w:tcPr>
            <w:tcW w:w="1134" w:type="dxa"/>
          </w:tcPr>
          <w:p w14:paraId="0232F6BD" w14:textId="098CFCB7" w:rsidR="00E1516D" w:rsidRPr="00C7476B" w:rsidRDefault="00E86BA6" w:rsidP="000F52BA">
            <w:pPr>
              <w:widowControl w:val="0"/>
              <w:spacing w:line="276" w:lineRule="auto"/>
              <w:ind w:right="-121"/>
              <w:rPr>
                <w:rFonts w:eastAsia="Times New Roman"/>
                <w:color w:val="000000"/>
                <w:sz w:val="18"/>
                <w:szCs w:val="18"/>
              </w:rPr>
            </w:pPr>
            <w:r w:rsidRPr="00C7476B">
              <w:rPr>
                <w:rFonts w:eastAsia="Times New Roman"/>
                <w:color w:val="000000"/>
                <w:sz w:val="18"/>
                <w:szCs w:val="18"/>
              </w:rPr>
              <w:t>20th November 2020</w:t>
            </w:r>
          </w:p>
        </w:tc>
        <w:tc>
          <w:tcPr>
            <w:tcW w:w="1701" w:type="dxa"/>
          </w:tcPr>
          <w:p w14:paraId="7830579F" w14:textId="10FED555" w:rsidR="00E1516D" w:rsidRPr="00C7476B" w:rsidRDefault="00E86BA6" w:rsidP="000F52BA">
            <w:pPr>
              <w:widowControl w:val="0"/>
              <w:spacing w:line="276" w:lineRule="auto"/>
              <w:ind w:right="-84"/>
              <w:rPr>
                <w:rFonts w:eastAsia="Times New Roman"/>
                <w:color w:val="000000"/>
                <w:sz w:val="18"/>
                <w:szCs w:val="18"/>
              </w:rPr>
            </w:pPr>
            <w:r w:rsidRPr="00C7476B">
              <w:rPr>
                <w:rFonts w:eastAsia="Times New Roman"/>
                <w:color w:val="000000"/>
                <w:sz w:val="18"/>
                <w:szCs w:val="18"/>
              </w:rPr>
              <w:t>None reported</w:t>
            </w:r>
          </w:p>
        </w:tc>
        <w:tc>
          <w:tcPr>
            <w:tcW w:w="1843" w:type="dxa"/>
          </w:tcPr>
          <w:p w14:paraId="719E59FC" w14:textId="23FB58E7" w:rsidR="00E1516D" w:rsidRPr="00C7476B" w:rsidRDefault="00E86BA6" w:rsidP="000F52BA">
            <w:pPr>
              <w:widowControl w:val="0"/>
              <w:spacing w:line="276" w:lineRule="auto"/>
              <w:ind w:right="-115"/>
              <w:rPr>
                <w:rFonts w:eastAsia="Times New Roman"/>
                <w:color w:val="000000"/>
                <w:sz w:val="18"/>
                <w:szCs w:val="18"/>
              </w:rPr>
            </w:pPr>
            <w:r w:rsidRPr="00C7476B">
              <w:rPr>
                <w:rFonts w:eastAsia="Times New Roman"/>
                <w:color w:val="000000"/>
                <w:sz w:val="18"/>
                <w:szCs w:val="18"/>
              </w:rPr>
              <w:t>1,128 patients with at least one-time recurrence of SARS-CoV-2</w:t>
            </w:r>
            <w:r>
              <w:rPr>
                <w:rFonts w:eastAsia="Times New Roman"/>
                <w:color w:val="000000"/>
                <w:sz w:val="18"/>
                <w:szCs w:val="18"/>
              </w:rPr>
              <w:t>.</w:t>
            </w:r>
          </w:p>
        </w:tc>
        <w:tc>
          <w:tcPr>
            <w:tcW w:w="2126" w:type="dxa"/>
          </w:tcPr>
          <w:p w14:paraId="62EF069D" w14:textId="1127F7E6" w:rsidR="00E1516D" w:rsidRPr="00C7476B" w:rsidRDefault="00E86BA6" w:rsidP="000F52BA">
            <w:pPr>
              <w:widowControl w:val="0"/>
              <w:spacing w:line="276" w:lineRule="auto"/>
              <w:ind w:right="-108"/>
              <w:rPr>
                <w:rFonts w:eastAsia="Times New Roman"/>
                <w:color w:val="000000"/>
                <w:sz w:val="18"/>
                <w:szCs w:val="18"/>
              </w:rPr>
            </w:pPr>
            <w:r w:rsidRPr="00C7476B">
              <w:rPr>
                <w:rFonts w:eastAsia="Times New Roman"/>
                <w:color w:val="000000"/>
                <w:sz w:val="18"/>
                <w:szCs w:val="18"/>
              </w:rPr>
              <w:t>Only journal articles published in English, those with the original data, and only human studies related to recurrence of SARS-CoV-2 in previously recovered patients were included.</w:t>
            </w:r>
          </w:p>
        </w:tc>
        <w:tc>
          <w:tcPr>
            <w:tcW w:w="2127" w:type="dxa"/>
          </w:tcPr>
          <w:p w14:paraId="06DDAECC" w14:textId="7CAC78F6" w:rsidR="00E1516D" w:rsidRPr="00C7476B" w:rsidRDefault="00E86BA6" w:rsidP="000F52BA">
            <w:pPr>
              <w:widowControl w:val="0"/>
              <w:spacing w:line="276" w:lineRule="auto"/>
              <w:ind w:right="-102"/>
              <w:rPr>
                <w:rFonts w:eastAsia="Times New Roman"/>
                <w:color w:val="000000"/>
                <w:sz w:val="18"/>
                <w:szCs w:val="18"/>
              </w:rPr>
            </w:pPr>
            <w:r w:rsidRPr="00C7476B">
              <w:rPr>
                <w:rFonts w:eastAsia="Times New Roman"/>
                <w:color w:val="000000"/>
                <w:sz w:val="18"/>
                <w:szCs w:val="18"/>
              </w:rPr>
              <w:t>No exclusion criteria</w:t>
            </w:r>
            <w:r>
              <w:rPr>
                <w:rFonts w:eastAsia="Times New Roman"/>
                <w:color w:val="000000"/>
                <w:sz w:val="18"/>
                <w:szCs w:val="18"/>
              </w:rPr>
              <w:t>.</w:t>
            </w:r>
          </w:p>
        </w:tc>
        <w:tc>
          <w:tcPr>
            <w:tcW w:w="992" w:type="dxa"/>
          </w:tcPr>
          <w:p w14:paraId="018781F5" w14:textId="2E270A6E" w:rsidR="00E1516D" w:rsidRPr="00C7476B" w:rsidRDefault="00E86BA6" w:rsidP="000F52BA">
            <w:pPr>
              <w:widowControl w:val="0"/>
              <w:spacing w:line="276" w:lineRule="auto"/>
              <w:ind w:right="-127"/>
              <w:rPr>
                <w:rFonts w:eastAsia="Times New Roman"/>
                <w:color w:val="000000"/>
                <w:sz w:val="18"/>
                <w:szCs w:val="18"/>
              </w:rPr>
            </w:pPr>
            <w:r w:rsidRPr="00C7476B">
              <w:rPr>
                <w:rFonts w:eastAsia="Times New Roman"/>
                <w:color w:val="000000"/>
                <w:sz w:val="18"/>
                <w:szCs w:val="18"/>
              </w:rPr>
              <w:t>66</w:t>
            </w:r>
          </w:p>
        </w:tc>
        <w:tc>
          <w:tcPr>
            <w:tcW w:w="2542" w:type="dxa"/>
          </w:tcPr>
          <w:p w14:paraId="4691502C" w14:textId="32724F59" w:rsidR="007052A8" w:rsidRPr="0050447C" w:rsidRDefault="00E86BA6" w:rsidP="003A6C3A">
            <w:pPr>
              <w:widowControl w:val="0"/>
              <w:spacing w:line="276" w:lineRule="auto"/>
              <w:ind w:right="-107"/>
              <w:rPr>
                <w:rFonts w:eastAsia="Times New Roman"/>
                <w:b/>
                <w:color w:val="FF0000"/>
              </w:rPr>
            </w:pPr>
            <w:r w:rsidRPr="00C7476B">
              <w:rPr>
                <w:rFonts w:eastAsia="Times New Roman"/>
                <w:color w:val="000000"/>
                <w:sz w:val="18"/>
                <w:szCs w:val="18"/>
              </w:rPr>
              <w:t>18 cohort studies</w:t>
            </w:r>
            <w:r w:rsidR="003A6C3A">
              <w:rPr>
                <w:rFonts w:eastAsia="Times New Roman"/>
                <w:color w:val="000000"/>
                <w:sz w:val="18"/>
                <w:szCs w:val="18"/>
              </w:rPr>
              <w:t>.</w:t>
            </w:r>
            <w:r w:rsidRPr="00C7476B">
              <w:rPr>
                <w:rFonts w:eastAsia="Times New Roman"/>
                <w:color w:val="000000"/>
                <w:sz w:val="18"/>
                <w:szCs w:val="18"/>
              </w:rPr>
              <w:br/>
            </w:r>
            <w:r w:rsidRPr="00C7476B">
              <w:rPr>
                <w:rFonts w:eastAsia="Times New Roman"/>
                <w:color w:val="000000"/>
                <w:sz w:val="18"/>
                <w:szCs w:val="18"/>
              </w:rPr>
              <w:br/>
            </w:r>
            <w:r w:rsidR="003A6C3A">
              <w:rPr>
                <w:rFonts w:eastAsia="Times New Roman"/>
                <w:color w:val="000000"/>
                <w:sz w:val="18"/>
                <w:szCs w:val="18"/>
              </w:rPr>
              <w:t>On re-infection but related regarding viral persistence.</w:t>
            </w:r>
          </w:p>
        </w:tc>
      </w:tr>
      <w:tr w:rsidR="00392509" w14:paraId="4B1D2A95" w14:textId="77777777" w:rsidTr="00CE4F22">
        <w:tc>
          <w:tcPr>
            <w:tcW w:w="988" w:type="dxa"/>
          </w:tcPr>
          <w:p w14:paraId="7C871F13" w14:textId="70445F08" w:rsidR="00392509" w:rsidRPr="00392509" w:rsidRDefault="00392509" w:rsidP="00536FB5">
            <w:pPr>
              <w:widowControl w:val="0"/>
              <w:spacing w:line="276" w:lineRule="auto"/>
              <w:ind w:right="-92"/>
              <w:rPr>
                <w:rFonts w:eastAsia="Times New Roman"/>
                <w:b/>
                <w:color w:val="000000"/>
                <w:sz w:val="18"/>
                <w:szCs w:val="18"/>
              </w:rPr>
            </w:pPr>
            <w:r w:rsidRPr="00392509">
              <w:rPr>
                <w:rFonts w:eastAsia="Times New Roman"/>
                <w:b/>
                <w:color w:val="000000"/>
                <w:sz w:val="18"/>
                <w:szCs w:val="18"/>
              </w:rPr>
              <w:t>Willi 2021</w:t>
            </w:r>
          </w:p>
        </w:tc>
        <w:tc>
          <w:tcPr>
            <w:tcW w:w="1417" w:type="dxa"/>
          </w:tcPr>
          <w:p w14:paraId="66C02578" w14:textId="2A1AD9D6" w:rsidR="00392509" w:rsidRPr="00392509" w:rsidRDefault="00392509" w:rsidP="000F52BA">
            <w:pPr>
              <w:widowControl w:val="0"/>
              <w:spacing w:line="276" w:lineRule="auto"/>
              <w:ind w:right="-69"/>
              <w:rPr>
                <w:rFonts w:eastAsia="Times New Roman"/>
                <w:i/>
                <w:color w:val="000000"/>
                <w:sz w:val="18"/>
                <w:szCs w:val="18"/>
              </w:rPr>
            </w:pPr>
            <w:r w:rsidRPr="00392509">
              <w:rPr>
                <w:rFonts w:eastAsia="Times New Roman"/>
                <w:i/>
                <w:color w:val="000000"/>
                <w:sz w:val="18"/>
                <w:szCs w:val="18"/>
              </w:rPr>
              <w:t>COVID-19 sequelae in adults aged less than 50 years: A systematic review</w:t>
            </w:r>
          </w:p>
        </w:tc>
        <w:tc>
          <w:tcPr>
            <w:tcW w:w="851" w:type="dxa"/>
          </w:tcPr>
          <w:p w14:paraId="746A5950" w14:textId="749357F2" w:rsidR="00392509" w:rsidRPr="00392509" w:rsidRDefault="00392509" w:rsidP="00392509">
            <w:pPr>
              <w:widowControl w:val="0"/>
              <w:spacing w:line="276" w:lineRule="auto"/>
              <w:ind w:left="-80" w:right="-179"/>
              <w:rPr>
                <w:rFonts w:eastAsia="Times New Roman"/>
                <w:color w:val="000000"/>
                <w:spacing w:val="-10"/>
                <w:sz w:val="18"/>
                <w:szCs w:val="18"/>
              </w:rPr>
            </w:pPr>
            <w:r w:rsidRPr="00392509">
              <w:rPr>
                <w:rFonts w:eastAsia="Times New Roman"/>
                <w:color w:val="000000"/>
                <w:spacing w:val="-10"/>
                <w:sz w:val="18"/>
                <w:szCs w:val="18"/>
              </w:rPr>
              <w:t>Switzerland</w:t>
            </w:r>
          </w:p>
        </w:tc>
        <w:tc>
          <w:tcPr>
            <w:tcW w:w="1984" w:type="dxa"/>
          </w:tcPr>
          <w:p w14:paraId="2EF14168" w14:textId="4E6BDAF0" w:rsidR="00392509" w:rsidRPr="00392509" w:rsidRDefault="00D0791D" w:rsidP="00D0791D">
            <w:pPr>
              <w:widowControl w:val="0"/>
              <w:spacing w:line="276" w:lineRule="auto"/>
              <w:ind w:right="-111"/>
              <w:rPr>
                <w:rFonts w:eastAsia="Times New Roman"/>
                <w:color w:val="000000"/>
                <w:spacing w:val="-20"/>
                <w:sz w:val="18"/>
                <w:szCs w:val="18"/>
              </w:rPr>
            </w:pPr>
            <w:r w:rsidRPr="000041AB">
              <w:rPr>
                <w:rFonts w:eastAsia="Times New Roman"/>
                <w:color w:val="000000"/>
                <w:sz w:val="18"/>
                <w:szCs w:val="18"/>
              </w:rPr>
              <w:t xml:space="preserve">Databases: Embase; WHO; Scopus; PubMed; </w:t>
            </w:r>
            <w:proofErr w:type="spellStart"/>
            <w:r w:rsidRPr="000041AB">
              <w:rPr>
                <w:rFonts w:eastAsia="Times New Roman"/>
                <w:color w:val="000000"/>
                <w:sz w:val="18"/>
                <w:szCs w:val="18"/>
              </w:rPr>
              <w:t>Litcovid</w:t>
            </w:r>
            <w:proofErr w:type="spellEnd"/>
            <w:r w:rsidRPr="000041AB">
              <w:rPr>
                <w:rFonts w:eastAsia="Times New Roman"/>
                <w:color w:val="000000"/>
                <w:sz w:val="18"/>
                <w:szCs w:val="18"/>
              </w:rPr>
              <w:t xml:space="preserve">; </w:t>
            </w:r>
            <w:proofErr w:type="spellStart"/>
            <w:r w:rsidRPr="000041AB">
              <w:rPr>
                <w:rFonts w:eastAsia="Times New Roman"/>
                <w:color w:val="000000"/>
                <w:sz w:val="18"/>
                <w:szCs w:val="18"/>
              </w:rPr>
              <w:t>bioRxiv</w:t>
            </w:r>
            <w:proofErr w:type="spellEnd"/>
            <w:r w:rsidRPr="000041AB">
              <w:rPr>
                <w:rFonts w:eastAsia="Times New Roman"/>
                <w:color w:val="000000"/>
                <w:sz w:val="18"/>
                <w:szCs w:val="18"/>
              </w:rPr>
              <w:t xml:space="preserve">; </w:t>
            </w:r>
            <w:proofErr w:type="spellStart"/>
            <w:r w:rsidRPr="000041AB">
              <w:rPr>
                <w:rFonts w:eastAsia="Times New Roman"/>
                <w:color w:val="000000"/>
                <w:sz w:val="18"/>
                <w:szCs w:val="18"/>
              </w:rPr>
              <w:t>medRxiv</w:t>
            </w:r>
            <w:proofErr w:type="spellEnd"/>
            <w:r>
              <w:rPr>
                <w:rFonts w:eastAsia="Times New Roman"/>
                <w:color w:val="000000"/>
                <w:sz w:val="18"/>
                <w:szCs w:val="18"/>
              </w:rPr>
              <w:t>.</w:t>
            </w:r>
            <w:r w:rsidRPr="000041AB">
              <w:rPr>
                <w:rFonts w:eastAsia="Times New Roman"/>
                <w:color w:val="000000"/>
                <w:sz w:val="18"/>
                <w:szCs w:val="18"/>
              </w:rPr>
              <w:br/>
              <w:t xml:space="preserve">Search terms: </w:t>
            </w:r>
            <w:r w:rsidR="00091E6C">
              <w:rPr>
                <w:rFonts w:eastAsia="Times New Roman"/>
                <w:color w:val="000000"/>
                <w:sz w:val="18"/>
                <w:szCs w:val="18"/>
              </w:rPr>
              <w:t>“</w:t>
            </w:r>
            <w:r w:rsidRPr="000041AB">
              <w:rPr>
                <w:rFonts w:eastAsia="Times New Roman"/>
                <w:color w:val="000000"/>
                <w:sz w:val="18"/>
                <w:szCs w:val="18"/>
              </w:rPr>
              <w:t>COVID-19</w:t>
            </w:r>
            <w:r w:rsidR="00091E6C">
              <w:rPr>
                <w:rFonts w:eastAsia="Times New Roman"/>
                <w:color w:val="000000"/>
                <w:sz w:val="18"/>
                <w:szCs w:val="18"/>
              </w:rPr>
              <w:t>”</w:t>
            </w:r>
            <w:r w:rsidRPr="000041AB">
              <w:rPr>
                <w:rFonts w:eastAsia="Times New Roman"/>
                <w:color w:val="000000"/>
                <w:sz w:val="18"/>
                <w:szCs w:val="18"/>
              </w:rPr>
              <w:t xml:space="preserve">, </w:t>
            </w:r>
            <w:r w:rsidR="00091E6C">
              <w:rPr>
                <w:rFonts w:eastAsia="Times New Roman"/>
                <w:color w:val="000000"/>
                <w:sz w:val="18"/>
                <w:szCs w:val="18"/>
              </w:rPr>
              <w:t>“</w:t>
            </w:r>
            <w:r w:rsidRPr="000041AB">
              <w:rPr>
                <w:rFonts w:eastAsia="Times New Roman"/>
                <w:color w:val="000000"/>
                <w:sz w:val="18"/>
                <w:szCs w:val="18"/>
              </w:rPr>
              <w:t>coronavirus disease 2019</w:t>
            </w:r>
            <w:r w:rsidR="00091E6C">
              <w:rPr>
                <w:rFonts w:eastAsia="Times New Roman"/>
                <w:color w:val="000000"/>
                <w:sz w:val="18"/>
                <w:szCs w:val="18"/>
              </w:rPr>
              <w:t>”</w:t>
            </w:r>
            <w:r w:rsidRPr="000041AB">
              <w:rPr>
                <w:rFonts w:eastAsia="Times New Roman"/>
                <w:color w:val="000000"/>
                <w:sz w:val="18"/>
                <w:szCs w:val="18"/>
              </w:rPr>
              <w:t xml:space="preserve">, </w:t>
            </w:r>
            <w:r w:rsidR="00091E6C">
              <w:rPr>
                <w:rFonts w:eastAsia="Times New Roman"/>
                <w:color w:val="000000"/>
                <w:sz w:val="18"/>
                <w:szCs w:val="18"/>
              </w:rPr>
              <w:t>“</w:t>
            </w:r>
            <w:r w:rsidRPr="000041AB">
              <w:rPr>
                <w:rFonts w:eastAsia="Times New Roman"/>
                <w:color w:val="000000"/>
                <w:sz w:val="18"/>
                <w:szCs w:val="18"/>
              </w:rPr>
              <w:t>SARS-CoV-2</w:t>
            </w:r>
            <w:r w:rsidR="00091E6C">
              <w:rPr>
                <w:rFonts w:eastAsia="Times New Roman"/>
                <w:color w:val="000000"/>
                <w:sz w:val="18"/>
                <w:szCs w:val="18"/>
              </w:rPr>
              <w:t>”</w:t>
            </w:r>
            <w:r w:rsidRPr="000041AB">
              <w:rPr>
                <w:rFonts w:eastAsia="Times New Roman"/>
                <w:color w:val="000000"/>
                <w:sz w:val="18"/>
                <w:szCs w:val="18"/>
              </w:rPr>
              <w:t xml:space="preserve">, </w:t>
            </w:r>
            <w:r w:rsidR="00091E6C">
              <w:rPr>
                <w:rFonts w:eastAsia="Times New Roman"/>
                <w:color w:val="000000"/>
                <w:sz w:val="18"/>
                <w:szCs w:val="18"/>
              </w:rPr>
              <w:t>“</w:t>
            </w:r>
            <w:r w:rsidRPr="000041AB">
              <w:rPr>
                <w:rFonts w:eastAsia="Times New Roman"/>
                <w:color w:val="000000"/>
                <w:sz w:val="18"/>
                <w:szCs w:val="18"/>
              </w:rPr>
              <w:t>sequelae</w:t>
            </w:r>
            <w:r w:rsidR="00091E6C">
              <w:rPr>
                <w:rFonts w:eastAsia="Times New Roman"/>
                <w:color w:val="000000"/>
                <w:sz w:val="18"/>
                <w:szCs w:val="18"/>
              </w:rPr>
              <w:t>”</w:t>
            </w:r>
            <w:r w:rsidRPr="000041AB">
              <w:rPr>
                <w:rFonts w:eastAsia="Times New Roman"/>
                <w:color w:val="000000"/>
                <w:sz w:val="18"/>
                <w:szCs w:val="18"/>
              </w:rPr>
              <w:t xml:space="preserve"> and </w:t>
            </w:r>
            <w:r w:rsidR="00091E6C">
              <w:rPr>
                <w:rFonts w:eastAsia="Times New Roman"/>
                <w:color w:val="000000"/>
                <w:sz w:val="18"/>
                <w:szCs w:val="18"/>
              </w:rPr>
              <w:t>“</w:t>
            </w:r>
            <w:r w:rsidRPr="000041AB">
              <w:rPr>
                <w:rFonts w:eastAsia="Times New Roman"/>
                <w:color w:val="000000"/>
                <w:sz w:val="18"/>
                <w:szCs w:val="18"/>
              </w:rPr>
              <w:t>consequence*</w:t>
            </w:r>
            <w:r w:rsidR="00091E6C">
              <w:rPr>
                <w:rFonts w:eastAsia="Times New Roman"/>
                <w:color w:val="000000"/>
                <w:sz w:val="18"/>
                <w:szCs w:val="18"/>
              </w:rPr>
              <w:t>”</w:t>
            </w:r>
            <w:r w:rsidRPr="000041AB">
              <w:rPr>
                <w:rFonts w:eastAsia="Times New Roman"/>
                <w:color w:val="000000"/>
                <w:sz w:val="18"/>
                <w:szCs w:val="18"/>
              </w:rPr>
              <w:t xml:space="preserve">; </w:t>
            </w:r>
            <w:r w:rsidR="00091E6C">
              <w:rPr>
                <w:rFonts w:eastAsia="Times New Roman"/>
                <w:color w:val="000000"/>
                <w:sz w:val="18"/>
                <w:szCs w:val="18"/>
              </w:rPr>
              <w:t>“</w:t>
            </w:r>
            <w:r w:rsidRPr="000041AB">
              <w:rPr>
                <w:rFonts w:eastAsia="Times New Roman"/>
                <w:color w:val="000000"/>
                <w:sz w:val="18"/>
                <w:szCs w:val="18"/>
              </w:rPr>
              <w:t>child*</w:t>
            </w:r>
            <w:r w:rsidR="00091E6C">
              <w:rPr>
                <w:rFonts w:eastAsia="Times New Roman"/>
                <w:color w:val="000000"/>
                <w:sz w:val="18"/>
                <w:szCs w:val="18"/>
              </w:rPr>
              <w:t>”</w:t>
            </w:r>
            <w:r w:rsidRPr="000041AB">
              <w:rPr>
                <w:rFonts w:eastAsia="Times New Roman"/>
                <w:color w:val="000000"/>
                <w:sz w:val="18"/>
                <w:szCs w:val="18"/>
              </w:rPr>
              <w:t xml:space="preserve"> and </w:t>
            </w:r>
            <w:r w:rsidR="00091E6C">
              <w:rPr>
                <w:rFonts w:eastAsia="Times New Roman"/>
                <w:color w:val="000000"/>
                <w:sz w:val="18"/>
                <w:szCs w:val="18"/>
              </w:rPr>
              <w:t>“</w:t>
            </w:r>
            <w:proofErr w:type="spellStart"/>
            <w:r w:rsidRPr="000041AB">
              <w:rPr>
                <w:rFonts w:eastAsia="Times New Roman"/>
                <w:color w:val="000000"/>
                <w:sz w:val="18"/>
                <w:szCs w:val="18"/>
              </w:rPr>
              <w:t>pregnant</w:t>
            </w:r>
            <w:r w:rsidR="00091E6C">
              <w:rPr>
                <w:rFonts w:eastAsia="Times New Roman"/>
                <w:color w:val="000000"/>
                <w:sz w:val="18"/>
                <w:szCs w:val="18"/>
              </w:rPr>
              <w:t>”</w:t>
            </w:r>
            <w:r w:rsidRPr="000041AB">
              <w:rPr>
                <w:rFonts w:eastAsia="Times New Roman"/>
                <w:color w:val="000000"/>
                <w:sz w:val="18"/>
                <w:szCs w:val="18"/>
              </w:rPr>
              <w:t>served</w:t>
            </w:r>
            <w:proofErr w:type="spellEnd"/>
            <w:r w:rsidRPr="000041AB">
              <w:rPr>
                <w:rFonts w:eastAsia="Times New Roman"/>
                <w:color w:val="000000"/>
                <w:sz w:val="18"/>
                <w:szCs w:val="18"/>
              </w:rPr>
              <w:t xml:space="preserve"> as negative qualifier.</w:t>
            </w:r>
            <w:r w:rsidRPr="000041AB">
              <w:rPr>
                <w:rFonts w:eastAsia="Times New Roman"/>
                <w:color w:val="000000"/>
                <w:sz w:val="18"/>
                <w:szCs w:val="18"/>
              </w:rPr>
              <w:br/>
            </w:r>
          </w:p>
        </w:tc>
        <w:tc>
          <w:tcPr>
            <w:tcW w:w="1985" w:type="dxa"/>
          </w:tcPr>
          <w:p w14:paraId="7867099F" w14:textId="7F1E9677" w:rsidR="00392509" w:rsidRPr="00C7476B" w:rsidRDefault="00E630A7" w:rsidP="000F52BA">
            <w:pPr>
              <w:widowControl w:val="0"/>
              <w:spacing w:line="276" w:lineRule="auto"/>
              <w:ind w:right="-60"/>
              <w:rPr>
                <w:rFonts w:eastAsia="Times New Roman"/>
                <w:color w:val="000000"/>
                <w:sz w:val="18"/>
                <w:szCs w:val="18"/>
              </w:rPr>
            </w:pPr>
            <w:r w:rsidRPr="000041AB">
              <w:rPr>
                <w:rFonts w:eastAsia="Times New Roman"/>
                <w:color w:val="000000"/>
                <w:sz w:val="18"/>
                <w:szCs w:val="18"/>
              </w:rPr>
              <w:t>To evaluate the available evidence of all intermediate and long-term COVID-19 sequelae affecting formerly healthy adults aged 18-50 years.</w:t>
            </w:r>
          </w:p>
        </w:tc>
        <w:tc>
          <w:tcPr>
            <w:tcW w:w="1842" w:type="dxa"/>
          </w:tcPr>
          <w:p w14:paraId="34E9E1A3" w14:textId="77777777" w:rsidR="00E630A7" w:rsidRDefault="00E630A7" w:rsidP="000F52BA">
            <w:pPr>
              <w:widowControl w:val="0"/>
              <w:spacing w:line="276" w:lineRule="auto"/>
              <w:ind w:right="-106"/>
              <w:rPr>
                <w:rFonts w:eastAsia="Times New Roman"/>
                <w:color w:val="000000"/>
                <w:sz w:val="18"/>
                <w:szCs w:val="18"/>
              </w:rPr>
            </w:pPr>
            <w:r w:rsidRPr="000041AB">
              <w:rPr>
                <w:rFonts w:eastAsia="Times New Roman"/>
                <w:color w:val="000000"/>
                <w:sz w:val="18"/>
                <w:szCs w:val="18"/>
              </w:rPr>
              <w:t xml:space="preserve">No restriction </w:t>
            </w:r>
          </w:p>
          <w:p w14:paraId="23E9069C" w14:textId="5A9583B0" w:rsidR="00392509" w:rsidRPr="00C7476B" w:rsidRDefault="00E630A7" w:rsidP="000F52BA">
            <w:pPr>
              <w:widowControl w:val="0"/>
              <w:spacing w:line="276" w:lineRule="auto"/>
              <w:ind w:right="-106"/>
              <w:rPr>
                <w:rFonts w:eastAsia="Times New Roman"/>
                <w:color w:val="000000"/>
                <w:sz w:val="18"/>
                <w:szCs w:val="18"/>
              </w:rPr>
            </w:pPr>
            <w:r w:rsidRPr="000041AB">
              <w:rPr>
                <w:rFonts w:eastAsia="Times New Roman"/>
                <w:color w:val="000000"/>
                <w:sz w:val="18"/>
                <w:szCs w:val="18"/>
              </w:rPr>
              <w:t>Study types included prospective (n=11) and retrospective (n=11) cohort studies, cross-sectional studies (n=4), and case reports (n=5).</w:t>
            </w:r>
          </w:p>
        </w:tc>
        <w:tc>
          <w:tcPr>
            <w:tcW w:w="1134" w:type="dxa"/>
          </w:tcPr>
          <w:p w14:paraId="3DAF4D3D" w14:textId="57F1451C" w:rsidR="00392509" w:rsidRPr="00C7476B" w:rsidRDefault="00E630A7" w:rsidP="000F52BA">
            <w:pPr>
              <w:widowControl w:val="0"/>
              <w:spacing w:line="276" w:lineRule="auto"/>
              <w:ind w:right="-100"/>
              <w:rPr>
                <w:rFonts w:eastAsia="Times New Roman"/>
                <w:color w:val="000000"/>
                <w:sz w:val="18"/>
                <w:szCs w:val="18"/>
              </w:rPr>
            </w:pPr>
            <w:r w:rsidRPr="000041AB">
              <w:rPr>
                <w:rFonts w:eastAsia="Times New Roman"/>
                <w:color w:val="000000"/>
                <w:sz w:val="18"/>
                <w:szCs w:val="18"/>
              </w:rPr>
              <w:t>Not specified</w:t>
            </w:r>
          </w:p>
        </w:tc>
        <w:tc>
          <w:tcPr>
            <w:tcW w:w="1134" w:type="dxa"/>
          </w:tcPr>
          <w:p w14:paraId="0932EA57" w14:textId="08E9FE70" w:rsidR="00392509" w:rsidRPr="00C7476B" w:rsidRDefault="00E630A7" w:rsidP="000F52BA">
            <w:pPr>
              <w:widowControl w:val="0"/>
              <w:spacing w:line="276" w:lineRule="auto"/>
              <w:ind w:right="-121"/>
              <w:rPr>
                <w:rFonts w:eastAsia="Times New Roman"/>
                <w:color w:val="000000"/>
                <w:sz w:val="18"/>
                <w:szCs w:val="18"/>
              </w:rPr>
            </w:pPr>
            <w:r w:rsidRPr="000041AB">
              <w:rPr>
                <w:rFonts w:eastAsia="Times New Roman"/>
                <w:color w:val="000000"/>
                <w:sz w:val="18"/>
                <w:szCs w:val="18"/>
              </w:rPr>
              <w:t>15th September 2020</w:t>
            </w:r>
          </w:p>
        </w:tc>
        <w:tc>
          <w:tcPr>
            <w:tcW w:w="1701" w:type="dxa"/>
          </w:tcPr>
          <w:p w14:paraId="0154C288" w14:textId="3FB9F191" w:rsidR="00392509" w:rsidRPr="00C7476B" w:rsidRDefault="00E630A7" w:rsidP="000F52BA">
            <w:pPr>
              <w:widowControl w:val="0"/>
              <w:spacing w:line="276" w:lineRule="auto"/>
              <w:ind w:right="-84"/>
              <w:rPr>
                <w:rFonts w:eastAsia="Times New Roman"/>
                <w:color w:val="000000"/>
                <w:sz w:val="18"/>
                <w:szCs w:val="18"/>
              </w:rPr>
            </w:pPr>
            <w:r w:rsidRPr="000041AB">
              <w:rPr>
                <w:rFonts w:eastAsia="Times New Roman"/>
                <w:color w:val="000000"/>
                <w:sz w:val="18"/>
                <w:szCs w:val="18"/>
              </w:rPr>
              <w:t>Maxi Foundation (Zurich)</w:t>
            </w:r>
            <w:r>
              <w:rPr>
                <w:rFonts w:eastAsia="Times New Roman"/>
                <w:color w:val="000000"/>
                <w:sz w:val="18"/>
                <w:szCs w:val="18"/>
              </w:rPr>
              <w:t xml:space="preserve"> and </w:t>
            </w:r>
            <w:proofErr w:type="spellStart"/>
            <w:r w:rsidRPr="000041AB">
              <w:rPr>
                <w:rFonts w:eastAsia="Times New Roman"/>
                <w:color w:val="000000"/>
                <w:sz w:val="18"/>
                <w:szCs w:val="18"/>
              </w:rPr>
              <w:t>MilMedBiol</w:t>
            </w:r>
            <w:proofErr w:type="spellEnd"/>
            <w:r>
              <w:rPr>
                <w:rFonts w:eastAsia="Times New Roman"/>
                <w:color w:val="000000"/>
                <w:sz w:val="18"/>
                <w:szCs w:val="18"/>
              </w:rPr>
              <w:t>.</w:t>
            </w:r>
          </w:p>
        </w:tc>
        <w:tc>
          <w:tcPr>
            <w:tcW w:w="1843" w:type="dxa"/>
          </w:tcPr>
          <w:p w14:paraId="2BB7945A" w14:textId="073A12E4" w:rsidR="00392509" w:rsidRPr="00C7476B" w:rsidRDefault="00BF1D91" w:rsidP="000F52BA">
            <w:pPr>
              <w:widowControl w:val="0"/>
              <w:spacing w:line="276" w:lineRule="auto"/>
              <w:ind w:right="-115"/>
              <w:rPr>
                <w:rFonts w:eastAsia="Times New Roman"/>
                <w:color w:val="000000"/>
                <w:sz w:val="18"/>
                <w:szCs w:val="18"/>
              </w:rPr>
            </w:pPr>
            <w:r w:rsidRPr="000041AB">
              <w:rPr>
                <w:rFonts w:eastAsia="Times New Roman"/>
                <w:color w:val="000000"/>
                <w:sz w:val="18"/>
                <w:szCs w:val="18"/>
              </w:rPr>
              <w:t>Adults aged 18-50 years with confirmed SARS-CoV-2 infection. Both sexes and formerly healthy participants as well as participants at risk were included.</w:t>
            </w:r>
          </w:p>
        </w:tc>
        <w:tc>
          <w:tcPr>
            <w:tcW w:w="2126" w:type="dxa"/>
          </w:tcPr>
          <w:p w14:paraId="132F8EA3" w14:textId="77777777" w:rsidR="00BF1D91" w:rsidRDefault="00BF1D91" w:rsidP="000F52BA">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0041AB">
              <w:rPr>
                <w:rFonts w:eastAsia="Times New Roman"/>
                <w:color w:val="000000"/>
                <w:sz w:val="18"/>
                <w:szCs w:val="18"/>
              </w:rPr>
              <w:t>Studies including original data and systematic and narrative reviews</w:t>
            </w:r>
          </w:p>
          <w:p w14:paraId="6B361D3C" w14:textId="77777777" w:rsidR="00BF1D91" w:rsidRDefault="00BF1D91" w:rsidP="000F52BA">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0041AB">
              <w:rPr>
                <w:rFonts w:eastAsia="Times New Roman"/>
                <w:color w:val="000000"/>
                <w:sz w:val="18"/>
                <w:szCs w:val="18"/>
              </w:rPr>
              <w:t>English language publications, including preprints</w:t>
            </w:r>
          </w:p>
          <w:p w14:paraId="6046AD5A" w14:textId="77777777" w:rsidR="00BF1D91" w:rsidRDefault="00BF1D91" w:rsidP="000F52BA">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0041AB">
              <w:rPr>
                <w:rFonts w:eastAsia="Times New Roman"/>
                <w:color w:val="000000"/>
                <w:sz w:val="18"/>
                <w:szCs w:val="18"/>
              </w:rPr>
              <w:t>Subjects with confirmed SARS-CoV-2 infection</w:t>
            </w:r>
          </w:p>
          <w:p w14:paraId="66919783" w14:textId="24A51F70" w:rsidR="00BF1D91" w:rsidRDefault="00BF1D91" w:rsidP="000F52BA">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0041AB">
              <w:rPr>
                <w:rFonts w:eastAsia="Times New Roman"/>
                <w:color w:val="000000"/>
                <w:sz w:val="18"/>
                <w:szCs w:val="18"/>
              </w:rPr>
              <w:t>Both sexes and formerly healthy participants as well as participants at risk</w:t>
            </w:r>
            <w:r>
              <w:rPr>
                <w:rFonts w:eastAsia="Times New Roman"/>
                <w:color w:val="000000"/>
                <w:sz w:val="18"/>
                <w:szCs w:val="18"/>
              </w:rPr>
              <w:t>.</w:t>
            </w:r>
          </w:p>
          <w:p w14:paraId="3CC31C56" w14:textId="75F07428" w:rsidR="00392509" w:rsidRPr="00C7476B" w:rsidRDefault="00392509" w:rsidP="000F52BA">
            <w:pPr>
              <w:widowControl w:val="0"/>
              <w:spacing w:line="276" w:lineRule="auto"/>
              <w:ind w:right="-108"/>
              <w:rPr>
                <w:rFonts w:eastAsia="Times New Roman"/>
                <w:color w:val="000000"/>
                <w:sz w:val="18"/>
                <w:szCs w:val="18"/>
              </w:rPr>
            </w:pPr>
          </w:p>
        </w:tc>
        <w:tc>
          <w:tcPr>
            <w:tcW w:w="2127" w:type="dxa"/>
          </w:tcPr>
          <w:p w14:paraId="2422D3D7" w14:textId="20BD7378" w:rsidR="00392509" w:rsidRPr="00C7476B" w:rsidRDefault="00BF1D91" w:rsidP="000F52BA">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0041AB">
              <w:rPr>
                <w:rFonts w:eastAsia="Times New Roman"/>
                <w:color w:val="000000"/>
                <w:sz w:val="18"/>
                <w:szCs w:val="18"/>
              </w:rPr>
              <w:t>Articles including children (&lt;18 years) or only elderly (&gt;50 years)</w:t>
            </w:r>
            <w:r w:rsidRPr="000041AB">
              <w:rPr>
                <w:rFonts w:eastAsia="Times New Roman"/>
                <w:color w:val="000000"/>
                <w:sz w:val="18"/>
                <w:szCs w:val="18"/>
              </w:rPr>
              <w:br/>
            </w:r>
            <w:r>
              <w:rPr>
                <w:rFonts w:eastAsia="Times New Roman"/>
                <w:color w:val="000000"/>
                <w:sz w:val="18"/>
                <w:szCs w:val="18"/>
              </w:rPr>
              <w:t xml:space="preserve">- </w:t>
            </w:r>
            <w:r w:rsidRPr="000041AB">
              <w:rPr>
                <w:rFonts w:eastAsia="Times New Roman"/>
                <w:color w:val="000000"/>
                <w:sz w:val="18"/>
                <w:szCs w:val="18"/>
              </w:rPr>
              <w:t>Animal, laboratory or in vitro studies</w:t>
            </w:r>
            <w:r>
              <w:rPr>
                <w:rFonts w:eastAsia="Times New Roman"/>
                <w:color w:val="000000"/>
                <w:sz w:val="18"/>
                <w:szCs w:val="18"/>
              </w:rPr>
              <w:t>.</w:t>
            </w:r>
          </w:p>
        </w:tc>
        <w:tc>
          <w:tcPr>
            <w:tcW w:w="992" w:type="dxa"/>
          </w:tcPr>
          <w:p w14:paraId="6725B0ED" w14:textId="5F8B9C5A" w:rsidR="00392509" w:rsidRPr="00C7476B" w:rsidRDefault="00BF1D91" w:rsidP="000F52BA">
            <w:pPr>
              <w:widowControl w:val="0"/>
              <w:spacing w:line="276" w:lineRule="auto"/>
              <w:ind w:right="-127"/>
              <w:rPr>
                <w:rFonts w:eastAsia="Times New Roman"/>
                <w:color w:val="000000"/>
                <w:sz w:val="18"/>
                <w:szCs w:val="18"/>
              </w:rPr>
            </w:pPr>
            <w:r w:rsidRPr="000041AB">
              <w:rPr>
                <w:rFonts w:eastAsia="Times New Roman"/>
                <w:color w:val="000000"/>
                <w:sz w:val="18"/>
                <w:szCs w:val="18"/>
              </w:rPr>
              <w:t>31</w:t>
            </w:r>
          </w:p>
        </w:tc>
        <w:tc>
          <w:tcPr>
            <w:tcW w:w="2542" w:type="dxa"/>
          </w:tcPr>
          <w:p w14:paraId="2C015B6D" w14:textId="258434BD" w:rsidR="00392509" w:rsidRPr="00C7476B" w:rsidRDefault="00BF1D91" w:rsidP="000F52BA">
            <w:pPr>
              <w:widowControl w:val="0"/>
              <w:spacing w:line="276" w:lineRule="auto"/>
              <w:ind w:right="-107"/>
              <w:rPr>
                <w:rFonts w:eastAsia="Times New Roman"/>
                <w:color w:val="000000"/>
                <w:sz w:val="18"/>
                <w:szCs w:val="18"/>
              </w:rPr>
            </w:pPr>
            <w:r w:rsidRPr="000041AB">
              <w:rPr>
                <w:rFonts w:eastAsia="Times New Roman"/>
                <w:color w:val="000000"/>
                <w:sz w:val="18"/>
                <w:szCs w:val="18"/>
              </w:rPr>
              <w:t>Risk of bias assessment performed using a modified Newcastle-Ottawa Scale for assessing the quality of non-randomised studies (except case reports): "very good" for n=4; "good" for n=5; "satisfactory" for n=12; "unsatisfactory" for n=5; no rating for case reports n=5</w:t>
            </w:r>
            <w:r>
              <w:rPr>
                <w:rFonts w:eastAsia="Times New Roman"/>
                <w:color w:val="000000"/>
                <w:sz w:val="18"/>
                <w:szCs w:val="18"/>
              </w:rPr>
              <w:t>.</w:t>
            </w:r>
          </w:p>
        </w:tc>
      </w:tr>
      <w:tr w:rsidR="00917E5B" w14:paraId="497CDE65" w14:textId="77777777" w:rsidTr="00CE4F22">
        <w:tc>
          <w:tcPr>
            <w:tcW w:w="988" w:type="dxa"/>
          </w:tcPr>
          <w:p w14:paraId="2DABFBF2" w14:textId="2400C660" w:rsidR="00917E5B" w:rsidRPr="00355B84" w:rsidRDefault="00917E5B" w:rsidP="00917E5B">
            <w:pPr>
              <w:widowControl w:val="0"/>
              <w:spacing w:line="276" w:lineRule="auto"/>
              <w:ind w:right="-92"/>
              <w:rPr>
                <w:rFonts w:eastAsia="Times New Roman"/>
                <w:b/>
                <w:color w:val="000000"/>
                <w:sz w:val="18"/>
                <w:szCs w:val="18"/>
              </w:rPr>
            </w:pPr>
            <w:r w:rsidRPr="00355B84">
              <w:rPr>
                <w:rFonts w:eastAsia="Times New Roman"/>
                <w:b/>
                <w:color w:val="000000"/>
                <w:sz w:val="18"/>
                <w:szCs w:val="18"/>
              </w:rPr>
              <w:t>Ramadan 2021</w:t>
            </w:r>
          </w:p>
        </w:tc>
        <w:tc>
          <w:tcPr>
            <w:tcW w:w="1417" w:type="dxa"/>
          </w:tcPr>
          <w:p w14:paraId="39ED3E25" w14:textId="57CA32C8" w:rsidR="00917E5B" w:rsidRPr="00355B84" w:rsidRDefault="00917E5B" w:rsidP="00917E5B">
            <w:pPr>
              <w:widowControl w:val="0"/>
              <w:spacing w:line="276" w:lineRule="auto"/>
              <w:ind w:right="-69"/>
              <w:rPr>
                <w:rFonts w:eastAsia="Times New Roman"/>
                <w:i/>
                <w:color w:val="000000"/>
                <w:sz w:val="18"/>
                <w:szCs w:val="18"/>
              </w:rPr>
            </w:pPr>
            <w:r w:rsidRPr="00355B84">
              <w:rPr>
                <w:rFonts w:eastAsia="Times New Roman"/>
                <w:i/>
                <w:color w:val="000000"/>
                <w:sz w:val="18"/>
                <w:szCs w:val="18"/>
              </w:rPr>
              <w:t>Cardiac sequelae after coronavirus disease 2019 recovery: a systematic review</w:t>
            </w:r>
          </w:p>
        </w:tc>
        <w:tc>
          <w:tcPr>
            <w:tcW w:w="851" w:type="dxa"/>
          </w:tcPr>
          <w:p w14:paraId="5D75D301" w14:textId="4907D0B9" w:rsidR="00917E5B" w:rsidRPr="00392509" w:rsidRDefault="00917E5B" w:rsidP="00917E5B">
            <w:pPr>
              <w:widowControl w:val="0"/>
              <w:spacing w:line="276" w:lineRule="auto"/>
              <w:ind w:left="-80" w:right="-179"/>
              <w:rPr>
                <w:rFonts w:eastAsia="Times New Roman"/>
                <w:color w:val="000000"/>
                <w:spacing w:val="-10"/>
                <w:sz w:val="18"/>
                <w:szCs w:val="18"/>
              </w:rPr>
            </w:pPr>
            <w:r w:rsidRPr="001C1FEA">
              <w:rPr>
                <w:rFonts w:eastAsia="Times New Roman"/>
                <w:color w:val="000000"/>
                <w:sz w:val="18"/>
                <w:szCs w:val="18"/>
              </w:rPr>
              <w:t>Italy</w:t>
            </w:r>
          </w:p>
        </w:tc>
        <w:tc>
          <w:tcPr>
            <w:tcW w:w="1984" w:type="dxa"/>
          </w:tcPr>
          <w:p w14:paraId="0C2CA4BC" w14:textId="5D341B2A" w:rsidR="00917E5B" w:rsidRPr="000041AB" w:rsidRDefault="00917E5B" w:rsidP="00917E5B">
            <w:pPr>
              <w:widowControl w:val="0"/>
              <w:spacing w:line="276" w:lineRule="auto"/>
              <w:ind w:right="-111"/>
              <w:rPr>
                <w:rFonts w:eastAsia="Times New Roman"/>
                <w:color w:val="000000"/>
                <w:sz w:val="18"/>
                <w:szCs w:val="18"/>
              </w:rPr>
            </w:pPr>
            <w:r>
              <w:rPr>
                <w:rFonts w:eastAsia="Times New Roman"/>
                <w:color w:val="000000"/>
                <w:sz w:val="18"/>
                <w:szCs w:val="18"/>
              </w:rPr>
              <w:t>R</w:t>
            </w:r>
            <w:r w:rsidRPr="001C1FEA">
              <w:rPr>
                <w:rFonts w:eastAsia="Times New Roman"/>
                <w:color w:val="000000"/>
                <w:sz w:val="18"/>
                <w:szCs w:val="18"/>
              </w:rPr>
              <w:t xml:space="preserve">etrospective and prospective studies, case series, cross-sectional studies and case reports that described adult patients who underwent any type of cardiac assessment after COVID-19 recovery. </w:t>
            </w:r>
            <w:r w:rsidRPr="001C1FEA">
              <w:rPr>
                <w:rFonts w:eastAsia="Times New Roman"/>
                <w:color w:val="000000"/>
                <w:sz w:val="18"/>
                <w:szCs w:val="18"/>
              </w:rPr>
              <w:br/>
            </w:r>
            <w:r w:rsidRPr="001C1FEA">
              <w:rPr>
                <w:rFonts w:eastAsia="Times New Roman"/>
                <w:color w:val="000000"/>
                <w:sz w:val="18"/>
                <w:szCs w:val="18"/>
              </w:rPr>
              <w:br/>
            </w:r>
            <w:r>
              <w:rPr>
                <w:rFonts w:eastAsia="Times New Roman"/>
                <w:color w:val="000000"/>
                <w:sz w:val="18"/>
                <w:szCs w:val="18"/>
              </w:rPr>
              <w:t xml:space="preserve">Databases: </w:t>
            </w:r>
            <w:r w:rsidRPr="001C1FEA">
              <w:rPr>
                <w:rFonts w:eastAsia="Times New Roman"/>
                <w:color w:val="000000"/>
                <w:sz w:val="18"/>
                <w:szCs w:val="18"/>
              </w:rPr>
              <w:t>PubMed, Embase, Scopus and Google scholar</w:t>
            </w:r>
            <w:r>
              <w:rPr>
                <w:rFonts w:eastAsia="Times New Roman"/>
                <w:color w:val="000000"/>
                <w:sz w:val="18"/>
                <w:szCs w:val="18"/>
              </w:rPr>
              <w:t>.</w:t>
            </w:r>
          </w:p>
        </w:tc>
        <w:tc>
          <w:tcPr>
            <w:tcW w:w="1985" w:type="dxa"/>
          </w:tcPr>
          <w:p w14:paraId="27B86BD5" w14:textId="2EB56D67" w:rsidR="00917E5B" w:rsidRPr="000041AB" w:rsidRDefault="00917E5B" w:rsidP="00917E5B">
            <w:pPr>
              <w:widowControl w:val="0"/>
              <w:spacing w:line="276" w:lineRule="auto"/>
              <w:ind w:right="-60"/>
              <w:rPr>
                <w:rFonts w:eastAsia="Times New Roman"/>
                <w:color w:val="000000"/>
                <w:sz w:val="18"/>
                <w:szCs w:val="18"/>
              </w:rPr>
            </w:pPr>
            <w:r w:rsidRPr="001C1FEA">
              <w:rPr>
                <w:rFonts w:eastAsia="Times New Roman"/>
                <w:color w:val="000000"/>
                <w:sz w:val="18"/>
                <w:szCs w:val="18"/>
              </w:rPr>
              <w:t>To assess the range of cardiac sequelae after COVID-19 recovery.</w:t>
            </w:r>
          </w:p>
        </w:tc>
        <w:tc>
          <w:tcPr>
            <w:tcW w:w="1842" w:type="dxa"/>
          </w:tcPr>
          <w:p w14:paraId="690D924F" w14:textId="63DFCD5A" w:rsidR="00917E5B" w:rsidRPr="000041AB" w:rsidRDefault="00917E5B" w:rsidP="00917E5B">
            <w:pPr>
              <w:widowControl w:val="0"/>
              <w:spacing w:line="276" w:lineRule="auto"/>
              <w:ind w:right="-106"/>
              <w:rPr>
                <w:rFonts w:eastAsia="Times New Roman"/>
                <w:color w:val="000000"/>
                <w:sz w:val="18"/>
                <w:szCs w:val="18"/>
              </w:rPr>
            </w:pPr>
            <w:r w:rsidRPr="001C1FEA">
              <w:rPr>
                <w:rFonts w:eastAsia="Times New Roman"/>
                <w:color w:val="000000"/>
                <w:sz w:val="18"/>
                <w:szCs w:val="18"/>
              </w:rPr>
              <w:t xml:space="preserve">Prospective cohort (15), case reports (7), cross-sectional design (5), case series (4), retrospective cohort (3), </w:t>
            </w:r>
            <w:proofErr w:type="spellStart"/>
            <w:r w:rsidRPr="001C1FEA">
              <w:rPr>
                <w:rFonts w:eastAsia="Times New Roman"/>
                <w:color w:val="000000"/>
                <w:sz w:val="18"/>
                <w:szCs w:val="18"/>
              </w:rPr>
              <w:t>ambidirectional</w:t>
            </w:r>
            <w:proofErr w:type="spellEnd"/>
            <w:r w:rsidRPr="001C1FEA">
              <w:rPr>
                <w:rFonts w:eastAsia="Times New Roman"/>
                <w:color w:val="000000"/>
                <w:sz w:val="18"/>
                <w:szCs w:val="18"/>
              </w:rPr>
              <w:t xml:space="preserve"> cohort (1).</w:t>
            </w:r>
          </w:p>
        </w:tc>
        <w:tc>
          <w:tcPr>
            <w:tcW w:w="1134" w:type="dxa"/>
          </w:tcPr>
          <w:p w14:paraId="48B2C8ED" w14:textId="74C425BB" w:rsidR="00917E5B" w:rsidRPr="000041AB" w:rsidRDefault="00917E5B" w:rsidP="00917E5B">
            <w:pPr>
              <w:widowControl w:val="0"/>
              <w:spacing w:line="276" w:lineRule="auto"/>
              <w:ind w:right="-100"/>
              <w:rPr>
                <w:rFonts w:eastAsia="Times New Roman"/>
                <w:color w:val="000000"/>
                <w:sz w:val="18"/>
                <w:szCs w:val="18"/>
              </w:rPr>
            </w:pPr>
            <w:r>
              <w:rPr>
                <w:rFonts w:eastAsia="Times New Roman"/>
                <w:color w:val="000000"/>
                <w:sz w:val="18"/>
                <w:szCs w:val="18"/>
              </w:rPr>
              <w:t>2019</w:t>
            </w:r>
          </w:p>
        </w:tc>
        <w:tc>
          <w:tcPr>
            <w:tcW w:w="1134" w:type="dxa"/>
          </w:tcPr>
          <w:p w14:paraId="0DD2F8FA" w14:textId="13EE26CF" w:rsidR="00917E5B" w:rsidRPr="000041AB" w:rsidRDefault="00917E5B" w:rsidP="00917E5B">
            <w:pPr>
              <w:widowControl w:val="0"/>
              <w:spacing w:line="276" w:lineRule="auto"/>
              <w:ind w:right="-121"/>
              <w:rPr>
                <w:rFonts w:eastAsia="Times New Roman"/>
                <w:color w:val="000000"/>
                <w:sz w:val="18"/>
                <w:szCs w:val="18"/>
              </w:rPr>
            </w:pPr>
            <w:r>
              <w:rPr>
                <w:rFonts w:eastAsia="Times New Roman"/>
                <w:color w:val="000000"/>
                <w:sz w:val="18"/>
                <w:szCs w:val="18"/>
              </w:rPr>
              <w:t>2021</w:t>
            </w:r>
          </w:p>
        </w:tc>
        <w:tc>
          <w:tcPr>
            <w:tcW w:w="1701" w:type="dxa"/>
          </w:tcPr>
          <w:p w14:paraId="71A6503B" w14:textId="666EB987" w:rsidR="00917E5B" w:rsidRPr="000041AB" w:rsidRDefault="00917E5B" w:rsidP="00917E5B">
            <w:pPr>
              <w:widowControl w:val="0"/>
              <w:spacing w:line="276" w:lineRule="auto"/>
              <w:ind w:right="-84"/>
              <w:rPr>
                <w:rFonts w:eastAsia="Times New Roman"/>
                <w:color w:val="000000"/>
                <w:sz w:val="18"/>
                <w:szCs w:val="18"/>
              </w:rPr>
            </w:pPr>
            <w:r>
              <w:rPr>
                <w:rFonts w:eastAsia="Times New Roman"/>
                <w:color w:val="000000"/>
                <w:sz w:val="18"/>
                <w:szCs w:val="18"/>
              </w:rPr>
              <w:t>None.</w:t>
            </w:r>
          </w:p>
        </w:tc>
        <w:tc>
          <w:tcPr>
            <w:tcW w:w="1843" w:type="dxa"/>
          </w:tcPr>
          <w:p w14:paraId="1460D73B" w14:textId="4E2E4D44" w:rsidR="00917E5B" w:rsidRPr="000041AB" w:rsidRDefault="00917E5B" w:rsidP="00917E5B">
            <w:pPr>
              <w:widowControl w:val="0"/>
              <w:spacing w:line="276" w:lineRule="auto"/>
              <w:ind w:right="-115"/>
              <w:rPr>
                <w:rFonts w:eastAsia="Times New Roman"/>
                <w:color w:val="000000"/>
                <w:sz w:val="18"/>
                <w:szCs w:val="18"/>
              </w:rPr>
            </w:pPr>
            <w:r w:rsidRPr="001C1FEA">
              <w:rPr>
                <w:rFonts w:eastAsia="Times New Roman"/>
                <w:color w:val="000000"/>
                <w:sz w:val="18"/>
                <w:szCs w:val="18"/>
              </w:rPr>
              <w:t>Total: 52,609</w:t>
            </w:r>
            <w:r w:rsidRPr="001C1FEA">
              <w:rPr>
                <w:rFonts w:eastAsia="Times New Roman"/>
                <w:color w:val="000000"/>
                <w:sz w:val="18"/>
                <w:szCs w:val="18"/>
              </w:rPr>
              <w:br/>
              <w:t>Breakdown unclear but mostly hospitalise</w:t>
            </w:r>
            <w:r>
              <w:rPr>
                <w:rFonts w:eastAsia="Times New Roman"/>
                <w:color w:val="000000"/>
                <w:sz w:val="18"/>
                <w:szCs w:val="18"/>
              </w:rPr>
              <w:t>d</w:t>
            </w:r>
            <w:r w:rsidRPr="001C1FEA">
              <w:rPr>
                <w:rFonts w:eastAsia="Times New Roman"/>
                <w:color w:val="000000"/>
                <w:sz w:val="18"/>
                <w:szCs w:val="18"/>
              </w:rPr>
              <w:t>:</w:t>
            </w:r>
            <w:r w:rsidRPr="001C1FEA">
              <w:rPr>
                <w:rFonts w:eastAsia="Times New Roman"/>
                <w:color w:val="000000"/>
                <w:sz w:val="18"/>
                <w:szCs w:val="18"/>
              </w:rPr>
              <w:br/>
              <w:t>Twenty-two articles (63%) included patients previously hospitalized for COVID-19 (n = 51,117, 97.2%)</w:t>
            </w:r>
            <w:r w:rsidRPr="001C1FEA">
              <w:rPr>
                <w:rFonts w:eastAsia="Times New Roman"/>
                <w:color w:val="000000"/>
                <w:sz w:val="18"/>
                <w:szCs w:val="18"/>
              </w:rPr>
              <w:br/>
              <w:t xml:space="preserve">Eight studies contained a mixed population of discharged patients and outpatients (n =1330, 2.5%) </w:t>
            </w:r>
            <w:r w:rsidRPr="001C1FEA">
              <w:rPr>
                <w:rFonts w:eastAsia="Times New Roman"/>
                <w:color w:val="000000"/>
                <w:sz w:val="18"/>
                <w:szCs w:val="18"/>
              </w:rPr>
              <w:br/>
              <w:t>Five included only outpatients (n = 122; 0.3%)</w:t>
            </w:r>
            <w:r w:rsidRPr="001C1FEA">
              <w:rPr>
                <w:rFonts w:eastAsia="Times New Roman"/>
                <w:color w:val="000000"/>
                <w:sz w:val="18"/>
                <w:szCs w:val="18"/>
              </w:rPr>
              <w:br/>
              <w:t xml:space="preserve">(NOTE: </w:t>
            </w:r>
            <w:r>
              <w:rPr>
                <w:rFonts w:eastAsia="Times New Roman"/>
                <w:color w:val="000000"/>
                <w:sz w:val="18"/>
                <w:szCs w:val="18"/>
              </w:rPr>
              <w:t>The patient numbers</w:t>
            </w:r>
            <w:r w:rsidRPr="001C1FEA">
              <w:rPr>
                <w:rFonts w:eastAsia="Times New Roman"/>
                <w:color w:val="000000"/>
                <w:sz w:val="18"/>
                <w:szCs w:val="18"/>
              </w:rPr>
              <w:t xml:space="preserve"> </w:t>
            </w:r>
            <w:r>
              <w:rPr>
                <w:rFonts w:eastAsia="Times New Roman"/>
                <w:color w:val="000000"/>
                <w:sz w:val="18"/>
                <w:szCs w:val="18"/>
              </w:rPr>
              <w:t xml:space="preserve">do not </w:t>
            </w:r>
            <w:r w:rsidRPr="001C1FEA">
              <w:rPr>
                <w:rFonts w:eastAsia="Times New Roman"/>
                <w:color w:val="000000"/>
                <w:sz w:val="18"/>
                <w:szCs w:val="18"/>
              </w:rPr>
              <w:t xml:space="preserve">add up to 52609 </w:t>
            </w:r>
            <w:r>
              <w:rPr>
                <w:rFonts w:eastAsia="Times New Roman"/>
                <w:color w:val="000000"/>
                <w:sz w:val="18"/>
                <w:szCs w:val="18"/>
              </w:rPr>
              <w:t>although</w:t>
            </w:r>
            <w:r w:rsidRPr="001C1FEA">
              <w:rPr>
                <w:rFonts w:eastAsia="Times New Roman"/>
                <w:color w:val="000000"/>
                <w:sz w:val="18"/>
                <w:szCs w:val="18"/>
              </w:rPr>
              <w:t xml:space="preserve"> the </w:t>
            </w:r>
            <w:r>
              <w:rPr>
                <w:rFonts w:eastAsia="Times New Roman"/>
                <w:color w:val="000000"/>
                <w:sz w:val="18"/>
                <w:szCs w:val="18"/>
              </w:rPr>
              <w:t>percentages</w:t>
            </w:r>
            <w:r w:rsidRPr="001C1FEA">
              <w:rPr>
                <w:rFonts w:eastAsia="Times New Roman"/>
                <w:color w:val="000000"/>
                <w:sz w:val="18"/>
                <w:szCs w:val="18"/>
              </w:rPr>
              <w:t xml:space="preserve"> add up to 100%</w:t>
            </w:r>
            <w:r>
              <w:rPr>
                <w:rFonts w:eastAsia="Times New Roman"/>
                <w:color w:val="000000"/>
                <w:sz w:val="18"/>
                <w:szCs w:val="18"/>
              </w:rPr>
              <w:t>.</w:t>
            </w:r>
            <w:r w:rsidRPr="001C1FEA">
              <w:rPr>
                <w:rFonts w:eastAsia="Times New Roman"/>
                <w:color w:val="000000"/>
                <w:sz w:val="18"/>
                <w:szCs w:val="18"/>
              </w:rPr>
              <w:t>)</w:t>
            </w:r>
          </w:p>
        </w:tc>
        <w:tc>
          <w:tcPr>
            <w:tcW w:w="2126" w:type="dxa"/>
          </w:tcPr>
          <w:p w14:paraId="622DA635" w14:textId="7178D1F6" w:rsidR="00917E5B" w:rsidRDefault="00917E5B" w:rsidP="00917E5B">
            <w:pPr>
              <w:widowControl w:val="0"/>
              <w:spacing w:line="276" w:lineRule="auto"/>
              <w:ind w:right="-108"/>
              <w:rPr>
                <w:rFonts w:eastAsia="Times New Roman"/>
                <w:color w:val="000000"/>
                <w:sz w:val="18"/>
                <w:szCs w:val="18"/>
              </w:rPr>
            </w:pPr>
            <w:r w:rsidRPr="001C1FEA">
              <w:rPr>
                <w:rFonts w:eastAsia="Times New Roman"/>
                <w:color w:val="000000"/>
                <w:sz w:val="18"/>
                <w:szCs w:val="18"/>
              </w:rPr>
              <w:t>- Adult patients (18 years+) post COVID-19 recovery</w:t>
            </w:r>
            <w:r w:rsidRPr="001C1FEA">
              <w:rPr>
                <w:rFonts w:eastAsia="Times New Roman"/>
                <w:color w:val="000000"/>
                <w:sz w:val="18"/>
                <w:szCs w:val="18"/>
              </w:rPr>
              <w:br/>
              <w:t>- SARS-CoV-2 infection, diagnosed by PCR</w:t>
            </w:r>
            <w:r w:rsidRPr="001C1FEA">
              <w:rPr>
                <w:rFonts w:eastAsia="Times New Roman"/>
                <w:color w:val="000000"/>
                <w:sz w:val="18"/>
                <w:szCs w:val="18"/>
              </w:rPr>
              <w:br/>
              <w:t>- Cardiac sequelae after recovery including symptoms, functional or structural changes</w:t>
            </w:r>
            <w:r>
              <w:rPr>
                <w:rFonts w:eastAsia="Times New Roman"/>
                <w:color w:val="000000"/>
                <w:sz w:val="18"/>
                <w:szCs w:val="18"/>
              </w:rPr>
              <w:t>.</w:t>
            </w:r>
          </w:p>
        </w:tc>
        <w:tc>
          <w:tcPr>
            <w:tcW w:w="2127" w:type="dxa"/>
          </w:tcPr>
          <w:p w14:paraId="0C4E2CCD" w14:textId="063E5F51" w:rsidR="00917E5B" w:rsidRDefault="00917E5B" w:rsidP="00917E5B">
            <w:pPr>
              <w:widowControl w:val="0"/>
              <w:spacing w:line="276" w:lineRule="auto"/>
              <w:ind w:right="-102"/>
              <w:rPr>
                <w:rFonts w:eastAsia="Times New Roman"/>
                <w:color w:val="000000"/>
                <w:sz w:val="18"/>
                <w:szCs w:val="18"/>
              </w:rPr>
            </w:pPr>
            <w:r w:rsidRPr="001C1FEA">
              <w:rPr>
                <w:rFonts w:eastAsia="Times New Roman"/>
                <w:color w:val="000000"/>
                <w:sz w:val="18"/>
                <w:szCs w:val="18"/>
              </w:rPr>
              <w:t>- Under 18 years old</w:t>
            </w:r>
            <w:r w:rsidRPr="001C1FEA">
              <w:rPr>
                <w:rFonts w:eastAsia="Times New Roman"/>
                <w:color w:val="000000"/>
                <w:sz w:val="18"/>
                <w:szCs w:val="18"/>
              </w:rPr>
              <w:br/>
              <w:t>- Cardiac manifestations before recovery (during acute infection</w:t>
            </w:r>
            <w:r>
              <w:rPr>
                <w:rFonts w:eastAsia="Times New Roman"/>
                <w:color w:val="000000"/>
                <w:sz w:val="18"/>
                <w:szCs w:val="18"/>
              </w:rPr>
              <w:t>.</w:t>
            </w:r>
          </w:p>
        </w:tc>
        <w:tc>
          <w:tcPr>
            <w:tcW w:w="992" w:type="dxa"/>
          </w:tcPr>
          <w:p w14:paraId="2E197D61" w14:textId="005524E9" w:rsidR="00917E5B" w:rsidRPr="000041AB" w:rsidRDefault="00917E5B" w:rsidP="00917E5B">
            <w:pPr>
              <w:widowControl w:val="0"/>
              <w:spacing w:line="276" w:lineRule="auto"/>
              <w:ind w:right="-127"/>
              <w:rPr>
                <w:rFonts w:eastAsia="Times New Roman"/>
                <w:color w:val="000000"/>
                <w:sz w:val="18"/>
                <w:szCs w:val="18"/>
              </w:rPr>
            </w:pPr>
            <w:r w:rsidRPr="001C1FEA">
              <w:rPr>
                <w:rFonts w:eastAsia="Times New Roman"/>
                <w:color w:val="000000"/>
                <w:sz w:val="18"/>
                <w:szCs w:val="18"/>
              </w:rPr>
              <w:t>35</w:t>
            </w:r>
          </w:p>
        </w:tc>
        <w:tc>
          <w:tcPr>
            <w:tcW w:w="2542" w:type="dxa"/>
          </w:tcPr>
          <w:p w14:paraId="22EBC1F7" w14:textId="774A19F2" w:rsidR="00917E5B" w:rsidRPr="000041AB" w:rsidRDefault="00917E5B" w:rsidP="00917E5B">
            <w:pPr>
              <w:widowControl w:val="0"/>
              <w:spacing w:line="276" w:lineRule="auto"/>
              <w:ind w:right="-107"/>
              <w:rPr>
                <w:rFonts w:eastAsia="Times New Roman"/>
                <w:color w:val="000000"/>
                <w:sz w:val="18"/>
                <w:szCs w:val="18"/>
              </w:rPr>
            </w:pPr>
            <w:r>
              <w:rPr>
                <w:rFonts w:eastAsia="Times New Roman"/>
                <w:color w:val="000000"/>
                <w:sz w:val="18"/>
                <w:szCs w:val="18"/>
              </w:rPr>
              <w:t xml:space="preserve">From paper: </w:t>
            </w:r>
            <w:r w:rsidRPr="001C1FEA">
              <w:rPr>
                <w:rFonts w:eastAsia="Times New Roman"/>
                <w:color w:val="000000"/>
                <w:sz w:val="18"/>
                <w:szCs w:val="18"/>
              </w:rPr>
              <w:t>"Included studies were observational in nature, and most had a fair risk of bias, the latter being primarily due to absence of a comparison group in cohort studies"</w:t>
            </w:r>
            <w:r w:rsidR="00011BFD">
              <w:rPr>
                <w:rFonts w:eastAsia="Times New Roman"/>
                <w:color w:val="000000"/>
                <w:sz w:val="18"/>
                <w:szCs w:val="18"/>
              </w:rPr>
              <w:t>.</w:t>
            </w:r>
          </w:p>
        </w:tc>
      </w:tr>
      <w:tr w:rsidR="00E70865" w14:paraId="1371699E" w14:textId="77777777" w:rsidTr="00CE4F22">
        <w:tc>
          <w:tcPr>
            <w:tcW w:w="988" w:type="dxa"/>
          </w:tcPr>
          <w:p w14:paraId="54AE4024" w14:textId="1FE0C758" w:rsidR="00E70865" w:rsidRPr="00E70865" w:rsidRDefault="00E70865" w:rsidP="00917E5B">
            <w:pPr>
              <w:widowControl w:val="0"/>
              <w:spacing w:line="276" w:lineRule="auto"/>
              <w:ind w:right="-92"/>
              <w:rPr>
                <w:rFonts w:eastAsia="Times New Roman"/>
                <w:b/>
                <w:color w:val="000000"/>
                <w:sz w:val="18"/>
                <w:szCs w:val="18"/>
              </w:rPr>
            </w:pPr>
            <w:proofErr w:type="spellStart"/>
            <w:r w:rsidRPr="00E70865">
              <w:rPr>
                <w:rFonts w:eastAsia="Times New Roman"/>
                <w:b/>
                <w:color w:val="000000"/>
                <w:sz w:val="18"/>
                <w:szCs w:val="18"/>
              </w:rPr>
              <w:t>Michelen</w:t>
            </w:r>
            <w:proofErr w:type="spellEnd"/>
            <w:r w:rsidRPr="00E70865">
              <w:rPr>
                <w:rFonts w:eastAsia="Times New Roman"/>
                <w:b/>
                <w:color w:val="000000"/>
                <w:sz w:val="18"/>
                <w:szCs w:val="18"/>
              </w:rPr>
              <w:t xml:space="preserve"> 2021</w:t>
            </w:r>
          </w:p>
        </w:tc>
        <w:tc>
          <w:tcPr>
            <w:tcW w:w="1417" w:type="dxa"/>
          </w:tcPr>
          <w:p w14:paraId="3BDF843D" w14:textId="1AEBB680" w:rsidR="00E70865" w:rsidRPr="00E70865" w:rsidRDefault="00E70865" w:rsidP="00917E5B">
            <w:pPr>
              <w:widowControl w:val="0"/>
              <w:spacing w:line="276" w:lineRule="auto"/>
              <w:ind w:right="-69"/>
              <w:rPr>
                <w:rFonts w:eastAsia="Times New Roman"/>
                <w:i/>
                <w:color w:val="000000"/>
                <w:sz w:val="18"/>
                <w:szCs w:val="18"/>
              </w:rPr>
            </w:pPr>
            <w:r w:rsidRPr="00E70865">
              <w:rPr>
                <w:rFonts w:eastAsia="Times New Roman"/>
                <w:i/>
                <w:color w:val="000000"/>
                <w:sz w:val="18"/>
                <w:szCs w:val="18"/>
              </w:rPr>
              <w:t xml:space="preserve">Characterising long COVID: a living systematic </w:t>
            </w:r>
            <w:r w:rsidRPr="00E70865">
              <w:rPr>
                <w:rFonts w:eastAsia="Times New Roman"/>
                <w:i/>
                <w:color w:val="000000"/>
                <w:sz w:val="18"/>
                <w:szCs w:val="18"/>
              </w:rPr>
              <w:lastRenderedPageBreak/>
              <w:t>review</w:t>
            </w:r>
          </w:p>
        </w:tc>
        <w:tc>
          <w:tcPr>
            <w:tcW w:w="851" w:type="dxa"/>
          </w:tcPr>
          <w:p w14:paraId="08E0E5DD" w14:textId="58A89532" w:rsidR="00E70865" w:rsidRPr="00DA5BA3" w:rsidRDefault="00BE755F" w:rsidP="00917E5B">
            <w:pPr>
              <w:widowControl w:val="0"/>
              <w:spacing w:line="276" w:lineRule="auto"/>
              <w:ind w:left="-80" w:right="-179"/>
              <w:rPr>
                <w:rFonts w:eastAsia="Times New Roman"/>
                <w:color w:val="000000"/>
                <w:sz w:val="18"/>
                <w:szCs w:val="18"/>
              </w:rPr>
            </w:pPr>
            <w:r w:rsidRPr="001B44AB">
              <w:rPr>
                <w:rFonts w:eastAsia="Times New Roman"/>
                <w:color w:val="000000"/>
                <w:sz w:val="18"/>
                <w:szCs w:val="18"/>
              </w:rPr>
              <w:lastRenderedPageBreak/>
              <w:t>UK</w:t>
            </w:r>
          </w:p>
        </w:tc>
        <w:tc>
          <w:tcPr>
            <w:tcW w:w="1984" w:type="dxa"/>
          </w:tcPr>
          <w:p w14:paraId="36DF10A0" w14:textId="056969BC" w:rsidR="00E70865" w:rsidRDefault="00BE755F" w:rsidP="00917E5B">
            <w:pPr>
              <w:widowControl w:val="0"/>
              <w:spacing w:line="276" w:lineRule="auto"/>
              <w:ind w:right="-111"/>
              <w:rPr>
                <w:rFonts w:eastAsia="Times New Roman"/>
                <w:color w:val="000000"/>
                <w:sz w:val="18"/>
                <w:szCs w:val="18"/>
              </w:rPr>
            </w:pPr>
            <w:r w:rsidRPr="001B44AB">
              <w:rPr>
                <w:rFonts w:eastAsia="Times New Roman"/>
                <w:color w:val="000000"/>
                <w:sz w:val="18"/>
                <w:szCs w:val="18"/>
              </w:rPr>
              <w:t>Living systematic review updated around every 6 months</w:t>
            </w:r>
            <w:r>
              <w:rPr>
                <w:rFonts w:eastAsia="Times New Roman"/>
                <w:color w:val="000000"/>
                <w:sz w:val="18"/>
                <w:szCs w:val="18"/>
              </w:rPr>
              <w:t>.</w:t>
            </w:r>
            <w:r w:rsidRPr="001B44AB">
              <w:rPr>
                <w:rFonts w:eastAsia="Times New Roman"/>
                <w:color w:val="000000"/>
                <w:sz w:val="18"/>
                <w:szCs w:val="18"/>
              </w:rPr>
              <w:br/>
            </w:r>
            <w:r>
              <w:rPr>
                <w:rFonts w:eastAsia="Times New Roman"/>
                <w:color w:val="000000"/>
                <w:sz w:val="18"/>
                <w:szCs w:val="18"/>
              </w:rPr>
              <w:lastRenderedPageBreak/>
              <w:t xml:space="preserve">Databases: </w:t>
            </w:r>
            <w:r w:rsidRPr="001B44AB">
              <w:rPr>
                <w:rFonts w:eastAsia="Times New Roman"/>
                <w:color w:val="000000"/>
                <w:sz w:val="18"/>
                <w:szCs w:val="18"/>
              </w:rPr>
              <w:t xml:space="preserve">Medline; CINAHL; Global Health (Ovid); WHO Global Research Database on COVID-19; </w:t>
            </w:r>
            <w:proofErr w:type="spellStart"/>
            <w:r w:rsidRPr="001B44AB">
              <w:rPr>
                <w:rFonts w:eastAsia="Times New Roman"/>
                <w:color w:val="000000"/>
                <w:sz w:val="18"/>
                <w:szCs w:val="18"/>
              </w:rPr>
              <w:t>LitCovid</w:t>
            </w:r>
            <w:proofErr w:type="spellEnd"/>
            <w:r w:rsidRPr="001B44AB">
              <w:rPr>
                <w:rFonts w:eastAsia="Times New Roman"/>
                <w:color w:val="000000"/>
                <w:sz w:val="18"/>
                <w:szCs w:val="18"/>
              </w:rPr>
              <w:t>; Google Scholar (first 500 hits on 17 Mar 2021); references of systematic reviews</w:t>
            </w:r>
            <w:r>
              <w:rPr>
                <w:rFonts w:eastAsia="Times New Roman"/>
                <w:color w:val="000000"/>
                <w:sz w:val="18"/>
                <w:szCs w:val="18"/>
              </w:rPr>
              <w:t>.</w:t>
            </w:r>
            <w:r w:rsidRPr="001B44AB">
              <w:rPr>
                <w:rFonts w:eastAsia="Times New Roman"/>
                <w:color w:val="000000"/>
                <w:sz w:val="18"/>
                <w:szCs w:val="18"/>
              </w:rPr>
              <w:br/>
            </w:r>
            <w:r>
              <w:rPr>
                <w:rFonts w:eastAsia="Times New Roman"/>
                <w:color w:val="000000"/>
                <w:sz w:val="18"/>
                <w:szCs w:val="18"/>
              </w:rPr>
              <w:t>(</w:t>
            </w:r>
            <w:r w:rsidRPr="001B44AB">
              <w:rPr>
                <w:rFonts w:eastAsia="Times New Roman"/>
                <w:color w:val="000000"/>
                <w:sz w:val="18"/>
                <w:szCs w:val="18"/>
              </w:rPr>
              <w:t>Risk of bias assessment: 12 studies were at high risk of bias, 22 at moderate risk, 5 at low risk</w:t>
            </w:r>
            <w:r>
              <w:rPr>
                <w:rFonts w:eastAsia="Times New Roman"/>
                <w:color w:val="000000"/>
                <w:sz w:val="18"/>
                <w:szCs w:val="18"/>
              </w:rPr>
              <w:t>.)</w:t>
            </w:r>
          </w:p>
        </w:tc>
        <w:tc>
          <w:tcPr>
            <w:tcW w:w="1985" w:type="dxa"/>
          </w:tcPr>
          <w:p w14:paraId="268D8C97" w14:textId="745A48F9" w:rsidR="00E70865" w:rsidRPr="00DA5BA3" w:rsidRDefault="00ED4ED4" w:rsidP="00917E5B">
            <w:pPr>
              <w:widowControl w:val="0"/>
              <w:spacing w:line="276" w:lineRule="auto"/>
              <w:ind w:right="-60"/>
              <w:rPr>
                <w:rFonts w:eastAsia="Times New Roman"/>
                <w:color w:val="000000"/>
                <w:sz w:val="18"/>
                <w:szCs w:val="18"/>
              </w:rPr>
            </w:pPr>
            <w:r>
              <w:rPr>
                <w:rFonts w:eastAsia="Times New Roman"/>
                <w:color w:val="000000"/>
                <w:sz w:val="18"/>
                <w:szCs w:val="18"/>
              </w:rPr>
              <w:lastRenderedPageBreak/>
              <w:t>T</w:t>
            </w:r>
            <w:r w:rsidRPr="001B44AB">
              <w:rPr>
                <w:rFonts w:eastAsia="Times New Roman"/>
                <w:color w:val="000000"/>
                <w:sz w:val="18"/>
                <w:szCs w:val="18"/>
              </w:rPr>
              <w:t xml:space="preserve">o regularly synthesise evidence on long COVID characteristics, to help </w:t>
            </w:r>
            <w:r w:rsidRPr="001B44AB">
              <w:rPr>
                <w:rFonts w:eastAsia="Times New Roman"/>
                <w:color w:val="000000"/>
                <w:sz w:val="18"/>
                <w:szCs w:val="18"/>
              </w:rPr>
              <w:lastRenderedPageBreak/>
              <w:t>inform clinical management, rehabilitation strategies and interventional studies to improve long-term outcomes.</w:t>
            </w:r>
          </w:p>
        </w:tc>
        <w:tc>
          <w:tcPr>
            <w:tcW w:w="1842" w:type="dxa"/>
          </w:tcPr>
          <w:p w14:paraId="280ACF06" w14:textId="77777777" w:rsidR="00ED4ED4" w:rsidRDefault="00ED4ED4" w:rsidP="00917E5B">
            <w:pPr>
              <w:widowControl w:val="0"/>
              <w:spacing w:line="276" w:lineRule="auto"/>
              <w:ind w:right="-106"/>
              <w:rPr>
                <w:rFonts w:eastAsia="Times New Roman"/>
                <w:color w:val="000000"/>
                <w:sz w:val="18"/>
                <w:szCs w:val="18"/>
              </w:rPr>
            </w:pPr>
            <w:r>
              <w:rPr>
                <w:rFonts w:eastAsia="Times New Roman"/>
                <w:color w:val="000000"/>
                <w:sz w:val="18"/>
                <w:szCs w:val="18"/>
              </w:rPr>
              <w:lastRenderedPageBreak/>
              <w:t>A</w:t>
            </w:r>
            <w:r w:rsidRPr="001B44AB">
              <w:rPr>
                <w:rFonts w:eastAsia="Times New Roman"/>
                <w:color w:val="000000"/>
                <w:sz w:val="18"/>
                <w:szCs w:val="18"/>
              </w:rPr>
              <w:t xml:space="preserve">ny study with 100+ COVID patients followed up for 12+ </w:t>
            </w:r>
            <w:r w:rsidRPr="001B44AB">
              <w:rPr>
                <w:rFonts w:eastAsia="Times New Roman"/>
                <w:color w:val="000000"/>
                <w:sz w:val="18"/>
                <w:szCs w:val="18"/>
              </w:rPr>
              <w:lastRenderedPageBreak/>
              <w:t>weeks post-onset</w:t>
            </w:r>
            <w:r>
              <w:rPr>
                <w:rFonts w:eastAsia="Times New Roman"/>
                <w:color w:val="000000"/>
                <w:sz w:val="18"/>
                <w:szCs w:val="18"/>
              </w:rPr>
              <w:t>.</w:t>
            </w:r>
          </w:p>
          <w:p w14:paraId="1F5734C1" w14:textId="7D9DC13A" w:rsidR="00E70865" w:rsidRDefault="00ED4ED4" w:rsidP="00917E5B">
            <w:pPr>
              <w:widowControl w:val="0"/>
              <w:spacing w:line="276" w:lineRule="auto"/>
              <w:ind w:right="-106"/>
              <w:rPr>
                <w:rFonts w:eastAsia="Times New Roman"/>
                <w:color w:val="000000"/>
                <w:sz w:val="18"/>
                <w:szCs w:val="18"/>
              </w:rPr>
            </w:pPr>
            <w:r w:rsidRPr="001B44AB">
              <w:rPr>
                <w:rFonts w:eastAsia="Times New Roman"/>
                <w:color w:val="000000"/>
                <w:sz w:val="18"/>
                <w:szCs w:val="18"/>
              </w:rPr>
              <w:t>Included cohort studies (82%), cross-sectional studies (15%), and case-control study (3%)</w:t>
            </w:r>
            <w:r>
              <w:rPr>
                <w:rFonts w:eastAsia="Times New Roman"/>
                <w:color w:val="000000"/>
                <w:sz w:val="18"/>
                <w:szCs w:val="18"/>
              </w:rPr>
              <w:t>.</w:t>
            </w:r>
          </w:p>
        </w:tc>
        <w:tc>
          <w:tcPr>
            <w:tcW w:w="1134" w:type="dxa"/>
          </w:tcPr>
          <w:p w14:paraId="6F8F96EB" w14:textId="45245262" w:rsidR="00E70865" w:rsidRPr="009E6B9A" w:rsidRDefault="00E2450A" w:rsidP="00917E5B">
            <w:pPr>
              <w:widowControl w:val="0"/>
              <w:spacing w:line="276" w:lineRule="auto"/>
              <w:ind w:right="-100"/>
              <w:rPr>
                <w:rFonts w:eastAsia="Times New Roman"/>
                <w:color w:val="000000"/>
                <w:sz w:val="18"/>
                <w:szCs w:val="18"/>
                <w:highlight w:val="yellow"/>
              </w:rPr>
            </w:pPr>
            <w:r w:rsidRPr="001B44AB">
              <w:rPr>
                <w:rFonts w:eastAsia="Times New Roman"/>
                <w:color w:val="000000"/>
                <w:sz w:val="18"/>
                <w:szCs w:val="18"/>
              </w:rPr>
              <w:lastRenderedPageBreak/>
              <w:t>1st January 2020</w:t>
            </w:r>
          </w:p>
        </w:tc>
        <w:tc>
          <w:tcPr>
            <w:tcW w:w="1134" w:type="dxa"/>
          </w:tcPr>
          <w:p w14:paraId="729DA829" w14:textId="6009C5CE" w:rsidR="00E70865" w:rsidRPr="009E6B9A" w:rsidRDefault="00E2450A" w:rsidP="00917E5B">
            <w:pPr>
              <w:widowControl w:val="0"/>
              <w:spacing w:line="276" w:lineRule="auto"/>
              <w:ind w:right="-121"/>
              <w:rPr>
                <w:rFonts w:eastAsia="Times New Roman"/>
                <w:color w:val="000000"/>
                <w:sz w:val="18"/>
                <w:szCs w:val="18"/>
                <w:highlight w:val="yellow"/>
              </w:rPr>
            </w:pPr>
            <w:r w:rsidRPr="001B44AB">
              <w:rPr>
                <w:rFonts w:eastAsia="Times New Roman"/>
                <w:color w:val="000000"/>
                <w:sz w:val="18"/>
                <w:szCs w:val="18"/>
              </w:rPr>
              <w:t>17th March 2021</w:t>
            </w:r>
          </w:p>
        </w:tc>
        <w:tc>
          <w:tcPr>
            <w:tcW w:w="1701" w:type="dxa"/>
          </w:tcPr>
          <w:p w14:paraId="2549113A" w14:textId="5F0C992E" w:rsidR="00E70865" w:rsidRPr="00DA5BA3" w:rsidRDefault="00E2450A" w:rsidP="00917E5B">
            <w:pPr>
              <w:widowControl w:val="0"/>
              <w:spacing w:line="276" w:lineRule="auto"/>
              <w:ind w:right="-84"/>
              <w:rPr>
                <w:rFonts w:eastAsia="Times New Roman"/>
                <w:color w:val="000000"/>
                <w:sz w:val="18"/>
                <w:szCs w:val="18"/>
              </w:rPr>
            </w:pPr>
            <w:r w:rsidRPr="001B44AB">
              <w:rPr>
                <w:rFonts w:eastAsia="Times New Roman"/>
                <w:color w:val="000000"/>
                <w:sz w:val="18"/>
                <w:szCs w:val="18"/>
              </w:rPr>
              <w:t xml:space="preserve">UK Foreign, Commonwealth and Development Office </w:t>
            </w:r>
            <w:r w:rsidRPr="001B44AB">
              <w:rPr>
                <w:rFonts w:eastAsia="Times New Roman"/>
                <w:color w:val="000000"/>
                <w:sz w:val="18"/>
                <w:szCs w:val="18"/>
              </w:rPr>
              <w:lastRenderedPageBreak/>
              <w:t xml:space="preserve">and </w:t>
            </w:r>
            <w:proofErr w:type="spellStart"/>
            <w:r w:rsidRPr="001B44AB">
              <w:rPr>
                <w:rFonts w:eastAsia="Times New Roman"/>
                <w:color w:val="000000"/>
                <w:sz w:val="18"/>
                <w:szCs w:val="18"/>
              </w:rPr>
              <w:t>Wellcome</w:t>
            </w:r>
            <w:proofErr w:type="spellEnd"/>
            <w:r w:rsidRPr="001B44AB">
              <w:rPr>
                <w:rFonts w:eastAsia="Times New Roman"/>
                <w:color w:val="000000"/>
                <w:sz w:val="18"/>
                <w:szCs w:val="18"/>
              </w:rPr>
              <w:t xml:space="preserve"> </w:t>
            </w:r>
            <w:r>
              <w:rPr>
                <w:rFonts w:eastAsia="Times New Roman"/>
                <w:color w:val="000000"/>
                <w:sz w:val="18"/>
                <w:szCs w:val="18"/>
              </w:rPr>
              <w:t>, t</w:t>
            </w:r>
            <w:r w:rsidRPr="001B44AB">
              <w:rPr>
                <w:rFonts w:eastAsia="Times New Roman"/>
                <w:color w:val="000000"/>
                <w:sz w:val="18"/>
                <w:szCs w:val="18"/>
              </w:rPr>
              <w:t>he Bill &amp; Melinda Gates Foundation and the EU FP7 project PREPARE.</w:t>
            </w:r>
          </w:p>
        </w:tc>
        <w:tc>
          <w:tcPr>
            <w:tcW w:w="1843" w:type="dxa"/>
          </w:tcPr>
          <w:p w14:paraId="5B6941B1" w14:textId="77777777" w:rsidR="00E2450A" w:rsidRDefault="00E2450A" w:rsidP="00917E5B">
            <w:pPr>
              <w:widowControl w:val="0"/>
              <w:spacing w:line="276" w:lineRule="auto"/>
              <w:ind w:right="-115"/>
              <w:rPr>
                <w:rFonts w:eastAsia="Times New Roman"/>
                <w:color w:val="000000"/>
                <w:sz w:val="18"/>
                <w:szCs w:val="18"/>
              </w:rPr>
            </w:pPr>
            <w:r w:rsidRPr="001B44AB">
              <w:rPr>
                <w:rFonts w:eastAsia="Times New Roman"/>
                <w:color w:val="000000"/>
                <w:sz w:val="18"/>
                <w:szCs w:val="18"/>
              </w:rPr>
              <w:lastRenderedPageBreak/>
              <w:t xml:space="preserve">10,951 (range: 100-1,733) patients in 12 countries, aged from 9 </w:t>
            </w:r>
            <w:r w:rsidRPr="001B44AB">
              <w:rPr>
                <w:rFonts w:eastAsia="Times New Roman"/>
                <w:color w:val="000000"/>
                <w:sz w:val="18"/>
                <w:szCs w:val="18"/>
              </w:rPr>
              <w:lastRenderedPageBreak/>
              <w:t>months to 93 years old; 48% female. 78% of patients were hospitalised during acute phase.</w:t>
            </w:r>
            <w:r w:rsidRPr="001B44AB">
              <w:rPr>
                <w:rFonts w:eastAsia="Times New Roman"/>
                <w:color w:val="000000"/>
                <w:sz w:val="18"/>
                <w:szCs w:val="18"/>
              </w:rPr>
              <w:br/>
              <w:t>67% (26/39) of studies were cohorts of hospitalised patients post discharge</w:t>
            </w:r>
            <w:r>
              <w:rPr>
                <w:rFonts w:eastAsia="Times New Roman"/>
                <w:color w:val="000000"/>
                <w:sz w:val="18"/>
                <w:szCs w:val="18"/>
              </w:rPr>
              <w:t>.</w:t>
            </w:r>
          </w:p>
          <w:p w14:paraId="2B061A73" w14:textId="77777777" w:rsidR="00E2450A" w:rsidRDefault="00E2450A" w:rsidP="00917E5B">
            <w:pPr>
              <w:widowControl w:val="0"/>
              <w:spacing w:line="276" w:lineRule="auto"/>
              <w:ind w:right="-115"/>
              <w:rPr>
                <w:rFonts w:eastAsia="Times New Roman"/>
                <w:color w:val="000000"/>
                <w:sz w:val="18"/>
                <w:szCs w:val="18"/>
              </w:rPr>
            </w:pPr>
            <w:r w:rsidRPr="001B44AB">
              <w:rPr>
                <w:rFonts w:eastAsia="Times New Roman"/>
                <w:color w:val="000000"/>
                <w:sz w:val="18"/>
                <w:szCs w:val="18"/>
              </w:rPr>
              <w:t>10% (4/39) followed up people who were not hospitalised</w:t>
            </w:r>
            <w:r>
              <w:rPr>
                <w:rFonts w:eastAsia="Times New Roman"/>
                <w:color w:val="000000"/>
                <w:sz w:val="18"/>
                <w:szCs w:val="18"/>
              </w:rPr>
              <w:t>.</w:t>
            </w:r>
          </w:p>
          <w:p w14:paraId="41F2A43D" w14:textId="77777777" w:rsidR="00E2450A" w:rsidRDefault="00E2450A" w:rsidP="00917E5B">
            <w:pPr>
              <w:widowControl w:val="0"/>
              <w:spacing w:line="276" w:lineRule="auto"/>
              <w:ind w:right="-115"/>
              <w:rPr>
                <w:rFonts w:eastAsia="Times New Roman"/>
                <w:color w:val="000000"/>
                <w:sz w:val="18"/>
                <w:szCs w:val="18"/>
              </w:rPr>
            </w:pPr>
            <w:r w:rsidRPr="001B44AB">
              <w:rPr>
                <w:rFonts w:eastAsia="Times New Roman"/>
                <w:color w:val="000000"/>
                <w:sz w:val="18"/>
                <w:szCs w:val="18"/>
              </w:rPr>
              <w:t>23% (9/39) included both</w:t>
            </w:r>
            <w:r>
              <w:rPr>
                <w:rFonts w:eastAsia="Times New Roman"/>
                <w:color w:val="000000"/>
                <w:sz w:val="18"/>
                <w:szCs w:val="18"/>
              </w:rPr>
              <w:t>.</w:t>
            </w:r>
          </w:p>
          <w:p w14:paraId="7F2699EF" w14:textId="5F906800" w:rsidR="00E70865" w:rsidRDefault="00E2450A" w:rsidP="00917E5B">
            <w:pPr>
              <w:widowControl w:val="0"/>
              <w:spacing w:line="276" w:lineRule="auto"/>
              <w:ind w:right="-115"/>
              <w:rPr>
                <w:rFonts w:eastAsia="Times New Roman"/>
                <w:color w:val="000000"/>
                <w:sz w:val="18"/>
                <w:szCs w:val="18"/>
              </w:rPr>
            </w:pPr>
            <w:r w:rsidRPr="001B44AB">
              <w:rPr>
                <w:rFonts w:eastAsia="Times New Roman"/>
                <w:color w:val="000000"/>
                <w:sz w:val="18"/>
                <w:szCs w:val="18"/>
              </w:rPr>
              <w:t>56% (22/39) included ICU patients.</w:t>
            </w:r>
          </w:p>
        </w:tc>
        <w:tc>
          <w:tcPr>
            <w:tcW w:w="2126" w:type="dxa"/>
          </w:tcPr>
          <w:p w14:paraId="5F0B82E4" w14:textId="77777777" w:rsidR="00971407" w:rsidRDefault="00971407" w:rsidP="00917E5B">
            <w:pPr>
              <w:widowControl w:val="0"/>
              <w:spacing w:line="276" w:lineRule="auto"/>
              <w:ind w:right="-108"/>
              <w:rPr>
                <w:rFonts w:eastAsia="Times New Roman"/>
                <w:color w:val="000000"/>
                <w:sz w:val="18"/>
                <w:szCs w:val="18"/>
              </w:rPr>
            </w:pPr>
            <w:r>
              <w:rPr>
                <w:rFonts w:eastAsia="Times New Roman"/>
                <w:color w:val="000000"/>
                <w:sz w:val="18"/>
                <w:szCs w:val="18"/>
              </w:rPr>
              <w:lastRenderedPageBreak/>
              <w:t>- P</w:t>
            </w:r>
            <w:r w:rsidRPr="001B44AB">
              <w:rPr>
                <w:rFonts w:eastAsia="Times New Roman"/>
                <w:color w:val="000000"/>
                <w:sz w:val="18"/>
                <w:szCs w:val="18"/>
              </w:rPr>
              <w:t>eer-reviewed studies</w:t>
            </w:r>
          </w:p>
          <w:p w14:paraId="04354BD2" w14:textId="77777777" w:rsidR="00971407" w:rsidRDefault="00971407" w:rsidP="00917E5B">
            <w:pPr>
              <w:widowControl w:val="0"/>
              <w:spacing w:line="276" w:lineRule="auto"/>
              <w:ind w:right="-108"/>
              <w:rPr>
                <w:rFonts w:eastAsia="Times New Roman"/>
                <w:color w:val="000000"/>
                <w:sz w:val="18"/>
                <w:szCs w:val="18"/>
              </w:rPr>
            </w:pPr>
            <w:r>
              <w:rPr>
                <w:rFonts w:eastAsia="Times New Roman"/>
                <w:color w:val="000000"/>
                <w:sz w:val="18"/>
                <w:szCs w:val="18"/>
              </w:rPr>
              <w:t>- I</w:t>
            </w:r>
            <w:r w:rsidRPr="001B44AB">
              <w:rPr>
                <w:rFonts w:eastAsia="Times New Roman"/>
                <w:color w:val="000000"/>
                <w:sz w:val="18"/>
                <w:szCs w:val="18"/>
              </w:rPr>
              <w:t xml:space="preserve">nvolved at least 100 people with laboratory </w:t>
            </w:r>
            <w:r w:rsidRPr="001B44AB">
              <w:rPr>
                <w:rFonts w:eastAsia="Times New Roman"/>
                <w:color w:val="000000"/>
                <w:sz w:val="18"/>
                <w:szCs w:val="18"/>
              </w:rPr>
              <w:lastRenderedPageBreak/>
              <w:t>confirmed and/or clinically diagnosed COVID-19</w:t>
            </w:r>
          </w:p>
          <w:p w14:paraId="659E6C3E" w14:textId="77777777" w:rsidR="00971407" w:rsidRDefault="00971407" w:rsidP="00917E5B">
            <w:pPr>
              <w:widowControl w:val="0"/>
              <w:spacing w:line="276" w:lineRule="auto"/>
              <w:ind w:right="-108"/>
              <w:rPr>
                <w:rFonts w:eastAsia="Times New Roman"/>
                <w:color w:val="000000"/>
                <w:sz w:val="18"/>
                <w:szCs w:val="18"/>
              </w:rPr>
            </w:pPr>
            <w:r>
              <w:rPr>
                <w:rFonts w:eastAsia="Times New Roman"/>
                <w:color w:val="000000"/>
                <w:sz w:val="18"/>
                <w:szCs w:val="18"/>
              </w:rPr>
              <w:t>- S</w:t>
            </w:r>
            <w:r w:rsidRPr="001B44AB">
              <w:rPr>
                <w:rFonts w:eastAsia="Times New Roman"/>
                <w:color w:val="000000"/>
                <w:sz w:val="18"/>
                <w:szCs w:val="18"/>
              </w:rPr>
              <w:t>tudies that reported symptoms or outcomes at 12+ weeks post COVID-19 onset</w:t>
            </w:r>
          </w:p>
          <w:p w14:paraId="06EC6B0D" w14:textId="49358582" w:rsidR="00E70865" w:rsidRDefault="00971407" w:rsidP="00917E5B">
            <w:pPr>
              <w:widowControl w:val="0"/>
              <w:spacing w:line="276" w:lineRule="auto"/>
              <w:ind w:right="-108"/>
              <w:rPr>
                <w:rFonts w:eastAsia="Times New Roman"/>
                <w:color w:val="000000"/>
                <w:sz w:val="18"/>
                <w:szCs w:val="18"/>
              </w:rPr>
            </w:pPr>
            <w:r>
              <w:rPr>
                <w:rFonts w:eastAsia="Times New Roman"/>
                <w:color w:val="000000"/>
                <w:sz w:val="18"/>
                <w:szCs w:val="18"/>
              </w:rPr>
              <w:t>- N</w:t>
            </w:r>
            <w:r w:rsidRPr="001B44AB">
              <w:rPr>
                <w:rFonts w:eastAsia="Times New Roman"/>
                <w:color w:val="000000"/>
                <w:sz w:val="18"/>
                <w:szCs w:val="18"/>
              </w:rPr>
              <w:t>o language restrictions</w:t>
            </w:r>
            <w:r>
              <w:rPr>
                <w:rFonts w:eastAsia="Times New Roman"/>
                <w:color w:val="000000"/>
                <w:sz w:val="18"/>
                <w:szCs w:val="18"/>
              </w:rPr>
              <w:t>.</w:t>
            </w:r>
          </w:p>
        </w:tc>
        <w:tc>
          <w:tcPr>
            <w:tcW w:w="2127" w:type="dxa"/>
          </w:tcPr>
          <w:p w14:paraId="4BA817AE" w14:textId="77777777" w:rsidR="00AC4CD6" w:rsidRDefault="00AC4CD6" w:rsidP="00917E5B">
            <w:pPr>
              <w:widowControl w:val="0"/>
              <w:spacing w:line="276" w:lineRule="auto"/>
              <w:ind w:right="-102"/>
              <w:rPr>
                <w:rFonts w:eastAsia="Times New Roman"/>
                <w:color w:val="000000"/>
                <w:sz w:val="18"/>
                <w:szCs w:val="18"/>
              </w:rPr>
            </w:pPr>
            <w:r>
              <w:rPr>
                <w:rFonts w:eastAsia="Times New Roman"/>
                <w:color w:val="000000"/>
                <w:sz w:val="18"/>
                <w:szCs w:val="18"/>
              </w:rPr>
              <w:lastRenderedPageBreak/>
              <w:t>- R</w:t>
            </w:r>
            <w:r w:rsidRPr="001B44AB">
              <w:rPr>
                <w:rFonts w:eastAsia="Times New Roman"/>
                <w:color w:val="000000"/>
                <w:sz w:val="18"/>
                <w:szCs w:val="18"/>
              </w:rPr>
              <w:t>eviews and opinion pieces</w:t>
            </w:r>
          </w:p>
          <w:p w14:paraId="776BD179" w14:textId="77777777" w:rsidR="00AC4CD6" w:rsidRDefault="00AC4CD6" w:rsidP="00917E5B">
            <w:pPr>
              <w:widowControl w:val="0"/>
              <w:spacing w:line="276" w:lineRule="auto"/>
              <w:ind w:right="-102"/>
              <w:rPr>
                <w:rFonts w:eastAsia="Times New Roman"/>
                <w:color w:val="000000"/>
                <w:sz w:val="18"/>
                <w:szCs w:val="18"/>
              </w:rPr>
            </w:pPr>
            <w:r>
              <w:rPr>
                <w:rFonts w:eastAsia="Times New Roman"/>
                <w:color w:val="000000"/>
                <w:sz w:val="18"/>
                <w:szCs w:val="18"/>
              </w:rPr>
              <w:t>- S</w:t>
            </w:r>
            <w:r w:rsidRPr="001B44AB">
              <w:rPr>
                <w:rFonts w:eastAsia="Times New Roman"/>
                <w:color w:val="000000"/>
                <w:sz w:val="18"/>
                <w:szCs w:val="18"/>
              </w:rPr>
              <w:t xml:space="preserve">tudies with &lt;100 </w:t>
            </w:r>
            <w:r w:rsidRPr="001B44AB">
              <w:rPr>
                <w:rFonts w:eastAsia="Times New Roman"/>
                <w:color w:val="000000"/>
                <w:sz w:val="18"/>
                <w:szCs w:val="18"/>
              </w:rPr>
              <w:lastRenderedPageBreak/>
              <w:t>participants</w:t>
            </w:r>
          </w:p>
          <w:p w14:paraId="34618CDD" w14:textId="77777777" w:rsidR="00AC4CD6" w:rsidRDefault="00AC4CD6" w:rsidP="00917E5B">
            <w:pPr>
              <w:widowControl w:val="0"/>
              <w:spacing w:line="276" w:lineRule="auto"/>
              <w:ind w:right="-102"/>
              <w:rPr>
                <w:rFonts w:eastAsia="Times New Roman"/>
                <w:color w:val="000000"/>
                <w:sz w:val="18"/>
                <w:szCs w:val="18"/>
              </w:rPr>
            </w:pPr>
            <w:r>
              <w:rPr>
                <w:rFonts w:eastAsia="Times New Roman"/>
                <w:color w:val="000000"/>
                <w:sz w:val="18"/>
                <w:szCs w:val="18"/>
              </w:rPr>
              <w:t>- F</w:t>
            </w:r>
            <w:r w:rsidRPr="001B44AB">
              <w:rPr>
                <w:rFonts w:eastAsia="Times New Roman"/>
                <w:color w:val="000000"/>
                <w:sz w:val="18"/>
                <w:szCs w:val="18"/>
              </w:rPr>
              <w:t>ollow-up unclear or &lt;12 post-onset</w:t>
            </w:r>
          </w:p>
          <w:p w14:paraId="36D383B3" w14:textId="2DB0F3A1" w:rsidR="00E70865" w:rsidRPr="00DA5BA3" w:rsidRDefault="00AC4CD6" w:rsidP="00917E5B">
            <w:pPr>
              <w:widowControl w:val="0"/>
              <w:spacing w:line="276" w:lineRule="auto"/>
              <w:ind w:right="-102"/>
              <w:rPr>
                <w:rFonts w:eastAsia="Times New Roman"/>
                <w:color w:val="000000"/>
                <w:sz w:val="18"/>
                <w:szCs w:val="18"/>
              </w:rPr>
            </w:pPr>
            <w:r>
              <w:rPr>
                <w:rFonts w:eastAsia="Times New Roman"/>
                <w:color w:val="000000"/>
                <w:sz w:val="18"/>
                <w:szCs w:val="18"/>
              </w:rPr>
              <w:t>- N</w:t>
            </w:r>
            <w:r w:rsidRPr="001B44AB">
              <w:rPr>
                <w:rFonts w:eastAsia="Times New Roman"/>
                <w:color w:val="000000"/>
                <w:sz w:val="18"/>
                <w:szCs w:val="18"/>
              </w:rPr>
              <w:t>on-peer-reviewed preprints</w:t>
            </w:r>
            <w:r>
              <w:rPr>
                <w:rFonts w:eastAsia="Times New Roman"/>
                <w:color w:val="000000"/>
                <w:sz w:val="18"/>
                <w:szCs w:val="18"/>
              </w:rPr>
              <w:t>.</w:t>
            </w:r>
          </w:p>
        </w:tc>
        <w:tc>
          <w:tcPr>
            <w:tcW w:w="992" w:type="dxa"/>
          </w:tcPr>
          <w:p w14:paraId="6B7049C9" w14:textId="4B7BC730" w:rsidR="00E70865" w:rsidRPr="00DA5BA3" w:rsidRDefault="00AF3A2D" w:rsidP="00917E5B">
            <w:pPr>
              <w:widowControl w:val="0"/>
              <w:spacing w:line="276" w:lineRule="auto"/>
              <w:ind w:right="-127"/>
              <w:rPr>
                <w:rFonts w:eastAsia="Times New Roman"/>
                <w:color w:val="000000"/>
                <w:sz w:val="18"/>
                <w:szCs w:val="18"/>
              </w:rPr>
            </w:pPr>
            <w:r w:rsidRPr="001B44AB">
              <w:rPr>
                <w:rFonts w:eastAsia="Times New Roman"/>
                <w:color w:val="000000"/>
                <w:sz w:val="18"/>
                <w:szCs w:val="18"/>
              </w:rPr>
              <w:lastRenderedPageBreak/>
              <w:t>39</w:t>
            </w:r>
          </w:p>
        </w:tc>
        <w:tc>
          <w:tcPr>
            <w:tcW w:w="2542" w:type="dxa"/>
          </w:tcPr>
          <w:p w14:paraId="30C19F61" w14:textId="77777777" w:rsidR="00AF3A2D" w:rsidRDefault="00AF3A2D" w:rsidP="00917E5B">
            <w:pPr>
              <w:widowControl w:val="0"/>
              <w:spacing w:line="276" w:lineRule="auto"/>
              <w:ind w:right="-107"/>
              <w:rPr>
                <w:rFonts w:eastAsia="Times New Roman"/>
                <w:color w:val="000000"/>
                <w:sz w:val="18"/>
                <w:szCs w:val="18"/>
              </w:rPr>
            </w:pPr>
            <w:r w:rsidRPr="001B44AB">
              <w:rPr>
                <w:rFonts w:eastAsia="Times New Roman"/>
                <w:color w:val="000000"/>
                <w:sz w:val="18"/>
                <w:szCs w:val="18"/>
              </w:rPr>
              <w:t>No case reports or case series.</w:t>
            </w:r>
          </w:p>
          <w:p w14:paraId="4DCB831A" w14:textId="5C85C852" w:rsidR="00E70865" w:rsidRDefault="00AF3A2D" w:rsidP="00917E5B">
            <w:pPr>
              <w:widowControl w:val="0"/>
              <w:spacing w:line="276" w:lineRule="auto"/>
              <w:ind w:right="-107"/>
              <w:rPr>
                <w:rFonts w:eastAsia="Times New Roman"/>
                <w:color w:val="000000"/>
                <w:sz w:val="18"/>
                <w:szCs w:val="18"/>
              </w:rPr>
            </w:pPr>
            <w:r>
              <w:rPr>
                <w:rFonts w:eastAsia="Times New Roman"/>
                <w:color w:val="000000"/>
                <w:sz w:val="18"/>
                <w:szCs w:val="18"/>
              </w:rPr>
              <w:t>O</w:t>
            </w:r>
            <w:r w:rsidRPr="001B44AB">
              <w:rPr>
                <w:rFonts w:eastAsia="Times New Roman"/>
                <w:color w:val="000000"/>
                <w:sz w:val="18"/>
                <w:szCs w:val="18"/>
              </w:rPr>
              <w:t>nly 4 studies included a control group.</w:t>
            </w:r>
          </w:p>
        </w:tc>
      </w:tr>
      <w:tr w:rsidR="00597FA2" w14:paraId="429ABAAB" w14:textId="77777777" w:rsidTr="00CE4F22">
        <w:tc>
          <w:tcPr>
            <w:tcW w:w="988" w:type="dxa"/>
          </w:tcPr>
          <w:p w14:paraId="49B86EDD" w14:textId="44F81D0B" w:rsidR="00597FA2" w:rsidRPr="00597FA2" w:rsidRDefault="00597FA2" w:rsidP="00917E5B">
            <w:pPr>
              <w:widowControl w:val="0"/>
              <w:spacing w:line="276" w:lineRule="auto"/>
              <w:ind w:right="-92"/>
              <w:rPr>
                <w:rFonts w:eastAsia="Times New Roman"/>
                <w:b/>
                <w:color w:val="000000"/>
                <w:sz w:val="18"/>
                <w:szCs w:val="18"/>
              </w:rPr>
            </w:pPr>
            <w:r w:rsidRPr="00597FA2">
              <w:rPr>
                <w:rFonts w:eastAsia="Times New Roman"/>
                <w:b/>
                <w:color w:val="000000"/>
                <w:sz w:val="18"/>
                <w:szCs w:val="18"/>
              </w:rPr>
              <w:t>Renaud-Charest 2021</w:t>
            </w:r>
          </w:p>
        </w:tc>
        <w:tc>
          <w:tcPr>
            <w:tcW w:w="1417" w:type="dxa"/>
          </w:tcPr>
          <w:p w14:paraId="4382001B" w14:textId="4C1715B6" w:rsidR="00597FA2" w:rsidRPr="00597FA2" w:rsidRDefault="00597FA2" w:rsidP="00917E5B">
            <w:pPr>
              <w:widowControl w:val="0"/>
              <w:spacing w:line="276" w:lineRule="auto"/>
              <w:ind w:right="-69"/>
              <w:rPr>
                <w:rFonts w:eastAsia="Times New Roman"/>
                <w:i/>
                <w:color w:val="000000"/>
                <w:sz w:val="18"/>
                <w:szCs w:val="18"/>
              </w:rPr>
            </w:pPr>
            <w:r w:rsidRPr="00597FA2">
              <w:rPr>
                <w:rFonts w:eastAsia="Times New Roman"/>
                <w:i/>
                <w:color w:val="000000"/>
                <w:sz w:val="18"/>
                <w:szCs w:val="18"/>
              </w:rPr>
              <w:t>Onset and frequency of depression in post-COVID-19 syndrome: A systematic review</w:t>
            </w:r>
          </w:p>
        </w:tc>
        <w:tc>
          <w:tcPr>
            <w:tcW w:w="851" w:type="dxa"/>
          </w:tcPr>
          <w:p w14:paraId="6D4AF442" w14:textId="525986B0" w:rsidR="00597FA2" w:rsidRPr="001B44AB" w:rsidRDefault="00597FA2" w:rsidP="00917E5B">
            <w:pPr>
              <w:widowControl w:val="0"/>
              <w:spacing w:line="276" w:lineRule="auto"/>
              <w:ind w:left="-80" w:right="-179"/>
              <w:rPr>
                <w:rFonts w:eastAsia="Times New Roman"/>
                <w:color w:val="000000"/>
                <w:sz w:val="18"/>
                <w:szCs w:val="18"/>
              </w:rPr>
            </w:pPr>
            <w:r w:rsidRPr="00FF4DC3">
              <w:rPr>
                <w:rFonts w:eastAsia="Times New Roman"/>
                <w:color w:val="000000"/>
                <w:sz w:val="18"/>
                <w:szCs w:val="18"/>
              </w:rPr>
              <w:t>Canada</w:t>
            </w:r>
          </w:p>
        </w:tc>
        <w:tc>
          <w:tcPr>
            <w:tcW w:w="1984" w:type="dxa"/>
          </w:tcPr>
          <w:p w14:paraId="6F8969C1" w14:textId="52DD3467" w:rsidR="00597FA2" w:rsidRPr="001B44AB" w:rsidRDefault="00597FA2" w:rsidP="00917E5B">
            <w:pPr>
              <w:widowControl w:val="0"/>
              <w:spacing w:line="276" w:lineRule="auto"/>
              <w:ind w:right="-111"/>
              <w:rPr>
                <w:rFonts w:eastAsia="Times New Roman"/>
                <w:color w:val="000000"/>
                <w:sz w:val="18"/>
                <w:szCs w:val="18"/>
              </w:rPr>
            </w:pPr>
            <w:r w:rsidRPr="00FF4DC3">
              <w:rPr>
                <w:rFonts w:eastAsia="Times New Roman"/>
                <w:color w:val="000000"/>
                <w:sz w:val="18"/>
                <w:szCs w:val="18"/>
              </w:rPr>
              <w:t>Databases: PubMed; Medline; Google scholar</w:t>
            </w:r>
            <w:r>
              <w:rPr>
                <w:rFonts w:eastAsia="Times New Roman"/>
                <w:color w:val="000000"/>
                <w:sz w:val="18"/>
                <w:szCs w:val="18"/>
              </w:rPr>
              <w:t>.</w:t>
            </w:r>
            <w:r w:rsidRPr="00FF4DC3">
              <w:rPr>
                <w:rFonts w:eastAsia="Times New Roman"/>
                <w:color w:val="000000"/>
                <w:sz w:val="18"/>
                <w:szCs w:val="18"/>
              </w:rPr>
              <w:br/>
            </w:r>
            <w:r>
              <w:rPr>
                <w:rFonts w:eastAsia="Times New Roman"/>
                <w:color w:val="000000"/>
                <w:sz w:val="18"/>
                <w:szCs w:val="18"/>
              </w:rPr>
              <w:t>S</w:t>
            </w:r>
            <w:r w:rsidRPr="00FF4DC3">
              <w:rPr>
                <w:rFonts w:eastAsia="Times New Roman"/>
                <w:color w:val="000000"/>
                <w:sz w:val="18"/>
                <w:szCs w:val="18"/>
              </w:rPr>
              <w:t xml:space="preserve">earch string used for PubMed and </w:t>
            </w:r>
            <w:proofErr w:type="spellStart"/>
            <w:r w:rsidRPr="00FF4DC3">
              <w:rPr>
                <w:rFonts w:eastAsia="Times New Roman"/>
                <w:color w:val="000000"/>
                <w:sz w:val="18"/>
                <w:szCs w:val="18"/>
              </w:rPr>
              <w:t>OvidMedline</w:t>
            </w:r>
            <w:proofErr w:type="spellEnd"/>
            <w:r w:rsidRPr="00FF4DC3">
              <w:rPr>
                <w:rFonts w:eastAsia="Times New Roman"/>
                <w:color w:val="000000"/>
                <w:sz w:val="18"/>
                <w:szCs w:val="18"/>
              </w:rPr>
              <w:t xml:space="preserve">: ("depression" OR mood disorders) AND ("COVID-19" OR "SARS-CoV-2" OR "Coronavirus disease 2019") AND (follow up OR prospective) AND (sequelae OR recover* OR </w:t>
            </w:r>
            <w:proofErr w:type="spellStart"/>
            <w:r w:rsidRPr="00FF4DC3">
              <w:rPr>
                <w:rFonts w:eastAsia="Times New Roman"/>
                <w:color w:val="000000"/>
                <w:sz w:val="18"/>
                <w:szCs w:val="18"/>
              </w:rPr>
              <w:t>surviv</w:t>
            </w:r>
            <w:proofErr w:type="spellEnd"/>
            <w:r w:rsidRPr="00FF4DC3">
              <w:rPr>
                <w:rFonts w:eastAsia="Times New Roman"/>
                <w:color w:val="000000"/>
                <w:sz w:val="18"/>
                <w:szCs w:val="18"/>
              </w:rPr>
              <w:t xml:space="preserve">*). </w:t>
            </w:r>
            <w:r w:rsidRPr="00FF4DC3">
              <w:rPr>
                <w:rFonts w:eastAsia="Times New Roman"/>
                <w:color w:val="000000"/>
                <w:sz w:val="18"/>
                <w:szCs w:val="18"/>
              </w:rPr>
              <w:br/>
              <w:t>A more restrictive search string was used for Google Scholar:</w:t>
            </w:r>
            <w:r w:rsidRPr="00FF4DC3">
              <w:rPr>
                <w:rFonts w:eastAsia="Times New Roman"/>
                <w:color w:val="000000"/>
                <w:sz w:val="18"/>
                <w:szCs w:val="18"/>
              </w:rPr>
              <w:br/>
              <w:t xml:space="preserve">"depression" AND "psychiatric" AND "mental health" AND "after COVID-19" AND "virus" AND "follow up" AND "sequelae". </w:t>
            </w:r>
            <w:r w:rsidRPr="00FF4DC3">
              <w:rPr>
                <w:rFonts w:eastAsia="Times New Roman"/>
                <w:color w:val="000000"/>
                <w:sz w:val="18"/>
                <w:szCs w:val="18"/>
              </w:rPr>
              <w:br/>
              <w:t>Additionally, reference lists of included articles and identified reviews on the COVID-19 neuropsychiatric sequelae were manually reviewed.</w:t>
            </w:r>
          </w:p>
        </w:tc>
        <w:tc>
          <w:tcPr>
            <w:tcW w:w="1985" w:type="dxa"/>
          </w:tcPr>
          <w:p w14:paraId="05AB12F8" w14:textId="7237143F" w:rsidR="00597FA2" w:rsidRDefault="00D573FD" w:rsidP="00917E5B">
            <w:pPr>
              <w:widowControl w:val="0"/>
              <w:spacing w:line="276" w:lineRule="auto"/>
              <w:ind w:right="-60"/>
              <w:rPr>
                <w:rFonts w:eastAsia="Times New Roman"/>
                <w:color w:val="000000"/>
                <w:sz w:val="18"/>
                <w:szCs w:val="18"/>
              </w:rPr>
            </w:pPr>
            <w:r w:rsidRPr="00FF4DC3">
              <w:rPr>
                <w:rFonts w:eastAsia="Times New Roman"/>
                <w:color w:val="000000"/>
                <w:sz w:val="18"/>
                <w:szCs w:val="18"/>
              </w:rPr>
              <w:t>To determine the frequency of depressive symptoms and clinically significant depression more than 12 weeks following SARS-CoV-2 infection</w:t>
            </w:r>
            <w:r>
              <w:rPr>
                <w:rFonts w:eastAsia="Times New Roman"/>
                <w:color w:val="000000"/>
                <w:sz w:val="18"/>
                <w:szCs w:val="18"/>
              </w:rPr>
              <w:t>.</w:t>
            </w:r>
          </w:p>
        </w:tc>
        <w:tc>
          <w:tcPr>
            <w:tcW w:w="1842" w:type="dxa"/>
          </w:tcPr>
          <w:p w14:paraId="0F035F55" w14:textId="6C2E815D" w:rsidR="00597FA2" w:rsidRDefault="00D573FD" w:rsidP="00917E5B">
            <w:pPr>
              <w:widowControl w:val="0"/>
              <w:spacing w:line="276" w:lineRule="auto"/>
              <w:ind w:right="-106"/>
              <w:rPr>
                <w:rFonts w:eastAsia="Times New Roman"/>
                <w:color w:val="000000"/>
                <w:sz w:val="18"/>
                <w:szCs w:val="18"/>
              </w:rPr>
            </w:pPr>
            <w:r w:rsidRPr="00FF4DC3">
              <w:rPr>
                <w:rFonts w:eastAsia="Times New Roman"/>
                <w:color w:val="000000"/>
                <w:sz w:val="18"/>
                <w:szCs w:val="18"/>
              </w:rPr>
              <w:t>Case-control studies, cohort studies, uncontrolled observational studies, cross-sectional studies, and retrospective chart reviews</w:t>
            </w:r>
            <w:r>
              <w:rPr>
                <w:rFonts w:eastAsia="Times New Roman"/>
                <w:color w:val="000000"/>
                <w:sz w:val="18"/>
                <w:szCs w:val="18"/>
              </w:rPr>
              <w:t>.</w:t>
            </w:r>
          </w:p>
        </w:tc>
        <w:tc>
          <w:tcPr>
            <w:tcW w:w="1134" w:type="dxa"/>
          </w:tcPr>
          <w:p w14:paraId="0F6CEBF1" w14:textId="13F7FCF6" w:rsidR="00597FA2" w:rsidRPr="001B44AB" w:rsidRDefault="00D573FD" w:rsidP="00917E5B">
            <w:pPr>
              <w:widowControl w:val="0"/>
              <w:spacing w:line="276" w:lineRule="auto"/>
              <w:ind w:right="-100"/>
              <w:rPr>
                <w:rFonts w:eastAsia="Times New Roman"/>
                <w:color w:val="000000"/>
                <w:sz w:val="18"/>
                <w:szCs w:val="18"/>
              </w:rPr>
            </w:pPr>
            <w:r w:rsidRPr="00FF4DC3">
              <w:rPr>
                <w:rFonts w:eastAsia="Times New Roman"/>
                <w:color w:val="000000"/>
                <w:sz w:val="18"/>
                <w:szCs w:val="18"/>
              </w:rPr>
              <w:t>1st January 2020</w:t>
            </w:r>
          </w:p>
        </w:tc>
        <w:tc>
          <w:tcPr>
            <w:tcW w:w="1134" w:type="dxa"/>
          </w:tcPr>
          <w:p w14:paraId="60A42888" w14:textId="3D93077B" w:rsidR="00597FA2" w:rsidRPr="001B44AB" w:rsidRDefault="00D573FD" w:rsidP="00917E5B">
            <w:pPr>
              <w:widowControl w:val="0"/>
              <w:spacing w:line="276" w:lineRule="auto"/>
              <w:ind w:right="-121"/>
              <w:rPr>
                <w:rFonts w:eastAsia="Times New Roman"/>
                <w:color w:val="000000"/>
                <w:sz w:val="18"/>
                <w:szCs w:val="18"/>
              </w:rPr>
            </w:pPr>
            <w:r w:rsidRPr="00FF4DC3">
              <w:rPr>
                <w:rFonts w:eastAsia="Times New Roman"/>
                <w:color w:val="000000"/>
                <w:sz w:val="18"/>
                <w:szCs w:val="18"/>
              </w:rPr>
              <w:t>5th June 2021</w:t>
            </w:r>
          </w:p>
        </w:tc>
        <w:tc>
          <w:tcPr>
            <w:tcW w:w="1701" w:type="dxa"/>
          </w:tcPr>
          <w:p w14:paraId="14B3DB26" w14:textId="11877DD9" w:rsidR="00597FA2" w:rsidRPr="001B44AB" w:rsidRDefault="00D573FD" w:rsidP="00917E5B">
            <w:pPr>
              <w:widowControl w:val="0"/>
              <w:spacing w:line="276" w:lineRule="auto"/>
              <w:ind w:right="-84"/>
              <w:rPr>
                <w:rFonts w:eastAsia="Times New Roman"/>
                <w:color w:val="000000"/>
                <w:sz w:val="18"/>
                <w:szCs w:val="18"/>
              </w:rPr>
            </w:pPr>
            <w:r>
              <w:rPr>
                <w:rFonts w:eastAsia="Times New Roman"/>
                <w:color w:val="000000"/>
                <w:sz w:val="18"/>
                <w:szCs w:val="18"/>
              </w:rPr>
              <w:t>Unclear.</w:t>
            </w:r>
          </w:p>
        </w:tc>
        <w:tc>
          <w:tcPr>
            <w:tcW w:w="1843" w:type="dxa"/>
          </w:tcPr>
          <w:p w14:paraId="52EB104E" w14:textId="503445BC" w:rsidR="00597FA2" w:rsidRPr="001B44AB" w:rsidRDefault="00A81CCC" w:rsidP="00917E5B">
            <w:pPr>
              <w:widowControl w:val="0"/>
              <w:spacing w:line="276" w:lineRule="auto"/>
              <w:ind w:right="-115"/>
              <w:rPr>
                <w:rFonts w:eastAsia="Times New Roman"/>
                <w:color w:val="000000"/>
                <w:sz w:val="18"/>
                <w:szCs w:val="18"/>
              </w:rPr>
            </w:pPr>
            <w:r w:rsidRPr="00FF4DC3">
              <w:rPr>
                <w:rFonts w:eastAsia="Times New Roman"/>
                <w:color w:val="000000"/>
                <w:sz w:val="18"/>
                <w:szCs w:val="18"/>
              </w:rPr>
              <w:t>Mix of hospitalised (ICU or no ICU admission) and non-hospitalised patients</w:t>
            </w:r>
            <w:r>
              <w:rPr>
                <w:rFonts w:eastAsia="Times New Roman"/>
                <w:color w:val="000000"/>
                <w:sz w:val="18"/>
                <w:szCs w:val="18"/>
              </w:rPr>
              <w:t>.</w:t>
            </w:r>
          </w:p>
        </w:tc>
        <w:tc>
          <w:tcPr>
            <w:tcW w:w="2126" w:type="dxa"/>
          </w:tcPr>
          <w:p w14:paraId="6AD31B42" w14:textId="77777777" w:rsidR="00A81CCC" w:rsidRDefault="00A81CCC" w:rsidP="00917E5B">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FF4DC3">
              <w:rPr>
                <w:rFonts w:eastAsia="Times New Roman"/>
                <w:color w:val="000000"/>
                <w:sz w:val="18"/>
                <w:szCs w:val="18"/>
              </w:rPr>
              <w:t>English language articles</w:t>
            </w:r>
          </w:p>
          <w:p w14:paraId="019DC2D0" w14:textId="77777777" w:rsidR="00A81CCC" w:rsidRDefault="00A81CCC" w:rsidP="00917E5B">
            <w:pPr>
              <w:widowControl w:val="0"/>
              <w:spacing w:line="276" w:lineRule="auto"/>
              <w:ind w:right="-108"/>
              <w:rPr>
                <w:rFonts w:eastAsia="Times New Roman"/>
                <w:color w:val="000000"/>
                <w:sz w:val="18"/>
                <w:szCs w:val="18"/>
              </w:rPr>
            </w:pPr>
            <w:r>
              <w:rPr>
                <w:rFonts w:eastAsia="Times New Roman"/>
                <w:color w:val="000000"/>
                <w:sz w:val="18"/>
                <w:szCs w:val="18"/>
              </w:rPr>
              <w:t>- C</w:t>
            </w:r>
            <w:r w:rsidRPr="00FF4DC3">
              <w:rPr>
                <w:rFonts w:eastAsia="Times New Roman"/>
                <w:color w:val="000000"/>
                <w:sz w:val="18"/>
                <w:szCs w:val="18"/>
              </w:rPr>
              <w:t>ase-control studies, cohort studies, uncontrolled</w:t>
            </w:r>
            <w:r w:rsidRPr="00FF4DC3">
              <w:rPr>
                <w:rFonts w:eastAsia="Times New Roman"/>
                <w:color w:val="000000"/>
                <w:sz w:val="18"/>
                <w:szCs w:val="18"/>
              </w:rPr>
              <w:br/>
              <w:t>observational studies, cross-sectional studies, and retrospective chart reviews</w:t>
            </w:r>
          </w:p>
          <w:p w14:paraId="397D847E" w14:textId="77777777" w:rsidR="00A81CCC" w:rsidRDefault="00A81CCC" w:rsidP="00917E5B">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FF4DC3">
              <w:rPr>
                <w:rFonts w:eastAsia="Times New Roman"/>
                <w:color w:val="000000"/>
                <w:sz w:val="18"/>
                <w:szCs w:val="18"/>
              </w:rPr>
              <w:t>SARS-CoV-2 infection confirmed by reverse transcriptase</w:t>
            </w:r>
            <w:r w:rsidRPr="00FF4DC3">
              <w:rPr>
                <w:rFonts w:eastAsia="Times New Roman"/>
                <w:color w:val="000000"/>
                <w:sz w:val="18"/>
                <w:szCs w:val="18"/>
              </w:rPr>
              <w:br/>
              <w:t>polymerase chain reaction (RT-PCR) of nasopharyngeal or saliva swabs, or confirmed by antibody assays of blood</w:t>
            </w:r>
          </w:p>
          <w:p w14:paraId="1EDD4F76" w14:textId="63B68BF4" w:rsidR="00597FA2" w:rsidRDefault="00A81CCC" w:rsidP="00917E5B">
            <w:pPr>
              <w:widowControl w:val="0"/>
              <w:spacing w:line="276" w:lineRule="auto"/>
              <w:ind w:right="-108"/>
              <w:rPr>
                <w:rFonts w:eastAsia="Times New Roman"/>
                <w:color w:val="000000"/>
                <w:sz w:val="18"/>
                <w:szCs w:val="18"/>
              </w:rPr>
            </w:pPr>
            <w:r>
              <w:rPr>
                <w:rFonts w:eastAsia="Times New Roman"/>
                <w:color w:val="000000"/>
                <w:sz w:val="18"/>
                <w:szCs w:val="18"/>
              </w:rPr>
              <w:t>- D</w:t>
            </w:r>
            <w:r w:rsidRPr="00FF4DC3">
              <w:rPr>
                <w:rFonts w:eastAsia="Times New Roman"/>
                <w:color w:val="000000"/>
                <w:sz w:val="18"/>
                <w:szCs w:val="18"/>
              </w:rPr>
              <w:t>epressive symptoms and clinically-significant depression assessed using a validated and standardized</w:t>
            </w:r>
            <w:r w:rsidRPr="00FF4DC3">
              <w:rPr>
                <w:rFonts w:eastAsia="Times New Roman"/>
                <w:color w:val="000000"/>
                <w:sz w:val="18"/>
                <w:szCs w:val="18"/>
              </w:rPr>
              <w:br/>
              <w:t>scale (e.g., HADS-D, PHQ-9) or criteria from the Diagnostic and Statistical Manual of Mental Disorders (DSM-IV or DSM-V), and depressive symptoms and clinically-significant depression assessed more than 12 weeks following SARS-CoV-2 infection.</w:t>
            </w:r>
          </w:p>
        </w:tc>
        <w:tc>
          <w:tcPr>
            <w:tcW w:w="2127" w:type="dxa"/>
          </w:tcPr>
          <w:p w14:paraId="7C69E4CC" w14:textId="77777777" w:rsidR="007C605A" w:rsidRDefault="007C605A" w:rsidP="00917E5B">
            <w:pPr>
              <w:widowControl w:val="0"/>
              <w:spacing w:line="276" w:lineRule="auto"/>
              <w:ind w:right="-102"/>
              <w:rPr>
                <w:rFonts w:eastAsia="Times New Roman"/>
                <w:color w:val="000000"/>
                <w:sz w:val="18"/>
                <w:szCs w:val="18"/>
              </w:rPr>
            </w:pPr>
            <w:r>
              <w:rPr>
                <w:rFonts w:eastAsia="Times New Roman"/>
                <w:color w:val="000000"/>
                <w:sz w:val="18"/>
                <w:szCs w:val="18"/>
              </w:rPr>
              <w:t>- A</w:t>
            </w:r>
            <w:r w:rsidRPr="00FF4DC3">
              <w:rPr>
                <w:rFonts w:eastAsia="Times New Roman"/>
                <w:color w:val="000000"/>
                <w:sz w:val="18"/>
                <w:szCs w:val="18"/>
              </w:rPr>
              <w:t>nimal studies</w:t>
            </w:r>
          </w:p>
          <w:p w14:paraId="7DB28583" w14:textId="77777777" w:rsidR="007C605A" w:rsidRDefault="007C605A" w:rsidP="00917E5B">
            <w:pPr>
              <w:widowControl w:val="0"/>
              <w:spacing w:line="276" w:lineRule="auto"/>
              <w:ind w:right="-102"/>
              <w:rPr>
                <w:rFonts w:eastAsia="Times New Roman"/>
                <w:color w:val="000000"/>
                <w:sz w:val="18"/>
                <w:szCs w:val="18"/>
              </w:rPr>
            </w:pPr>
            <w:r>
              <w:rPr>
                <w:rFonts w:eastAsia="Times New Roman"/>
                <w:color w:val="000000"/>
                <w:sz w:val="18"/>
                <w:szCs w:val="18"/>
              </w:rPr>
              <w:t>- C</w:t>
            </w:r>
            <w:r w:rsidRPr="00FF4DC3">
              <w:rPr>
                <w:rFonts w:eastAsia="Times New Roman"/>
                <w:color w:val="000000"/>
                <w:sz w:val="18"/>
                <w:szCs w:val="18"/>
              </w:rPr>
              <w:t xml:space="preserve">ase reports, unpublished data sets, review articles, </w:t>
            </w:r>
            <w:proofErr w:type="spellStart"/>
            <w:r w:rsidRPr="00FF4DC3">
              <w:rPr>
                <w:rFonts w:eastAsia="Times New Roman"/>
                <w:color w:val="000000"/>
                <w:sz w:val="18"/>
                <w:szCs w:val="18"/>
              </w:rPr>
              <w:t>metaanalyses</w:t>
            </w:r>
            <w:proofErr w:type="spellEnd"/>
          </w:p>
          <w:p w14:paraId="5A2D53C0" w14:textId="77777777" w:rsidR="007C605A" w:rsidRDefault="007C605A" w:rsidP="00917E5B">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FF4DC3">
              <w:rPr>
                <w:rFonts w:eastAsia="Times New Roman"/>
                <w:color w:val="000000"/>
                <w:sz w:val="18"/>
                <w:szCs w:val="18"/>
              </w:rPr>
              <w:t>SARS-CoV-2 infection not confirmed by RT-PCR of nasopharyngeal or saliva swabs, or antibody assays of blood</w:t>
            </w:r>
          </w:p>
          <w:p w14:paraId="2B3E3484" w14:textId="14032148" w:rsidR="00597FA2" w:rsidRDefault="007C605A" w:rsidP="00917E5B">
            <w:pPr>
              <w:widowControl w:val="0"/>
              <w:spacing w:line="276" w:lineRule="auto"/>
              <w:ind w:right="-102"/>
              <w:rPr>
                <w:rFonts w:eastAsia="Times New Roman"/>
                <w:color w:val="000000"/>
                <w:sz w:val="18"/>
                <w:szCs w:val="18"/>
              </w:rPr>
            </w:pPr>
            <w:r>
              <w:rPr>
                <w:rFonts w:eastAsia="Times New Roman"/>
                <w:color w:val="000000"/>
                <w:sz w:val="18"/>
                <w:szCs w:val="18"/>
              </w:rPr>
              <w:t>- D</w:t>
            </w:r>
            <w:r w:rsidRPr="00FF4DC3">
              <w:rPr>
                <w:rFonts w:eastAsia="Times New Roman"/>
                <w:color w:val="000000"/>
                <w:sz w:val="18"/>
                <w:szCs w:val="18"/>
              </w:rPr>
              <w:t>epressive symptoms and clinically-significant depression in the general population reported as socioeconomic consequences of the COVID-19</w:t>
            </w:r>
            <w:r w:rsidRPr="00FF4DC3">
              <w:rPr>
                <w:rFonts w:eastAsia="Times New Roman"/>
                <w:color w:val="000000"/>
                <w:sz w:val="18"/>
                <w:szCs w:val="18"/>
              </w:rPr>
              <w:br/>
              <w:t>pandemic</w:t>
            </w:r>
            <w:r>
              <w:rPr>
                <w:rFonts w:eastAsia="Times New Roman"/>
                <w:color w:val="000000"/>
                <w:sz w:val="18"/>
                <w:szCs w:val="18"/>
              </w:rPr>
              <w:t>.</w:t>
            </w:r>
          </w:p>
        </w:tc>
        <w:tc>
          <w:tcPr>
            <w:tcW w:w="992" w:type="dxa"/>
          </w:tcPr>
          <w:p w14:paraId="0C716CD8" w14:textId="0318F040" w:rsidR="00597FA2" w:rsidRPr="001B44AB" w:rsidRDefault="00AC68AF" w:rsidP="00917E5B">
            <w:pPr>
              <w:widowControl w:val="0"/>
              <w:spacing w:line="276" w:lineRule="auto"/>
              <w:ind w:right="-127"/>
              <w:rPr>
                <w:rFonts w:eastAsia="Times New Roman"/>
                <w:color w:val="000000"/>
                <w:sz w:val="18"/>
                <w:szCs w:val="18"/>
              </w:rPr>
            </w:pPr>
            <w:r w:rsidRPr="00FF4DC3">
              <w:rPr>
                <w:rFonts w:eastAsia="Times New Roman"/>
                <w:color w:val="000000"/>
                <w:sz w:val="18"/>
                <w:szCs w:val="18"/>
              </w:rPr>
              <w:t>8</w:t>
            </w:r>
          </w:p>
        </w:tc>
        <w:tc>
          <w:tcPr>
            <w:tcW w:w="2542" w:type="dxa"/>
          </w:tcPr>
          <w:p w14:paraId="7669597B" w14:textId="23719138" w:rsidR="00597FA2" w:rsidRPr="001B44AB" w:rsidRDefault="00AC68AF" w:rsidP="00917E5B">
            <w:pPr>
              <w:widowControl w:val="0"/>
              <w:spacing w:line="276" w:lineRule="auto"/>
              <w:ind w:right="-107"/>
              <w:rPr>
                <w:rFonts w:eastAsia="Times New Roman"/>
                <w:color w:val="000000"/>
                <w:sz w:val="18"/>
                <w:szCs w:val="18"/>
              </w:rPr>
            </w:pPr>
            <w:r w:rsidRPr="00FF4DC3">
              <w:rPr>
                <w:rFonts w:eastAsia="Times New Roman"/>
                <w:color w:val="000000"/>
                <w:sz w:val="18"/>
                <w:szCs w:val="18"/>
              </w:rPr>
              <w:t>Six uncontrolled observational studies and two prospective cohort studies.</w:t>
            </w:r>
            <w:r w:rsidRPr="00FF4DC3">
              <w:rPr>
                <w:rFonts w:eastAsia="Times New Roman"/>
                <w:color w:val="000000"/>
                <w:sz w:val="18"/>
                <w:szCs w:val="18"/>
              </w:rPr>
              <w:br/>
            </w:r>
            <w:r w:rsidRPr="00FF4DC3">
              <w:rPr>
                <w:rFonts w:eastAsia="Times New Roman"/>
                <w:color w:val="000000"/>
                <w:sz w:val="18"/>
                <w:szCs w:val="18"/>
              </w:rPr>
              <w:br/>
              <w:t>Methodological quality and risk of bias assessed by Newcastle-Ottawa Scale: five studies had high NOS scores; three had moderate scores</w:t>
            </w:r>
            <w:r>
              <w:rPr>
                <w:rFonts w:eastAsia="Times New Roman"/>
                <w:color w:val="000000"/>
                <w:sz w:val="18"/>
                <w:szCs w:val="18"/>
              </w:rPr>
              <w:t>.</w:t>
            </w:r>
          </w:p>
        </w:tc>
      </w:tr>
      <w:tr w:rsidR="0098125C" w14:paraId="5D14E54D" w14:textId="77777777" w:rsidTr="00CE4F22">
        <w:tc>
          <w:tcPr>
            <w:tcW w:w="988" w:type="dxa"/>
          </w:tcPr>
          <w:p w14:paraId="5324595B" w14:textId="3D9E07E0" w:rsidR="0098125C" w:rsidRPr="00494286" w:rsidRDefault="0098125C" w:rsidP="0098125C">
            <w:pPr>
              <w:widowControl w:val="0"/>
              <w:spacing w:line="276" w:lineRule="auto"/>
              <w:ind w:right="-92"/>
              <w:rPr>
                <w:rFonts w:eastAsia="Times New Roman"/>
                <w:b/>
                <w:color w:val="000000"/>
                <w:sz w:val="18"/>
                <w:szCs w:val="18"/>
              </w:rPr>
            </w:pPr>
            <w:r w:rsidRPr="00494286">
              <w:rPr>
                <w:rFonts w:eastAsia="Times New Roman"/>
                <w:b/>
                <w:color w:val="000000"/>
                <w:sz w:val="18"/>
                <w:szCs w:val="18"/>
              </w:rPr>
              <w:t>Hussain 2022</w:t>
            </w:r>
          </w:p>
        </w:tc>
        <w:tc>
          <w:tcPr>
            <w:tcW w:w="1417" w:type="dxa"/>
          </w:tcPr>
          <w:p w14:paraId="3484E48F" w14:textId="1A873BA9" w:rsidR="0098125C" w:rsidRPr="00494286" w:rsidRDefault="0098125C" w:rsidP="0098125C">
            <w:pPr>
              <w:widowControl w:val="0"/>
              <w:spacing w:line="276" w:lineRule="auto"/>
              <w:ind w:right="-69"/>
              <w:rPr>
                <w:rFonts w:eastAsia="Times New Roman"/>
                <w:i/>
                <w:color w:val="000000"/>
                <w:sz w:val="18"/>
                <w:szCs w:val="18"/>
              </w:rPr>
            </w:pPr>
            <w:r w:rsidRPr="00494286">
              <w:rPr>
                <w:rFonts w:eastAsia="Times New Roman"/>
                <w:i/>
                <w:color w:val="000000"/>
                <w:sz w:val="18"/>
                <w:szCs w:val="18"/>
              </w:rPr>
              <w:t>A systematic review of acute telogen effluvium, a harrowing post</w:t>
            </w:r>
            <w:r w:rsidR="003C3165">
              <w:rPr>
                <w:rFonts w:eastAsia="Times New Roman"/>
                <w:i/>
                <w:color w:val="000000"/>
                <w:sz w:val="18"/>
                <w:szCs w:val="18"/>
              </w:rPr>
              <w:t xml:space="preserve"> – </w:t>
            </w:r>
            <w:r w:rsidRPr="00494286">
              <w:rPr>
                <w:rFonts w:eastAsia="Times New Roman"/>
                <w:i/>
                <w:color w:val="000000"/>
                <w:sz w:val="18"/>
                <w:szCs w:val="18"/>
              </w:rPr>
              <w:t>COVID</w:t>
            </w:r>
            <w:r w:rsidR="003C3165">
              <w:rPr>
                <w:rFonts w:eastAsia="Times New Roman"/>
                <w:i/>
                <w:color w:val="000000"/>
                <w:sz w:val="18"/>
                <w:szCs w:val="18"/>
              </w:rPr>
              <w:t>-</w:t>
            </w:r>
            <w:r w:rsidRPr="00494286">
              <w:rPr>
                <w:rFonts w:eastAsia="Times New Roman"/>
                <w:i/>
                <w:color w:val="000000"/>
                <w:sz w:val="18"/>
                <w:szCs w:val="18"/>
              </w:rPr>
              <w:t xml:space="preserve">19 </w:t>
            </w:r>
            <w:r w:rsidRPr="00494286">
              <w:rPr>
                <w:rFonts w:eastAsia="Times New Roman"/>
                <w:i/>
                <w:color w:val="000000"/>
                <w:sz w:val="18"/>
                <w:szCs w:val="18"/>
              </w:rPr>
              <w:lastRenderedPageBreak/>
              <w:t>manifestation</w:t>
            </w:r>
          </w:p>
        </w:tc>
        <w:tc>
          <w:tcPr>
            <w:tcW w:w="851" w:type="dxa"/>
          </w:tcPr>
          <w:p w14:paraId="69410D06" w14:textId="617D2BB9" w:rsidR="0098125C" w:rsidRPr="00FF4DC3" w:rsidRDefault="0098125C" w:rsidP="0098125C">
            <w:pPr>
              <w:widowControl w:val="0"/>
              <w:spacing w:line="276" w:lineRule="auto"/>
              <w:ind w:left="-80" w:right="-179"/>
              <w:rPr>
                <w:rFonts w:eastAsia="Times New Roman"/>
                <w:color w:val="000000"/>
                <w:sz w:val="18"/>
                <w:szCs w:val="18"/>
              </w:rPr>
            </w:pPr>
            <w:r w:rsidRPr="00ED655A">
              <w:rPr>
                <w:rFonts w:eastAsia="Times New Roman"/>
                <w:color w:val="000000"/>
                <w:sz w:val="18"/>
                <w:szCs w:val="18"/>
              </w:rPr>
              <w:lastRenderedPageBreak/>
              <w:t xml:space="preserve">The </w:t>
            </w:r>
            <w:r w:rsidRPr="0065749B">
              <w:rPr>
                <w:rFonts w:eastAsia="Times New Roman"/>
                <w:color w:val="000000"/>
                <w:spacing w:val="-10"/>
                <w:sz w:val="18"/>
                <w:szCs w:val="18"/>
              </w:rPr>
              <w:t>Netherlands</w:t>
            </w:r>
          </w:p>
        </w:tc>
        <w:tc>
          <w:tcPr>
            <w:tcW w:w="1984" w:type="dxa"/>
          </w:tcPr>
          <w:p w14:paraId="7F9D9F87" w14:textId="5BDBB0D9" w:rsidR="0098125C" w:rsidRPr="00FF4DC3" w:rsidRDefault="0098125C" w:rsidP="0098125C">
            <w:pPr>
              <w:widowControl w:val="0"/>
              <w:spacing w:line="276" w:lineRule="auto"/>
              <w:ind w:right="-111"/>
              <w:rPr>
                <w:rFonts w:eastAsia="Times New Roman"/>
                <w:color w:val="000000"/>
                <w:sz w:val="18"/>
                <w:szCs w:val="18"/>
              </w:rPr>
            </w:pPr>
            <w:r w:rsidRPr="00ED655A">
              <w:rPr>
                <w:rFonts w:eastAsia="Times New Roman"/>
                <w:color w:val="000000"/>
                <w:sz w:val="18"/>
                <w:szCs w:val="18"/>
              </w:rPr>
              <w:t xml:space="preserve">MEDLINE/PubMed and Embase databases for studies published Dec 2019 - 5 Oct 2021. </w:t>
            </w:r>
            <w:r w:rsidRPr="00ED655A">
              <w:rPr>
                <w:rFonts w:eastAsia="Times New Roman"/>
                <w:color w:val="000000"/>
                <w:sz w:val="18"/>
                <w:szCs w:val="18"/>
              </w:rPr>
              <w:br/>
            </w:r>
            <w:r>
              <w:rPr>
                <w:rFonts w:eastAsia="Times New Roman"/>
                <w:color w:val="000000"/>
                <w:sz w:val="18"/>
                <w:szCs w:val="18"/>
              </w:rPr>
              <w:t>S</w:t>
            </w:r>
            <w:r w:rsidRPr="00ED655A">
              <w:rPr>
                <w:rFonts w:eastAsia="Times New Roman"/>
                <w:color w:val="000000"/>
                <w:sz w:val="18"/>
                <w:szCs w:val="18"/>
              </w:rPr>
              <w:t>earch terms included</w:t>
            </w:r>
            <w:r>
              <w:rPr>
                <w:rFonts w:eastAsia="Times New Roman"/>
                <w:color w:val="000000"/>
                <w:sz w:val="18"/>
                <w:szCs w:val="18"/>
              </w:rPr>
              <w:t>:</w:t>
            </w:r>
            <w:r w:rsidRPr="00ED655A">
              <w:rPr>
                <w:rFonts w:eastAsia="Times New Roman"/>
                <w:color w:val="000000"/>
                <w:sz w:val="18"/>
                <w:szCs w:val="18"/>
              </w:rPr>
              <w:t xml:space="preserve"> </w:t>
            </w:r>
            <w:r w:rsidR="003C3165">
              <w:rPr>
                <w:rFonts w:eastAsia="Times New Roman"/>
                <w:color w:val="000000"/>
                <w:sz w:val="18"/>
                <w:szCs w:val="18"/>
              </w:rPr>
              <w:t>“</w:t>
            </w:r>
            <w:r w:rsidRPr="00ED655A">
              <w:rPr>
                <w:rFonts w:eastAsia="Times New Roman"/>
                <w:color w:val="000000"/>
                <w:sz w:val="18"/>
                <w:szCs w:val="18"/>
              </w:rPr>
              <w:t>Coronavirus</w:t>
            </w:r>
            <w:r w:rsidR="003C3165">
              <w:rPr>
                <w:rFonts w:eastAsia="Times New Roman"/>
                <w:color w:val="000000"/>
                <w:sz w:val="18"/>
                <w:szCs w:val="18"/>
              </w:rPr>
              <w:t>”</w:t>
            </w:r>
            <w:r w:rsidRPr="00ED655A">
              <w:rPr>
                <w:rFonts w:eastAsia="Times New Roman"/>
                <w:color w:val="000000"/>
                <w:sz w:val="18"/>
                <w:szCs w:val="18"/>
              </w:rPr>
              <w:t xml:space="preserve">‚ </w:t>
            </w:r>
            <w:r w:rsidR="003C3165">
              <w:rPr>
                <w:rFonts w:eastAsia="Times New Roman"/>
                <w:color w:val="000000"/>
                <w:sz w:val="18"/>
                <w:szCs w:val="18"/>
              </w:rPr>
              <w:t>“</w:t>
            </w:r>
            <w:r w:rsidRPr="00ED655A">
              <w:rPr>
                <w:rFonts w:eastAsia="Times New Roman"/>
                <w:color w:val="000000"/>
                <w:sz w:val="18"/>
                <w:szCs w:val="18"/>
              </w:rPr>
              <w:t>Covid</w:t>
            </w:r>
            <w:r w:rsidR="003C3165">
              <w:rPr>
                <w:rFonts w:eastAsia="Times New Roman"/>
                <w:color w:val="000000"/>
                <w:sz w:val="18"/>
                <w:szCs w:val="18"/>
              </w:rPr>
              <w:t>-</w:t>
            </w:r>
            <w:r w:rsidRPr="00ED655A">
              <w:rPr>
                <w:rFonts w:eastAsia="Times New Roman"/>
                <w:color w:val="000000"/>
                <w:sz w:val="18"/>
                <w:szCs w:val="18"/>
              </w:rPr>
              <w:lastRenderedPageBreak/>
              <w:t>19</w:t>
            </w:r>
            <w:r w:rsidR="003C3165">
              <w:rPr>
                <w:rFonts w:eastAsia="Times New Roman"/>
                <w:color w:val="000000"/>
                <w:sz w:val="18"/>
                <w:szCs w:val="18"/>
              </w:rPr>
              <w:t>”, “</w:t>
            </w:r>
            <w:r w:rsidRPr="00ED655A">
              <w:rPr>
                <w:rFonts w:eastAsia="Times New Roman"/>
                <w:color w:val="000000"/>
                <w:sz w:val="18"/>
                <w:szCs w:val="18"/>
              </w:rPr>
              <w:t>SARS</w:t>
            </w:r>
            <w:r w:rsidR="003C3165">
              <w:rPr>
                <w:rFonts w:eastAsia="Times New Roman"/>
                <w:color w:val="000000"/>
                <w:sz w:val="18"/>
                <w:szCs w:val="18"/>
              </w:rPr>
              <w:t>-</w:t>
            </w:r>
            <w:r w:rsidRPr="00ED655A">
              <w:rPr>
                <w:rFonts w:eastAsia="Times New Roman"/>
                <w:color w:val="000000"/>
                <w:sz w:val="18"/>
                <w:szCs w:val="18"/>
              </w:rPr>
              <w:t>CoV</w:t>
            </w:r>
            <w:r w:rsidR="003C3165">
              <w:rPr>
                <w:rFonts w:eastAsia="Times New Roman"/>
                <w:color w:val="000000"/>
                <w:sz w:val="18"/>
                <w:szCs w:val="18"/>
              </w:rPr>
              <w:t>-</w:t>
            </w:r>
            <w:r w:rsidRPr="003C3165">
              <w:rPr>
                <w:rFonts w:eastAsia="Times New Roman"/>
                <w:color w:val="000000"/>
                <w:sz w:val="18"/>
                <w:szCs w:val="18"/>
              </w:rPr>
              <w:t>2</w:t>
            </w:r>
            <w:r w:rsidR="003C3165" w:rsidRPr="003C3165">
              <w:rPr>
                <w:rFonts w:eastAsia="Times New Roman"/>
                <w:color w:val="000000"/>
                <w:sz w:val="18"/>
                <w:szCs w:val="18"/>
              </w:rPr>
              <w:t>”</w:t>
            </w:r>
            <w:r w:rsidR="003C3165">
              <w:rPr>
                <w:rFonts w:eastAsia="Times New Roman"/>
                <w:color w:val="000000"/>
                <w:sz w:val="18"/>
                <w:szCs w:val="18"/>
              </w:rPr>
              <w:t>, “</w:t>
            </w:r>
            <w:r w:rsidRPr="00ED655A">
              <w:rPr>
                <w:rFonts w:eastAsia="Times New Roman"/>
                <w:color w:val="000000"/>
                <w:sz w:val="18"/>
                <w:szCs w:val="18"/>
              </w:rPr>
              <w:t>Telogen effluvium</w:t>
            </w:r>
            <w:r w:rsidR="003C3165" w:rsidRPr="003C3165">
              <w:rPr>
                <w:rFonts w:eastAsia="Times New Roman"/>
                <w:color w:val="000000"/>
                <w:sz w:val="18"/>
                <w:szCs w:val="18"/>
              </w:rPr>
              <w:t>”</w:t>
            </w:r>
            <w:r w:rsidRPr="003C3165">
              <w:rPr>
                <w:rFonts w:eastAsia="Times New Roman"/>
                <w:color w:val="000000"/>
                <w:sz w:val="18"/>
                <w:szCs w:val="18"/>
              </w:rPr>
              <w:t>‚</w:t>
            </w:r>
            <w:r w:rsidR="003C3165" w:rsidRPr="003C3165">
              <w:rPr>
                <w:rFonts w:eastAsia="Times New Roman"/>
                <w:color w:val="000000"/>
                <w:sz w:val="18"/>
                <w:szCs w:val="18"/>
              </w:rPr>
              <w:t xml:space="preserve"> “</w:t>
            </w:r>
            <w:r w:rsidRPr="003C3165">
              <w:rPr>
                <w:rFonts w:eastAsia="Times New Roman"/>
                <w:color w:val="000000"/>
                <w:sz w:val="18"/>
                <w:szCs w:val="18"/>
              </w:rPr>
              <w:t>TE</w:t>
            </w:r>
            <w:r w:rsidR="003C3165" w:rsidRPr="003C3165">
              <w:rPr>
                <w:rFonts w:eastAsia="Times New Roman"/>
                <w:color w:val="000000"/>
                <w:sz w:val="18"/>
                <w:szCs w:val="18"/>
              </w:rPr>
              <w:t>”</w:t>
            </w:r>
            <w:r w:rsidRPr="003C3165">
              <w:rPr>
                <w:rFonts w:eastAsia="Times New Roman"/>
                <w:color w:val="000000"/>
                <w:sz w:val="18"/>
                <w:szCs w:val="18"/>
              </w:rPr>
              <w:t>‚</w:t>
            </w:r>
            <w:r w:rsidR="003C3165" w:rsidRPr="003C3165">
              <w:rPr>
                <w:rFonts w:eastAsia="Times New Roman"/>
                <w:color w:val="000000"/>
                <w:sz w:val="18"/>
                <w:szCs w:val="18"/>
              </w:rPr>
              <w:t xml:space="preserve"> “</w:t>
            </w:r>
            <w:r w:rsidRPr="003C3165">
              <w:rPr>
                <w:rFonts w:eastAsia="Times New Roman"/>
                <w:color w:val="000000"/>
                <w:sz w:val="18"/>
                <w:szCs w:val="18"/>
              </w:rPr>
              <w:t>Hair loss</w:t>
            </w:r>
            <w:r w:rsidR="003C3165" w:rsidRPr="003C3165">
              <w:rPr>
                <w:rFonts w:eastAsia="Times New Roman"/>
                <w:color w:val="000000"/>
                <w:sz w:val="18"/>
                <w:szCs w:val="18"/>
              </w:rPr>
              <w:t>”</w:t>
            </w:r>
            <w:r w:rsidRPr="003C3165">
              <w:rPr>
                <w:rFonts w:eastAsia="Times New Roman"/>
                <w:color w:val="000000"/>
                <w:sz w:val="18"/>
                <w:szCs w:val="18"/>
              </w:rPr>
              <w:t>‚</w:t>
            </w:r>
            <w:r w:rsidR="003C3165" w:rsidRPr="003C3165">
              <w:rPr>
                <w:rFonts w:eastAsia="Times New Roman"/>
                <w:color w:val="000000"/>
                <w:sz w:val="18"/>
                <w:szCs w:val="18"/>
              </w:rPr>
              <w:t xml:space="preserve"> “</w:t>
            </w:r>
            <w:r w:rsidRPr="003C3165">
              <w:rPr>
                <w:rFonts w:eastAsia="Times New Roman"/>
                <w:color w:val="000000"/>
                <w:sz w:val="18"/>
                <w:szCs w:val="18"/>
              </w:rPr>
              <w:t>Ha</w:t>
            </w:r>
            <w:r w:rsidRPr="00ED655A">
              <w:rPr>
                <w:rFonts w:eastAsia="Times New Roman"/>
                <w:color w:val="000000"/>
                <w:sz w:val="18"/>
                <w:szCs w:val="18"/>
              </w:rPr>
              <w:t>ir fall</w:t>
            </w:r>
            <w:r w:rsidR="003C3165">
              <w:rPr>
                <w:rFonts w:eastAsia="Times New Roman"/>
                <w:color w:val="000000"/>
                <w:sz w:val="18"/>
                <w:szCs w:val="18"/>
              </w:rPr>
              <w:t>”, “</w:t>
            </w:r>
            <w:r w:rsidRPr="00BE14F0">
              <w:rPr>
                <w:rFonts w:eastAsia="Times New Roman"/>
                <w:color w:val="000000"/>
                <w:sz w:val="18"/>
                <w:szCs w:val="18"/>
              </w:rPr>
              <w:t>S</w:t>
            </w:r>
            <w:r w:rsidRPr="00ED655A">
              <w:rPr>
                <w:rFonts w:eastAsia="Times New Roman"/>
                <w:color w:val="000000"/>
                <w:sz w:val="18"/>
                <w:szCs w:val="18"/>
              </w:rPr>
              <w:t>calp</w:t>
            </w:r>
            <w:r w:rsidR="003C3165">
              <w:rPr>
                <w:rFonts w:eastAsia="Times New Roman"/>
                <w:color w:val="000000"/>
                <w:sz w:val="18"/>
                <w:szCs w:val="18"/>
              </w:rPr>
              <w:t>”</w:t>
            </w:r>
            <w:r w:rsidRPr="00ED655A">
              <w:rPr>
                <w:rFonts w:eastAsia="Times New Roman"/>
                <w:color w:val="000000"/>
                <w:sz w:val="18"/>
                <w:szCs w:val="18"/>
              </w:rPr>
              <w:t xml:space="preserve"> and </w:t>
            </w:r>
            <w:r w:rsidR="003C3165">
              <w:rPr>
                <w:rFonts w:eastAsia="Times New Roman"/>
                <w:color w:val="000000"/>
                <w:sz w:val="18"/>
                <w:szCs w:val="18"/>
              </w:rPr>
              <w:t>“</w:t>
            </w:r>
            <w:proofErr w:type="spellStart"/>
            <w:r w:rsidRPr="00ED655A">
              <w:rPr>
                <w:rFonts w:eastAsia="Times New Roman"/>
                <w:color w:val="000000"/>
                <w:sz w:val="18"/>
                <w:szCs w:val="18"/>
              </w:rPr>
              <w:t>latemanifestation</w:t>
            </w:r>
            <w:proofErr w:type="spellEnd"/>
            <w:r w:rsidR="003C3165">
              <w:rPr>
                <w:rFonts w:eastAsia="Times New Roman"/>
                <w:color w:val="000000"/>
                <w:sz w:val="18"/>
                <w:szCs w:val="18"/>
              </w:rPr>
              <w:t>”</w:t>
            </w:r>
          </w:p>
        </w:tc>
        <w:tc>
          <w:tcPr>
            <w:tcW w:w="1985" w:type="dxa"/>
          </w:tcPr>
          <w:p w14:paraId="5CFE0403" w14:textId="7C0E0FE8" w:rsidR="0098125C" w:rsidRPr="00FF4DC3" w:rsidRDefault="0098125C" w:rsidP="0098125C">
            <w:pPr>
              <w:widowControl w:val="0"/>
              <w:spacing w:line="276" w:lineRule="auto"/>
              <w:ind w:right="-60"/>
              <w:rPr>
                <w:rFonts w:eastAsia="Times New Roman"/>
                <w:color w:val="000000"/>
                <w:sz w:val="18"/>
                <w:szCs w:val="18"/>
              </w:rPr>
            </w:pPr>
            <w:r w:rsidRPr="00ED655A">
              <w:rPr>
                <w:rFonts w:eastAsia="Times New Roman"/>
                <w:color w:val="000000"/>
                <w:sz w:val="18"/>
                <w:szCs w:val="18"/>
              </w:rPr>
              <w:lastRenderedPageBreak/>
              <w:t xml:space="preserve">To compile and illustrate the clinical characteristics, physical examination findings, outcomes, and possible pathology behind acute </w:t>
            </w:r>
            <w:r w:rsidRPr="00ED655A">
              <w:rPr>
                <w:rFonts w:eastAsia="Times New Roman"/>
                <w:color w:val="000000"/>
                <w:sz w:val="18"/>
                <w:szCs w:val="18"/>
              </w:rPr>
              <w:lastRenderedPageBreak/>
              <w:t>Telogen Effluvium occurring in COVID</w:t>
            </w:r>
            <w:r w:rsidR="003C3165">
              <w:rPr>
                <w:rFonts w:eastAsia="Times New Roman"/>
                <w:color w:val="000000"/>
                <w:sz w:val="18"/>
                <w:szCs w:val="18"/>
              </w:rPr>
              <w:t>-</w:t>
            </w:r>
            <w:r w:rsidRPr="003C3165">
              <w:rPr>
                <w:rFonts w:eastAsia="Times New Roman"/>
                <w:color w:val="000000"/>
                <w:sz w:val="18"/>
                <w:szCs w:val="18"/>
              </w:rPr>
              <w:t>1</w:t>
            </w:r>
            <w:r w:rsidRPr="00ED655A">
              <w:rPr>
                <w:rFonts w:eastAsia="Times New Roman"/>
                <w:color w:val="000000"/>
                <w:sz w:val="18"/>
                <w:szCs w:val="18"/>
              </w:rPr>
              <w:t>9 recovered patients.</w:t>
            </w:r>
          </w:p>
        </w:tc>
        <w:tc>
          <w:tcPr>
            <w:tcW w:w="1842" w:type="dxa"/>
          </w:tcPr>
          <w:p w14:paraId="17ECDE9A" w14:textId="458B392D" w:rsidR="0098125C" w:rsidRPr="00FF4DC3" w:rsidRDefault="0098125C" w:rsidP="0098125C">
            <w:pPr>
              <w:widowControl w:val="0"/>
              <w:spacing w:line="276" w:lineRule="auto"/>
              <w:ind w:right="-106"/>
              <w:rPr>
                <w:rFonts w:eastAsia="Times New Roman"/>
                <w:color w:val="000000"/>
                <w:sz w:val="18"/>
                <w:szCs w:val="18"/>
              </w:rPr>
            </w:pPr>
            <w:r w:rsidRPr="00ED655A">
              <w:rPr>
                <w:rFonts w:eastAsia="Times New Roman"/>
                <w:color w:val="000000"/>
                <w:sz w:val="18"/>
                <w:szCs w:val="18"/>
              </w:rPr>
              <w:lastRenderedPageBreak/>
              <w:t>Case series</w:t>
            </w:r>
          </w:p>
        </w:tc>
        <w:tc>
          <w:tcPr>
            <w:tcW w:w="1134" w:type="dxa"/>
          </w:tcPr>
          <w:p w14:paraId="752488EB" w14:textId="4548AA88" w:rsidR="0098125C" w:rsidRPr="00FF4DC3" w:rsidRDefault="003C3165" w:rsidP="0098125C">
            <w:pPr>
              <w:widowControl w:val="0"/>
              <w:spacing w:line="276" w:lineRule="auto"/>
              <w:ind w:right="-100"/>
              <w:rPr>
                <w:rFonts w:eastAsia="Times New Roman"/>
                <w:color w:val="000000"/>
                <w:sz w:val="18"/>
                <w:szCs w:val="18"/>
              </w:rPr>
            </w:pPr>
            <w:r>
              <w:rPr>
                <w:rFonts w:eastAsia="Times New Roman"/>
                <w:color w:val="000000"/>
                <w:sz w:val="18"/>
                <w:szCs w:val="18"/>
              </w:rPr>
              <w:t>December 2019</w:t>
            </w:r>
          </w:p>
        </w:tc>
        <w:tc>
          <w:tcPr>
            <w:tcW w:w="1134" w:type="dxa"/>
          </w:tcPr>
          <w:p w14:paraId="15A58A72" w14:textId="6899B54C" w:rsidR="0098125C" w:rsidRPr="00FF4DC3" w:rsidRDefault="003C3165" w:rsidP="0098125C">
            <w:pPr>
              <w:widowControl w:val="0"/>
              <w:spacing w:line="276" w:lineRule="auto"/>
              <w:ind w:right="-121"/>
              <w:rPr>
                <w:rFonts w:eastAsia="Times New Roman"/>
                <w:color w:val="000000"/>
                <w:sz w:val="18"/>
                <w:szCs w:val="18"/>
              </w:rPr>
            </w:pPr>
            <w:r>
              <w:rPr>
                <w:rFonts w:eastAsia="Times New Roman"/>
                <w:color w:val="000000"/>
                <w:sz w:val="18"/>
                <w:szCs w:val="18"/>
              </w:rPr>
              <w:t>5</w:t>
            </w:r>
            <w:r w:rsidRPr="003C3165">
              <w:rPr>
                <w:rFonts w:eastAsia="Times New Roman"/>
                <w:color w:val="000000"/>
                <w:sz w:val="18"/>
                <w:szCs w:val="18"/>
                <w:vertAlign w:val="superscript"/>
              </w:rPr>
              <w:t>th</w:t>
            </w:r>
            <w:r>
              <w:rPr>
                <w:rFonts w:eastAsia="Times New Roman"/>
                <w:color w:val="000000"/>
                <w:sz w:val="18"/>
                <w:szCs w:val="18"/>
              </w:rPr>
              <w:t xml:space="preserve"> October 2021</w:t>
            </w:r>
          </w:p>
        </w:tc>
        <w:tc>
          <w:tcPr>
            <w:tcW w:w="1701" w:type="dxa"/>
          </w:tcPr>
          <w:p w14:paraId="0ABD009F" w14:textId="03339802" w:rsidR="0098125C" w:rsidRDefault="0098125C" w:rsidP="0098125C">
            <w:pPr>
              <w:widowControl w:val="0"/>
              <w:spacing w:line="276" w:lineRule="auto"/>
              <w:ind w:right="-84"/>
              <w:rPr>
                <w:rFonts w:eastAsia="Times New Roman"/>
                <w:color w:val="000000"/>
                <w:sz w:val="18"/>
                <w:szCs w:val="18"/>
              </w:rPr>
            </w:pPr>
            <w:r>
              <w:rPr>
                <w:rFonts w:eastAsia="Times New Roman"/>
                <w:color w:val="000000"/>
                <w:sz w:val="18"/>
                <w:szCs w:val="18"/>
              </w:rPr>
              <w:t>None.</w:t>
            </w:r>
          </w:p>
        </w:tc>
        <w:tc>
          <w:tcPr>
            <w:tcW w:w="1843" w:type="dxa"/>
          </w:tcPr>
          <w:p w14:paraId="65F286B9" w14:textId="048BA87F" w:rsidR="0098125C" w:rsidRDefault="0098125C" w:rsidP="0098125C">
            <w:pPr>
              <w:widowControl w:val="0"/>
              <w:spacing w:line="276" w:lineRule="auto"/>
              <w:ind w:right="-115"/>
              <w:rPr>
                <w:rFonts w:eastAsia="Times New Roman"/>
                <w:color w:val="000000"/>
                <w:sz w:val="18"/>
                <w:szCs w:val="18"/>
              </w:rPr>
            </w:pPr>
            <w:r w:rsidRPr="00ED655A">
              <w:rPr>
                <w:rFonts w:eastAsia="Times New Roman"/>
                <w:color w:val="000000"/>
                <w:sz w:val="18"/>
                <w:szCs w:val="18"/>
              </w:rPr>
              <w:t>632 patients (39% hospitalised) with a history of COVID</w:t>
            </w:r>
            <w:r w:rsidR="003C3165">
              <w:rPr>
                <w:rFonts w:eastAsia="Times New Roman"/>
                <w:color w:val="000000"/>
                <w:sz w:val="18"/>
                <w:szCs w:val="18"/>
              </w:rPr>
              <w:t>-</w:t>
            </w:r>
            <w:r w:rsidRPr="00ED655A">
              <w:rPr>
                <w:rFonts w:eastAsia="Times New Roman"/>
                <w:color w:val="000000"/>
                <w:sz w:val="18"/>
                <w:szCs w:val="18"/>
              </w:rPr>
              <w:t xml:space="preserve">19 infection were included from 19 studies. </w:t>
            </w:r>
          </w:p>
          <w:p w14:paraId="0FCD9900" w14:textId="5A0E1AA4" w:rsidR="0098125C" w:rsidRPr="00FF4DC3" w:rsidRDefault="0098125C" w:rsidP="0098125C">
            <w:pPr>
              <w:widowControl w:val="0"/>
              <w:spacing w:line="276" w:lineRule="auto"/>
              <w:ind w:right="-115"/>
              <w:rPr>
                <w:rFonts w:eastAsia="Times New Roman"/>
                <w:color w:val="000000"/>
                <w:sz w:val="18"/>
                <w:szCs w:val="18"/>
              </w:rPr>
            </w:pPr>
            <w:r w:rsidRPr="00ED655A">
              <w:rPr>
                <w:rFonts w:eastAsia="Times New Roman"/>
                <w:color w:val="000000"/>
                <w:sz w:val="18"/>
                <w:szCs w:val="18"/>
              </w:rPr>
              <w:t xml:space="preserve">Of these 465 patients </w:t>
            </w:r>
            <w:r w:rsidRPr="00ED655A">
              <w:rPr>
                <w:rFonts w:eastAsia="Times New Roman"/>
                <w:color w:val="000000"/>
                <w:sz w:val="18"/>
                <w:szCs w:val="18"/>
              </w:rPr>
              <w:lastRenderedPageBreak/>
              <w:t>reported hair loss after recovery from COVID</w:t>
            </w:r>
            <w:r w:rsidR="003C3165">
              <w:rPr>
                <w:rFonts w:eastAsia="Times New Roman"/>
                <w:color w:val="000000"/>
                <w:sz w:val="18"/>
                <w:szCs w:val="18"/>
              </w:rPr>
              <w:t>-</w:t>
            </w:r>
            <w:r w:rsidRPr="003C3165">
              <w:rPr>
                <w:rFonts w:eastAsia="Times New Roman"/>
                <w:color w:val="000000"/>
                <w:sz w:val="18"/>
                <w:szCs w:val="18"/>
              </w:rPr>
              <w:t>19</w:t>
            </w:r>
            <w:r w:rsidRPr="00ED655A">
              <w:rPr>
                <w:rFonts w:eastAsia="Times New Roman"/>
                <w:color w:val="000000"/>
                <w:sz w:val="18"/>
                <w:szCs w:val="18"/>
              </w:rPr>
              <w:t xml:space="preserve"> and were subsequently diagnosed with acute telogen effluvium.</w:t>
            </w:r>
          </w:p>
        </w:tc>
        <w:tc>
          <w:tcPr>
            <w:tcW w:w="2126" w:type="dxa"/>
          </w:tcPr>
          <w:p w14:paraId="5B48EB3E" w14:textId="3DC84CED" w:rsidR="0098125C" w:rsidRDefault="0098125C" w:rsidP="0098125C">
            <w:pPr>
              <w:widowControl w:val="0"/>
              <w:spacing w:line="276" w:lineRule="auto"/>
              <w:ind w:right="-108"/>
              <w:rPr>
                <w:rFonts w:eastAsia="Times New Roman"/>
                <w:color w:val="000000"/>
                <w:sz w:val="18"/>
                <w:szCs w:val="18"/>
              </w:rPr>
            </w:pPr>
            <w:r>
              <w:rPr>
                <w:rFonts w:eastAsia="Times New Roman"/>
                <w:color w:val="000000"/>
                <w:sz w:val="18"/>
                <w:szCs w:val="18"/>
              </w:rPr>
              <w:lastRenderedPageBreak/>
              <w:t>- A</w:t>
            </w:r>
            <w:r w:rsidRPr="00ED655A">
              <w:rPr>
                <w:rFonts w:eastAsia="Times New Roman"/>
                <w:color w:val="000000"/>
                <w:sz w:val="18"/>
                <w:szCs w:val="18"/>
              </w:rPr>
              <w:t>dult participants 18 years of age</w:t>
            </w:r>
            <w:r w:rsidRPr="00ED655A">
              <w:rPr>
                <w:rFonts w:eastAsia="Times New Roman"/>
                <w:color w:val="000000"/>
                <w:sz w:val="18"/>
                <w:szCs w:val="18"/>
              </w:rPr>
              <w:br/>
            </w:r>
            <w:r>
              <w:rPr>
                <w:rFonts w:eastAsia="Times New Roman"/>
                <w:color w:val="000000"/>
                <w:sz w:val="18"/>
                <w:szCs w:val="18"/>
              </w:rPr>
              <w:t>- O</w:t>
            </w:r>
            <w:r w:rsidRPr="00ED655A">
              <w:rPr>
                <w:rFonts w:eastAsia="Times New Roman"/>
                <w:color w:val="000000"/>
                <w:sz w:val="18"/>
                <w:szCs w:val="18"/>
              </w:rPr>
              <w:t>bservational studies, case reports, and case series</w:t>
            </w:r>
          </w:p>
          <w:p w14:paraId="5D73422E" w14:textId="56432EA3" w:rsidR="0098125C" w:rsidRDefault="0098125C" w:rsidP="0098125C">
            <w:pPr>
              <w:widowControl w:val="0"/>
              <w:spacing w:line="276" w:lineRule="auto"/>
              <w:ind w:right="-108"/>
              <w:rPr>
                <w:rFonts w:eastAsia="Times New Roman"/>
                <w:color w:val="000000"/>
                <w:sz w:val="18"/>
                <w:szCs w:val="18"/>
              </w:rPr>
            </w:pPr>
            <w:r>
              <w:rPr>
                <w:rFonts w:eastAsia="Times New Roman"/>
                <w:color w:val="000000"/>
                <w:sz w:val="18"/>
                <w:szCs w:val="18"/>
              </w:rPr>
              <w:t>- S</w:t>
            </w:r>
            <w:r w:rsidRPr="00ED655A">
              <w:rPr>
                <w:rFonts w:eastAsia="Times New Roman"/>
                <w:color w:val="000000"/>
                <w:sz w:val="18"/>
                <w:szCs w:val="18"/>
              </w:rPr>
              <w:t xml:space="preserve">tudies reporting patients </w:t>
            </w:r>
            <w:r w:rsidRPr="00ED655A">
              <w:rPr>
                <w:rFonts w:eastAsia="Times New Roman"/>
                <w:color w:val="000000"/>
                <w:sz w:val="18"/>
                <w:szCs w:val="18"/>
              </w:rPr>
              <w:lastRenderedPageBreak/>
              <w:t>recovered from laboratory</w:t>
            </w:r>
            <w:r w:rsidR="003C3165">
              <w:rPr>
                <w:rFonts w:eastAsia="Times New Roman"/>
                <w:color w:val="000000"/>
                <w:sz w:val="18"/>
                <w:szCs w:val="18"/>
              </w:rPr>
              <w:t xml:space="preserve"> </w:t>
            </w:r>
            <w:r w:rsidRPr="00ED655A">
              <w:rPr>
                <w:rFonts w:eastAsia="Times New Roman"/>
                <w:color w:val="000000"/>
                <w:sz w:val="18"/>
                <w:szCs w:val="18"/>
              </w:rPr>
              <w:t>confirmed SARS</w:t>
            </w:r>
            <w:r w:rsidR="003C3165">
              <w:rPr>
                <w:rFonts w:eastAsia="Times New Roman"/>
                <w:color w:val="000000"/>
                <w:sz w:val="18"/>
                <w:szCs w:val="18"/>
              </w:rPr>
              <w:t>-</w:t>
            </w:r>
            <w:r w:rsidRPr="00ED655A">
              <w:rPr>
                <w:rFonts w:eastAsia="Times New Roman"/>
                <w:color w:val="000000"/>
                <w:sz w:val="18"/>
                <w:szCs w:val="18"/>
              </w:rPr>
              <w:t>CoV</w:t>
            </w:r>
            <w:r w:rsidR="003C3165">
              <w:rPr>
                <w:rFonts w:eastAsia="Times New Roman"/>
                <w:color w:val="000000"/>
                <w:sz w:val="18"/>
                <w:szCs w:val="18"/>
              </w:rPr>
              <w:t>-</w:t>
            </w:r>
            <w:r w:rsidRPr="00E70108">
              <w:rPr>
                <w:rFonts w:eastAsia="Times New Roman"/>
                <w:color w:val="000000"/>
                <w:sz w:val="18"/>
                <w:szCs w:val="18"/>
              </w:rPr>
              <w:t>2</w:t>
            </w:r>
            <w:r w:rsidRPr="00ED655A">
              <w:rPr>
                <w:rFonts w:eastAsia="Times New Roman"/>
                <w:color w:val="000000"/>
                <w:sz w:val="18"/>
                <w:szCs w:val="18"/>
              </w:rPr>
              <w:t xml:space="preserve"> infection presenting with hair loss weeks to months after infection.</w:t>
            </w:r>
          </w:p>
        </w:tc>
        <w:tc>
          <w:tcPr>
            <w:tcW w:w="2127" w:type="dxa"/>
          </w:tcPr>
          <w:p w14:paraId="29BECCDB" w14:textId="0657D896" w:rsidR="0098125C" w:rsidRDefault="0098125C" w:rsidP="0098125C">
            <w:pPr>
              <w:widowControl w:val="0"/>
              <w:spacing w:line="276" w:lineRule="auto"/>
              <w:ind w:right="-102"/>
              <w:rPr>
                <w:rFonts w:eastAsia="Times New Roman"/>
                <w:color w:val="000000"/>
                <w:sz w:val="18"/>
                <w:szCs w:val="18"/>
              </w:rPr>
            </w:pPr>
            <w:r w:rsidRPr="00ED655A">
              <w:rPr>
                <w:rFonts w:eastAsia="Times New Roman"/>
                <w:color w:val="000000"/>
                <w:sz w:val="18"/>
                <w:szCs w:val="18"/>
              </w:rPr>
              <w:lastRenderedPageBreak/>
              <w:t>Review articles, posters, and duplicate publications</w:t>
            </w:r>
            <w:r>
              <w:rPr>
                <w:rFonts w:eastAsia="Times New Roman"/>
                <w:color w:val="000000"/>
                <w:sz w:val="18"/>
                <w:szCs w:val="18"/>
              </w:rPr>
              <w:t>.</w:t>
            </w:r>
          </w:p>
        </w:tc>
        <w:tc>
          <w:tcPr>
            <w:tcW w:w="992" w:type="dxa"/>
          </w:tcPr>
          <w:p w14:paraId="17C5C7DA" w14:textId="769FD1BD" w:rsidR="0098125C" w:rsidRPr="00FF4DC3" w:rsidRDefault="0098125C" w:rsidP="0098125C">
            <w:pPr>
              <w:widowControl w:val="0"/>
              <w:spacing w:line="276" w:lineRule="auto"/>
              <w:ind w:right="-127"/>
              <w:rPr>
                <w:rFonts w:eastAsia="Times New Roman"/>
                <w:color w:val="000000"/>
                <w:sz w:val="18"/>
                <w:szCs w:val="18"/>
              </w:rPr>
            </w:pPr>
            <w:r w:rsidRPr="00ED655A">
              <w:rPr>
                <w:rFonts w:eastAsia="Times New Roman"/>
                <w:color w:val="000000"/>
                <w:sz w:val="18"/>
                <w:szCs w:val="18"/>
              </w:rPr>
              <w:t>19</w:t>
            </w:r>
          </w:p>
        </w:tc>
        <w:tc>
          <w:tcPr>
            <w:tcW w:w="2542" w:type="dxa"/>
          </w:tcPr>
          <w:p w14:paraId="1990A4F4" w14:textId="14C19B11" w:rsidR="0098125C" w:rsidRPr="00FF4DC3" w:rsidRDefault="0098125C" w:rsidP="0098125C">
            <w:pPr>
              <w:widowControl w:val="0"/>
              <w:spacing w:line="276" w:lineRule="auto"/>
              <w:ind w:right="-107"/>
              <w:rPr>
                <w:rFonts w:eastAsia="Times New Roman"/>
                <w:color w:val="000000"/>
                <w:sz w:val="18"/>
                <w:szCs w:val="18"/>
              </w:rPr>
            </w:pPr>
            <w:r w:rsidRPr="00ED655A">
              <w:rPr>
                <w:rFonts w:eastAsia="Times New Roman"/>
                <w:color w:val="000000"/>
                <w:sz w:val="18"/>
                <w:szCs w:val="18"/>
              </w:rPr>
              <w:t>1. Systemic review conducted under PRISMA guidelines.</w:t>
            </w:r>
            <w:r w:rsidRPr="00ED655A">
              <w:rPr>
                <w:rFonts w:eastAsia="Times New Roman"/>
                <w:color w:val="000000"/>
                <w:sz w:val="18"/>
                <w:szCs w:val="18"/>
              </w:rPr>
              <w:br/>
              <w:t>2. Quality assessment results of the 19 studies reported as:</w:t>
            </w:r>
            <w:r w:rsidRPr="00ED655A">
              <w:rPr>
                <w:rFonts w:eastAsia="Times New Roman"/>
                <w:color w:val="000000"/>
                <w:sz w:val="18"/>
                <w:szCs w:val="18"/>
              </w:rPr>
              <w:br/>
              <w:t xml:space="preserve">'Fair' =  11 </w:t>
            </w:r>
            <w:r w:rsidRPr="00ED655A">
              <w:rPr>
                <w:rFonts w:eastAsia="Times New Roman"/>
                <w:color w:val="000000"/>
                <w:sz w:val="18"/>
                <w:szCs w:val="18"/>
              </w:rPr>
              <w:br/>
              <w:t>'Good' = 2</w:t>
            </w:r>
            <w:r w:rsidRPr="00ED655A">
              <w:rPr>
                <w:rFonts w:eastAsia="Times New Roman"/>
                <w:color w:val="000000"/>
                <w:sz w:val="18"/>
                <w:szCs w:val="18"/>
              </w:rPr>
              <w:br/>
            </w:r>
            <w:r w:rsidRPr="00ED655A">
              <w:rPr>
                <w:rFonts w:eastAsia="Times New Roman"/>
                <w:color w:val="000000"/>
                <w:sz w:val="18"/>
                <w:szCs w:val="18"/>
              </w:rPr>
              <w:lastRenderedPageBreak/>
              <w:t>'7 (NCOS)' = 3</w:t>
            </w:r>
            <w:r w:rsidRPr="00ED655A">
              <w:rPr>
                <w:rFonts w:eastAsia="Times New Roman"/>
                <w:color w:val="000000"/>
                <w:sz w:val="18"/>
                <w:szCs w:val="18"/>
              </w:rPr>
              <w:br/>
              <w:t>'8 (NCOS)' = 2</w:t>
            </w:r>
            <w:r w:rsidRPr="00ED655A">
              <w:rPr>
                <w:rFonts w:eastAsia="Times New Roman"/>
                <w:color w:val="000000"/>
                <w:sz w:val="18"/>
                <w:szCs w:val="18"/>
              </w:rPr>
              <w:br/>
              <w:t>None given = 1</w:t>
            </w:r>
            <w:r w:rsidRPr="00ED655A">
              <w:rPr>
                <w:rFonts w:eastAsia="Times New Roman"/>
                <w:color w:val="000000"/>
                <w:sz w:val="18"/>
                <w:szCs w:val="18"/>
              </w:rPr>
              <w:br/>
              <w:t>3. Limitations given:</w:t>
            </w:r>
            <w:r w:rsidRPr="00ED655A">
              <w:rPr>
                <w:rFonts w:eastAsia="Times New Roman"/>
                <w:color w:val="000000"/>
                <w:sz w:val="18"/>
                <w:szCs w:val="18"/>
              </w:rPr>
              <w:br/>
            </w:r>
            <w:r w:rsidR="005273EB">
              <w:rPr>
                <w:rFonts w:eastAsia="Times New Roman"/>
                <w:color w:val="000000"/>
                <w:sz w:val="18"/>
                <w:szCs w:val="18"/>
              </w:rPr>
              <w:t xml:space="preserve">- </w:t>
            </w:r>
            <w:r w:rsidRPr="00ED655A">
              <w:rPr>
                <w:rFonts w:eastAsia="Times New Roman"/>
                <w:color w:val="000000"/>
                <w:sz w:val="18"/>
                <w:szCs w:val="18"/>
              </w:rPr>
              <w:t>"these reports are</w:t>
            </w:r>
            <w:r w:rsidR="005273EB">
              <w:rPr>
                <w:rFonts w:eastAsia="Times New Roman"/>
                <w:color w:val="000000"/>
                <w:sz w:val="18"/>
                <w:szCs w:val="18"/>
              </w:rPr>
              <w:t xml:space="preserve"> </w:t>
            </w:r>
            <w:r w:rsidRPr="00ED655A">
              <w:rPr>
                <w:rFonts w:eastAsia="Times New Roman"/>
                <w:color w:val="000000"/>
                <w:sz w:val="18"/>
                <w:szCs w:val="18"/>
              </w:rPr>
              <w:t>underpowered as many cases of acute TE go unreported, and hence, the findings may not be decisive and relevant to the entire population";</w:t>
            </w:r>
            <w:r w:rsidRPr="00ED655A">
              <w:rPr>
                <w:rFonts w:eastAsia="Times New Roman"/>
                <w:color w:val="000000"/>
                <w:sz w:val="18"/>
                <w:szCs w:val="18"/>
              </w:rPr>
              <w:br/>
            </w:r>
            <w:r w:rsidR="005273EB">
              <w:rPr>
                <w:rFonts w:eastAsia="Times New Roman"/>
                <w:color w:val="000000"/>
                <w:sz w:val="18"/>
                <w:szCs w:val="18"/>
              </w:rPr>
              <w:t xml:space="preserve">- </w:t>
            </w:r>
            <w:r w:rsidRPr="00ED655A">
              <w:rPr>
                <w:rFonts w:eastAsia="Times New Roman"/>
                <w:color w:val="000000"/>
                <w:sz w:val="18"/>
                <w:szCs w:val="18"/>
              </w:rPr>
              <w:t xml:space="preserve">"most of the studies were case series that described patients selected for inclusion because they had </w:t>
            </w:r>
            <w:proofErr w:type="spellStart"/>
            <w:r w:rsidRPr="00ED655A">
              <w:rPr>
                <w:rFonts w:eastAsia="Times New Roman"/>
                <w:color w:val="000000"/>
                <w:sz w:val="18"/>
                <w:szCs w:val="18"/>
              </w:rPr>
              <w:t>acuteTE</w:t>
            </w:r>
            <w:proofErr w:type="spellEnd"/>
            <w:r w:rsidRPr="00ED655A">
              <w:rPr>
                <w:rFonts w:eastAsia="Times New Roman"/>
                <w:color w:val="000000"/>
                <w:sz w:val="18"/>
                <w:szCs w:val="18"/>
              </w:rPr>
              <w:t xml:space="preserve"> and therefore the incidence and prevalence of this complication post</w:t>
            </w:r>
            <w:r w:rsidR="003C3165">
              <w:rPr>
                <w:rFonts w:eastAsia="Times New Roman"/>
                <w:color w:val="000000"/>
                <w:sz w:val="18"/>
                <w:szCs w:val="18"/>
              </w:rPr>
              <w:t>-</w:t>
            </w:r>
            <w:r w:rsidRPr="00ED655A">
              <w:rPr>
                <w:rFonts w:eastAsia="Times New Roman"/>
                <w:color w:val="000000"/>
                <w:sz w:val="18"/>
                <w:szCs w:val="18"/>
              </w:rPr>
              <w:t>COVID</w:t>
            </w:r>
            <w:r w:rsidR="003C3165">
              <w:rPr>
                <w:rFonts w:eastAsia="Times New Roman"/>
                <w:color w:val="000000"/>
                <w:sz w:val="18"/>
                <w:szCs w:val="18"/>
              </w:rPr>
              <w:t>-</w:t>
            </w:r>
            <w:r w:rsidRPr="00ED655A">
              <w:rPr>
                <w:rFonts w:eastAsia="Times New Roman"/>
                <w:color w:val="000000"/>
                <w:sz w:val="18"/>
                <w:szCs w:val="18"/>
              </w:rPr>
              <w:t>19 cannot be determined";</w:t>
            </w:r>
            <w:r w:rsidRPr="00ED655A">
              <w:rPr>
                <w:rFonts w:eastAsia="Times New Roman"/>
                <w:color w:val="000000"/>
                <w:sz w:val="18"/>
                <w:szCs w:val="18"/>
              </w:rPr>
              <w:br/>
            </w:r>
            <w:r w:rsidR="005273EB">
              <w:rPr>
                <w:rFonts w:eastAsia="Times New Roman"/>
                <w:color w:val="000000"/>
                <w:sz w:val="18"/>
                <w:szCs w:val="18"/>
              </w:rPr>
              <w:t xml:space="preserve">- </w:t>
            </w:r>
            <w:r w:rsidRPr="00ED655A">
              <w:rPr>
                <w:rFonts w:eastAsia="Times New Roman"/>
                <w:color w:val="000000"/>
                <w:sz w:val="18"/>
                <w:szCs w:val="18"/>
              </w:rPr>
              <w:t>"although COVID</w:t>
            </w:r>
            <w:r w:rsidR="003C3165">
              <w:rPr>
                <w:rFonts w:eastAsia="Times New Roman"/>
                <w:color w:val="000000"/>
                <w:sz w:val="18"/>
                <w:szCs w:val="18"/>
              </w:rPr>
              <w:t>-</w:t>
            </w:r>
            <w:r w:rsidRPr="00ED655A">
              <w:rPr>
                <w:rFonts w:eastAsia="Times New Roman"/>
                <w:color w:val="000000"/>
                <w:sz w:val="18"/>
                <w:szCs w:val="18"/>
              </w:rPr>
              <w:t>19 has been established as the main trigger for acute TE, other factors, including poor nutrition, deteriorating scalp health, infrequent shampooing, and medications such as anticoagulants, may be potential contributors. Moreover, the emotional toll of the COVID</w:t>
            </w:r>
            <w:r w:rsidR="003C3165">
              <w:rPr>
                <w:rFonts w:eastAsia="Times New Roman"/>
                <w:color w:val="000000"/>
                <w:sz w:val="18"/>
                <w:szCs w:val="18"/>
              </w:rPr>
              <w:t>-</w:t>
            </w:r>
            <w:r w:rsidRPr="00ED655A">
              <w:rPr>
                <w:rFonts w:eastAsia="Times New Roman"/>
                <w:color w:val="000000"/>
                <w:sz w:val="18"/>
                <w:szCs w:val="18"/>
              </w:rPr>
              <w:t xml:space="preserve">19 pandemic on the mental health, of even the </w:t>
            </w:r>
            <w:proofErr w:type="spellStart"/>
            <w:r w:rsidRPr="00ED655A">
              <w:rPr>
                <w:rFonts w:eastAsia="Times New Roman"/>
                <w:color w:val="000000"/>
                <w:sz w:val="18"/>
                <w:szCs w:val="18"/>
              </w:rPr>
              <w:t>non infected</w:t>
            </w:r>
            <w:proofErr w:type="spellEnd"/>
            <w:r w:rsidRPr="00ED655A">
              <w:rPr>
                <w:rFonts w:eastAsia="Times New Roman"/>
                <w:color w:val="000000"/>
                <w:sz w:val="18"/>
                <w:szCs w:val="18"/>
              </w:rPr>
              <w:t xml:space="preserve"> individuals, may be an inciting factor for acute TE".</w:t>
            </w:r>
          </w:p>
        </w:tc>
      </w:tr>
      <w:tr w:rsidR="0014762B" w14:paraId="00935CC1" w14:textId="77777777" w:rsidTr="00CE4F22">
        <w:tc>
          <w:tcPr>
            <w:tcW w:w="988" w:type="dxa"/>
          </w:tcPr>
          <w:p w14:paraId="368173F9" w14:textId="638CF50F" w:rsidR="0014762B" w:rsidRPr="0014762B" w:rsidRDefault="0014762B" w:rsidP="0098125C">
            <w:pPr>
              <w:widowControl w:val="0"/>
              <w:spacing w:line="276" w:lineRule="auto"/>
              <w:ind w:right="-92"/>
              <w:rPr>
                <w:rFonts w:eastAsia="Times New Roman"/>
                <w:b/>
                <w:color w:val="000000"/>
                <w:sz w:val="18"/>
                <w:szCs w:val="18"/>
              </w:rPr>
            </w:pPr>
            <w:proofErr w:type="spellStart"/>
            <w:r w:rsidRPr="0014762B">
              <w:rPr>
                <w:rFonts w:eastAsia="Times New Roman"/>
                <w:b/>
                <w:color w:val="000000"/>
                <w:sz w:val="18"/>
                <w:szCs w:val="18"/>
              </w:rPr>
              <w:lastRenderedPageBreak/>
              <w:t>Ceban</w:t>
            </w:r>
            <w:proofErr w:type="spellEnd"/>
            <w:r w:rsidRPr="0014762B">
              <w:rPr>
                <w:rFonts w:eastAsia="Times New Roman"/>
                <w:b/>
                <w:color w:val="000000"/>
                <w:sz w:val="18"/>
                <w:szCs w:val="18"/>
              </w:rPr>
              <w:t xml:space="preserve"> 2022</w:t>
            </w:r>
          </w:p>
        </w:tc>
        <w:tc>
          <w:tcPr>
            <w:tcW w:w="1417" w:type="dxa"/>
          </w:tcPr>
          <w:p w14:paraId="1F4AF87E" w14:textId="0FE10C41" w:rsidR="0014762B" w:rsidRPr="0014762B" w:rsidRDefault="0014762B" w:rsidP="0098125C">
            <w:pPr>
              <w:widowControl w:val="0"/>
              <w:spacing w:line="276" w:lineRule="auto"/>
              <w:ind w:right="-69"/>
              <w:rPr>
                <w:rFonts w:eastAsia="Times New Roman"/>
                <w:i/>
                <w:color w:val="000000"/>
                <w:sz w:val="18"/>
                <w:szCs w:val="18"/>
              </w:rPr>
            </w:pPr>
            <w:r w:rsidRPr="0014762B">
              <w:rPr>
                <w:rFonts w:eastAsia="Times New Roman"/>
                <w:i/>
                <w:color w:val="000000"/>
                <w:sz w:val="18"/>
                <w:szCs w:val="18"/>
              </w:rPr>
              <w:t>Fatigue and cognitive impairment in Post-COVID-19 Syndrome: A systematic review and meta-analysis</w:t>
            </w:r>
          </w:p>
        </w:tc>
        <w:tc>
          <w:tcPr>
            <w:tcW w:w="851" w:type="dxa"/>
          </w:tcPr>
          <w:p w14:paraId="1A2BB5DE" w14:textId="44B3E3DC" w:rsidR="0014762B" w:rsidRPr="00ED655A" w:rsidRDefault="0014762B" w:rsidP="0098125C">
            <w:pPr>
              <w:widowControl w:val="0"/>
              <w:spacing w:line="276" w:lineRule="auto"/>
              <w:ind w:left="-80" w:right="-179"/>
              <w:rPr>
                <w:rFonts w:eastAsia="Times New Roman"/>
                <w:color w:val="000000"/>
                <w:sz w:val="18"/>
                <w:szCs w:val="18"/>
              </w:rPr>
            </w:pPr>
            <w:r w:rsidRPr="007B7682">
              <w:rPr>
                <w:rFonts w:eastAsia="Times New Roman"/>
                <w:color w:val="000000"/>
                <w:sz w:val="18"/>
                <w:szCs w:val="18"/>
              </w:rPr>
              <w:t>Canada</w:t>
            </w:r>
          </w:p>
        </w:tc>
        <w:tc>
          <w:tcPr>
            <w:tcW w:w="1984" w:type="dxa"/>
          </w:tcPr>
          <w:p w14:paraId="19ECD30D" w14:textId="05EDF30D" w:rsidR="0014762B" w:rsidRPr="00ED655A" w:rsidRDefault="0014762B" w:rsidP="0098125C">
            <w:pPr>
              <w:widowControl w:val="0"/>
              <w:spacing w:line="276" w:lineRule="auto"/>
              <w:ind w:right="-111"/>
              <w:rPr>
                <w:rFonts w:eastAsia="Times New Roman"/>
                <w:color w:val="000000"/>
                <w:sz w:val="18"/>
                <w:szCs w:val="18"/>
              </w:rPr>
            </w:pPr>
            <w:r w:rsidRPr="007B7682">
              <w:rPr>
                <w:rFonts w:eastAsia="Times New Roman"/>
                <w:color w:val="000000"/>
                <w:sz w:val="18"/>
                <w:szCs w:val="18"/>
              </w:rPr>
              <w:t>Search string: "long covid</w:t>
            </w:r>
            <w:r w:rsidR="00D930DD">
              <w:rPr>
                <w:rFonts w:eastAsia="Times New Roman"/>
                <w:color w:val="000000"/>
                <w:sz w:val="18"/>
                <w:szCs w:val="18"/>
              </w:rPr>
              <w:t>”</w:t>
            </w:r>
            <w:r w:rsidRPr="007B7682">
              <w:rPr>
                <w:rFonts w:eastAsia="Times New Roman"/>
                <w:color w:val="000000"/>
                <w:sz w:val="18"/>
                <w:szCs w:val="18"/>
              </w:rPr>
              <w:t xml:space="preserve"> OR </w:t>
            </w:r>
            <w:r w:rsidR="00D930DD">
              <w:rPr>
                <w:rFonts w:eastAsia="Times New Roman"/>
                <w:color w:val="000000"/>
                <w:sz w:val="18"/>
                <w:szCs w:val="18"/>
              </w:rPr>
              <w:t>“</w:t>
            </w:r>
            <w:r w:rsidRPr="007B7682">
              <w:rPr>
                <w:rFonts w:eastAsia="Times New Roman"/>
                <w:color w:val="000000"/>
                <w:sz w:val="18"/>
                <w:szCs w:val="18"/>
              </w:rPr>
              <w:t>persistent covid</w:t>
            </w:r>
            <w:r w:rsidR="00D930DD">
              <w:rPr>
                <w:rFonts w:eastAsia="Times New Roman"/>
                <w:color w:val="000000"/>
                <w:sz w:val="18"/>
                <w:szCs w:val="18"/>
              </w:rPr>
              <w:t>”</w:t>
            </w:r>
            <w:r w:rsidRPr="007B7682">
              <w:rPr>
                <w:rFonts w:eastAsia="Times New Roman"/>
                <w:color w:val="000000"/>
                <w:sz w:val="18"/>
                <w:szCs w:val="18"/>
              </w:rPr>
              <w:t xml:space="preserve"> OR </w:t>
            </w:r>
            <w:r w:rsidR="00D930DD">
              <w:rPr>
                <w:rFonts w:eastAsia="Times New Roman"/>
                <w:color w:val="000000"/>
                <w:sz w:val="18"/>
                <w:szCs w:val="18"/>
              </w:rPr>
              <w:t>“</w:t>
            </w:r>
            <w:r w:rsidRPr="007B7682">
              <w:rPr>
                <w:rFonts w:eastAsia="Times New Roman"/>
                <w:color w:val="000000"/>
                <w:sz w:val="18"/>
                <w:szCs w:val="18"/>
              </w:rPr>
              <w:t>post covid</w:t>
            </w:r>
            <w:r w:rsidR="00D930DD">
              <w:rPr>
                <w:rFonts w:eastAsia="Times New Roman"/>
                <w:color w:val="000000"/>
                <w:sz w:val="18"/>
                <w:szCs w:val="18"/>
              </w:rPr>
              <w:t>”</w:t>
            </w:r>
            <w:r w:rsidRPr="007B7682">
              <w:rPr>
                <w:rFonts w:eastAsia="Times New Roman"/>
                <w:color w:val="000000"/>
                <w:sz w:val="18"/>
                <w:szCs w:val="18"/>
              </w:rPr>
              <w:t xml:space="preserve"> OR </w:t>
            </w:r>
            <w:r w:rsidR="00D930DD">
              <w:rPr>
                <w:rFonts w:eastAsia="Times New Roman"/>
                <w:color w:val="000000"/>
                <w:sz w:val="18"/>
                <w:szCs w:val="18"/>
              </w:rPr>
              <w:t>“</w:t>
            </w:r>
            <w:r w:rsidRPr="007B7682">
              <w:rPr>
                <w:rFonts w:eastAsia="Times New Roman"/>
                <w:color w:val="000000"/>
                <w:sz w:val="18"/>
                <w:szCs w:val="18"/>
              </w:rPr>
              <w:t>post-acute sequelae of SARS-CoV-2 PASC</w:t>
            </w:r>
            <w:r w:rsidR="00D930DD">
              <w:rPr>
                <w:rFonts w:eastAsia="Times New Roman"/>
                <w:color w:val="000000"/>
                <w:sz w:val="18"/>
                <w:szCs w:val="18"/>
              </w:rPr>
              <w:t>”</w:t>
            </w:r>
            <w:r w:rsidRPr="007B7682">
              <w:rPr>
                <w:rFonts w:eastAsia="Times New Roman"/>
                <w:color w:val="000000"/>
                <w:sz w:val="18"/>
                <w:szCs w:val="18"/>
              </w:rPr>
              <w:t xml:space="preserve"> OR </w:t>
            </w:r>
            <w:r w:rsidR="00D930DD">
              <w:rPr>
                <w:rFonts w:eastAsia="Times New Roman"/>
                <w:color w:val="000000"/>
                <w:sz w:val="18"/>
                <w:szCs w:val="18"/>
              </w:rPr>
              <w:t>“</w:t>
            </w:r>
            <w:r w:rsidRPr="007B7682">
              <w:rPr>
                <w:rFonts w:eastAsia="Times New Roman"/>
                <w:color w:val="000000"/>
                <w:sz w:val="18"/>
                <w:szCs w:val="18"/>
              </w:rPr>
              <w:t>enduring COVID-19 sequelae</w:t>
            </w:r>
            <w:r w:rsidR="00D930DD">
              <w:rPr>
                <w:rFonts w:eastAsia="Times New Roman"/>
                <w:color w:val="000000"/>
                <w:sz w:val="18"/>
                <w:szCs w:val="18"/>
              </w:rPr>
              <w:t>”</w:t>
            </w:r>
            <w:r w:rsidRPr="007B7682">
              <w:rPr>
                <w:rFonts w:eastAsia="Times New Roman"/>
                <w:color w:val="000000"/>
                <w:sz w:val="18"/>
                <w:szCs w:val="18"/>
              </w:rPr>
              <w:t xml:space="preserve"> OR </w:t>
            </w:r>
            <w:r w:rsidR="00D930DD">
              <w:rPr>
                <w:rFonts w:eastAsia="Times New Roman"/>
                <w:color w:val="000000"/>
                <w:sz w:val="18"/>
                <w:szCs w:val="18"/>
              </w:rPr>
              <w:t>“</w:t>
            </w:r>
            <w:r w:rsidRPr="007B7682">
              <w:rPr>
                <w:rFonts w:eastAsia="Times New Roman"/>
                <w:color w:val="000000"/>
                <w:sz w:val="18"/>
                <w:szCs w:val="18"/>
              </w:rPr>
              <w:t>long-haul covid</w:t>
            </w:r>
            <w:r w:rsidR="00D930DD">
              <w:rPr>
                <w:rFonts w:eastAsia="Times New Roman"/>
                <w:color w:val="000000"/>
                <w:sz w:val="18"/>
                <w:szCs w:val="18"/>
              </w:rPr>
              <w:t>”</w:t>
            </w:r>
            <w:r w:rsidRPr="007B7682">
              <w:rPr>
                <w:rFonts w:eastAsia="Times New Roman"/>
                <w:color w:val="000000"/>
                <w:sz w:val="18"/>
                <w:szCs w:val="18"/>
              </w:rPr>
              <w:t xml:space="preserve"> OR </w:t>
            </w:r>
            <w:r w:rsidR="00D930DD">
              <w:rPr>
                <w:rFonts w:eastAsia="Times New Roman"/>
                <w:color w:val="000000"/>
                <w:sz w:val="18"/>
                <w:szCs w:val="18"/>
              </w:rPr>
              <w:t>“</w:t>
            </w:r>
            <w:r w:rsidRPr="007B7682">
              <w:rPr>
                <w:rFonts w:eastAsia="Times New Roman"/>
                <w:color w:val="000000"/>
                <w:sz w:val="18"/>
                <w:szCs w:val="18"/>
              </w:rPr>
              <w:t>long-tail covid</w:t>
            </w:r>
            <w:r w:rsidR="00D930DD">
              <w:rPr>
                <w:rFonts w:eastAsia="Times New Roman"/>
                <w:color w:val="000000"/>
                <w:sz w:val="18"/>
                <w:szCs w:val="18"/>
              </w:rPr>
              <w:t>”</w:t>
            </w:r>
            <w:r w:rsidRPr="007B7682">
              <w:rPr>
                <w:rFonts w:eastAsia="Times New Roman"/>
                <w:color w:val="000000"/>
                <w:sz w:val="18"/>
                <w:szCs w:val="18"/>
              </w:rPr>
              <w:t>.</w:t>
            </w:r>
          </w:p>
        </w:tc>
        <w:tc>
          <w:tcPr>
            <w:tcW w:w="1985" w:type="dxa"/>
          </w:tcPr>
          <w:p w14:paraId="2D69658D" w14:textId="16336EF9" w:rsidR="0014762B" w:rsidRPr="00ED655A" w:rsidRDefault="00553507" w:rsidP="0098125C">
            <w:pPr>
              <w:widowControl w:val="0"/>
              <w:spacing w:line="276" w:lineRule="auto"/>
              <w:ind w:right="-60"/>
              <w:rPr>
                <w:rFonts w:eastAsia="Times New Roman"/>
                <w:color w:val="000000"/>
                <w:sz w:val="18"/>
                <w:szCs w:val="18"/>
              </w:rPr>
            </w:pPr>
            <w:r w:rsidRPr="007B7682">
              <w:rPr>
                <w:rFonts w:eastAsia="Times New Roman"/>
                <w:color w:val="000000"/>
                <w:sz w:val="18"/>
                <w:szCs w:val="18"/>
              </w:rPr>
              <w:t>1. Quantify proportion of individuals exhibiting fatigue and cognitive impairment 12+ weeks following COVID-19 diagnosis</w:t>
            </w:r>
            <w:r>
              <w:rPr>
                <w:rFonts w:eastAsia="Times New Roman"/>
                <w:color w:val="000000"/>
                <w:sz w:val="18"/>
                <w:szCs w:val="18"/>
              </w:rPr>
              <w:t>.</w:t>
            </w:r>
            <w:r w:rsidRPr="007B7682">
              <w:rPr>
                <w:rFonts w:eastAsia="Times New Roman"/>
                <w:color w:val="000000"/>
                <w:sz w:val="18"/>
                <w:szCs w:val="18"/>
              </w:rPr>
              <w:br/>
              <w:t>2. Characterize the inflammatory correlates and functional consequences of PCS</w:t>
            </w:r>
            <w:r>
              <w:rPr>
                <w:rFonts w:eastAsia="Times New Roman"/>
                <w:color w:val="000000"/>
                <w:sz w:val="18"/>
                <w:szCs w:val="18"/>
              </w:rPr>
              <w:t>.</w:t>
            </w:r>
          </w:p>
        </w:tc>
        <w:tc>
          <w:tcPr>
            <w:tcW w:w="1842" w:type="dxa"/>
          </w:tcPr>
          <w:p w14:paraId="3F69A52B" w14:textId="774B5DDD" w:rsidR="0014762B" w:rsidRPr="00ED655A" w:rsidRDefault="007F6D2B" w:rsidP="0098125C">
            <w:pPr>
              <w:widowControl w:val="0"/>
              <w:spacing w:line="276" w:lineRule="auto"/>
              <w:ind w:right="-106"/>
              <w:rPr>
                <w:rFonts w:eastAsia="Times New Roman"/>
                <w:color w:val="000000"/>
                <w:sz w:val="18"/>
                <w:szCs w:val="18"/>
              </w:rPr>
            </w:pPr>
            <w:r w:rsidRPr="007B7682">
              <w:rPr>
                <w:rFonts w:eastAsia="Times New Roman"/>
                <w:color w:val="000000"/>
                <w:sz w:val="18"/>
                <w:szCs w:val="18"/>
              </w:rPr>
              <w:t>1. No restrictions on study design/type of article</w:t>
            </w:r>
            <w:r w:rsidR="006104E4">
              <w:rPr>
                <w:rFonts w:eastAsia="Times New Roman"/>
                <w:color w:val="000000"/>
                <w:sz w:val="18"/>
                <w:szCs w:val="18"/>
              </w:rPr>
              <w:t>.</w:t>
            </w:r>
            <w:r w:rsidRPr="007B7682">
              <w:rPr>
                <w:rFonts w:eastAsia="Times New Roman"/>
                <w:color w:val="000000"/>
                <w:sz w:val="18"/>
                <w:szCs w:val="18"/>
              </w:rPr>
              <w:t xml:space="preserve"> </w:t>
            </w:r>
            <w:r w:rsidRPr="007B7682">
              <w:rPr>
                <w:rFonts w:eastAsia="Times New Roman"/>
                <w:color w:val="000000"/>
                <w:sz w:val="18"/>
                <w:szCs w:val="18"/>
              </w:rPr>
              <w:br/>
              <w:t>2. No language restrictions</w:t>
            </w:r>
            <w:r w:rsidR="00EA32E9">
              <w:rPr>
                <w:rFonts w:eastAsia="Times New Roman"/>
                <w:color w:val="000000"/>
                <w:sz w:val="18"/>
                <w:szCs w:val="18"/>
              </w:rPr>
              <w:t>.</w:t>
            </w:r>
            <w:r w:rsidRPr="007B7682">
              <w:rPr>
                <w:rFonts w:eastAsia="Times New Roman"/>
                <w:color w:val="000000"/>
                <w:sz w:val="18"/>
                <w:szCs w:val="18"/>
              </w:rPr>
              <w:br/>
              <w:t>3. No publication date restrictions</w:t>
            </w:r>
            <w:r w:rsidR="006104E4">
              <w:rPr>
                <w:rFonts w:eastAsia="Times New Roman"/>
                <w:color w:val="000000"/>
                <w:sz w:val="18"/>
                <w:szCs w:val="18"/>
              </w:rPr>
              <w:t>.</w:t>
            </w:r>
          </w:p>
        </w:tc>
        <w:tc>
          <w:tcPr>
            <w:tcW w:w="1134" w:type="dxa"/>
            <w:shd w:val="clear" w:color="auto" w:fill="FFFFFF" w:themeFill="background1"/>
          </w:tcPr>
          <w:p w14:paraId="52F23F62" w14:textId="7BA0C562" w:rsidR="0014762B" w:rsidRPr="00ED655A" w:rsidRDefault="00D930DD" w:rsidP="0098125C">
            <w:pPr>
              <w:widowControl w:val="0"/>
              <w:spacing w:line="276" w:lineRule="auto"/>
              <w:ind w:right="-100"/>
              <w:rPr>
                <w:rFonts w:eastAsia="Times New Roman"/>
                <w:color w:val="000000"/>
                <w:sz w:val="18"/>
                <w:szCs w:val="18"/>
              </w:rPr>
            </w:pPr>
            <w:r>
              <w:rPr>
                <w:rFonts w:eastAsia="Times New Roman"/>
                <w:color w:val="000000"/>
                <w:sz w:val="18"/>
                <w:szCs w:val="18"/>
              </w:rPr>
              <w:t>Not stated</w:t>
            </w:r>
          </w:p>
        </w:tc>
        <w:tc>
          <w:tcPr>
            <w:tcW w:w="1134" w:type="dxa"/>
          </w:tcPr>
          <w:p w14:paraId="3276677F" w14:textId="6911465E" w:rsidR="0014762B" w:rsidRPr="00913702" w:rsidRDefault="00D930DD" w:rsidP="0098125C">
            <w:pPr>
              <w:widowControl w:val="0"/>
              <w:spacing w:line="276" w:lineRule="auto"/>
              <w:ind w:right="-121"/>
              <w:rPr>
                <w:rFonts w:eastAsia="Times New Roman"/>
                <w:color w:val="000000"/>
                <w:sz w:val="18"/>
                <w:szCs w:val="18"/>
                <w:highlight w:val="yellow"/>
              </w:rPr>
            </w:pPr>
            <w:r w:rsidRPr="00D930DD">
              <w:rPr>
                <w:rFonts w:eastAsia="Times New Roman"/>
                <w:color w:val="000000"/>
                <w:sz w:val="18"/>
                <w:szCs w:val="18"/>
              </w:rPr>
              <w:t>8</w:t>
            </w:r>
            <w:r w:rsidRPr="00D930DD">
              <w:rPr>
                <w:rFonts w:eastAsia="Times New Roman"/>
                <w:color w:val="000000"/>
                <w:sz w:val="18"/>
                <w:szCs w:val="18"/>
                <w:vertAlign w:val="superscript"/>
              </w:rPr>
              <w:t>th</w:t>
            </w:r>
            <w:r w:rsidRPr="00D930DD">
              <w:rPr>
                <w:rFonts w:eastAsia="Times New Roman"/>
                <w:color w:val="000000"/>
                <w:sz w:val="18"/>
                <w:szCs w:val="18"/>
              </w:rPr>
              <w:t xml:space="preserve"> June 2021</w:t>
            </w:r>
          </w:p>
        </w:tc>
        <w:tc>
          <w:tcPr>
            <w:tcW w:w="1701" w:type="dxa"/>
          </w:tcPr>
          <w:p w14:paraId="036D4543" w14:textId="4E30B449" w:rsidR="0014762B" w:rsidRDefault="00EA32E9" w:rsidP="0098125C">
            <w:pPr>
              <w:widowControl w:val="0"/>
              <w:spacing w:line="276" w:lineRule="auto"/>
              <w:ind w:right="-84"/>
              <w:rPr>
                <w:rFonts w:eastAsia="Times New Roman"/>
                <w:color w:val="000000"/>
                <w:sz w:val="18"/>
                <w:szCs w:val="18"/>
              </w:rPr>
            </w:pPr>
            <w:r w:rsidRPr="007B7682">
              <w:rPr>
                <w:rFonts w:eastAsia="Times New Roman"/>
                <w:color w:val="000000"/>
                <w:sz w:val="18"/>
                <w:szCs w:val="18"/>
              </w:rPr>
              <w:t>None</w:t>
            </w:r>
          </w:p>
        </w:tc>
        <w:tc>
          <w:tcPr>
            <w:tcW w:w="1843" w:type="dxa"/>
          </w:tcPr>
          <w:p w14:paraId="1206D1D1" w14:textId="4AAF6467" w:rsidR="0014762B" w:rsidRPr="00ED655A" w:rsidRDefault="00EA32E9" w:rsidP="0098125C">
            <w:pPr>
              <w:widowControl w:val="0"/>
              <w:spacing w:line="276" w:lineRule="auto"/>
              <w:ind w:right="-115"/>
              <w:rPr>
                <w:rFonts w:eastAsia="Times New Roman"/>
                <w:color w:val="000000"/>
                <w:sz w:val="18"/>
                <w:szCs w:val="18"/>
              </w:rPr>
            </w:pPr>
            <w:r w:rsidRPr="007B7682">
              <w:rPr>
                <w:rFonts w:eastAsia="Times New Roman"/>
                <w:color w:val="000000"/>
                <w:sz w:val="18"/>
                <w:szCs w:val="18"/>
              </w:rPr>
              <w:t xml:space="preserve">Hospitalised </w:t>
            </w:r>
            <w:r>
              <w:rPr>
                <w:rFonts w:eastAsia="Times New Roman"/>
                <w:color w:val="000000"/>
                <w:sz w:val="18"/>
                <w:szCs w:val="18"/>
              </w:rPr>
              <w:t>and</w:t>
            </w:r>
            <w:r w:rsidRPr="007B7682">
              <w:rPr>
                <w:rFonts w:eastAsia="Times New Roman"/>
                <w:color w:val="000000"/>
                <w:sz w:val="18"/>
                <w:szCs w:val="18"/>
              </w:rPr>
              <w:t xml:space="preserve">  </w:t>
            </w:r>
            <w:r>
              <w:rPr>
                <w:rFonts w:eastAsia="Times New Roman"/>
                <w:color w:val="000000"/>
                <w:sz w:val="18"/>
                <w:szCs w:val="18"/>
              </w:rPr>
              <w:t>C</w:t>
            </w:r>
            <w:r w:rsidRPr="007B7682">
              <w:rPr>
                <w:rFonts w:eastAsia="Times New Roman"/>
                <w:color w:val="000000"/>
                <w:sz w:val="18"/>
                <w:szCs w:val="18"/>
              </w:rPr>
              <w:t>ommunity cases</w:t>
            </w:r>
            <w:r>
              <w:rPr>
                <w:rFonts w:eastAsia="Times New Roman"/>
                <w:color w:val="000000"/>
                <w:sz w:val="18"/>
                <w:szCs w:val="18"/>
              </w:rPr>
              <w:t>.</w:t>
            </w:r>
          </w:p>
        </w:tc>
        <w:tc>
          <w:tcPr>
            <w:tcW w:w="2126" w:type="dxa"/>
          </w:tcPr>
          <w:p w14:paraId="1E626484" w14:textId="77777777" w:rsidR="00EA32E9" w:rsidRDefault="00EA32E9" w:rsidP="0098125C">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Confirmed Covid-19</w:t>
            </w:r>
          </w:p>
          <w:p w14:paraId="6E6B0A35" w14:textId="77777777" w:rsidR="00EA32E9" w:rsidRDefault="00EA32E9" w:rsidP="0098125C">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One or more ongoing symptoms 12+ weeks following diagnosis</w:t>
            </w:r>
          </w:p>
          <w:p w14:paraId="597B0812" w14:textId="77777777" w:rsidR="00EA32E9" w:rsidRDefault="00EA32E9" w:rsidP="0098125C">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Primary research</w:t>
            </w:r>
          </w:p>
          <w:p w14:paraId="2AABF46D" w14:textId="4FA840C7" w:rsidR="0014762B" w:rsidRDefault="00EA32E9" w:rsidP="0098125C">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Full text articles (including preprints)</w:t>
            </w:r>
          </w:p>
        </w:tc>
        <w:tc>
          <w:tcPr>
            <w:tcW w:w="2127" w:type="dxa"/>
          </w:tcPr>
          <w:p w14:paraId="634C6BB9" w14:textId="77777777" w:rsidR="00D8695B" w:rsidRDefault="00D8695B"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Incomplete/inexact quantitative data</w:t>
            </w:r>
          </w:p>
          <w:p w14:paraId="793688B5" w14:textId="77777777" w:rsidR="00D8695B" w:rsidRDefault="00D8695B"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Symptoms existed prior to acute COVID19 infection and did not markedly worsen at 12+ weeks follow-up after COVID19</w:t>
            </w:r>
          </w:p>
          <w:p w14:paraId="6953D97F" w14:textId="77777777" w:rsidR="00D8695B" w:rsidRDefault="00D8695B"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New symptoms following recovery from acute COVID19 infection</w:t>
            </w:r>
          </w:p>
          <w:p w14:paraId="6E183E10" w14:textId="77777777" w:rsidR="00D8695B" w:rsidRDefault="00D8695B"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Unconfirmed COVID19 infection</w:t>
            </w:r>
          </w:p>
          <w:p w14:paraId="25CA391E" w14:textId="77777777" w:rsidR="00D8695B" w:rsidRDefault="00D8695B"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Median/mean follow-up time of less than 12 weeks since acute COVID19</w:t>
            </w:r>
          </w:p>
          <w:p w14:paraId="21CCC79A" w14:textId="0D9EE778" w:rsidR="0014762B" w:rsidRPr="00ED655A" w:rsidRDefault="00D8695B"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7B7682">
              <w:rPr>
                <w:rFonts w:eastAsia="Times New Roman"/>
                <w:color w:val="000000"/>
                <w:sz w:val="18"/>
                <w:szCs w:val="18"/>
              </w:rPr>
              <w:t>Small studies ( n&lt;10), protocols, case reports, post-mortem studies, abstracts, unpublished (preprints included if full text articles)</w:t>
            </w:r>
            <w:r>
              <w:rPr>
                <w:rFonts w:eastAsia="Times New Roman"/>
                <w:color w:val="000000"/>
                <w:sz w:val="18"/>
                <w:szCs w:val="18"/>
              </w:rPr>
              <w:t>.</w:t>
            </w:r>
          </w:p>
        </w:tc>
        <w:tc>
          <w:tcPr>
            <w:tcW w:w="992" w:type="dxa"/>
          </w:tcPr>
          <w:p w14:paraId="481215CB" w14:textId="1BB892B2" w:rsidR="0014762B" w:rsidRPr="00ED655A" w:rsidRDefault="00A25019" w:rsidP="0098125C">
            <w:pPr>
              <w:widowControl w:val="0"/>
              <w:spacing w:line="276" w:lineRule="auto"/>
              <w:ind w:right="-127"/>
              <w:rPr>
                <w:rFonts w:eastAsia="Times New Roman"/>
                <w:color w:val="000000"/>
                <w:sz w:val="18"/>
                <w:szCs w:val="18"/>
              </w:rPr>
            </w:pPr>
            <w:r w:rsidRPr="007B7682">
              <w:rPr>
                <w:rFonts w:eastAsia="Times New Roman"/>
                <w:color w:val="000000"/>
                <w:sz w:val="18"/>
                <w:szCs w:val="18"/>
              </w:rPr>
              <w:t>81</w:t>
            </w:r>
          </w:p>
        </w:tc>
        <w:tc>
          <w:tcPr>
            <w:tcW w:w="2542" w:type="dxa"/>
          </w:tcPr>
          <w:p w14:paraId="78DAE515" w14:textId="5C2FC103" w:rsidR="0014762B" w:rsidRPr="00ED655A" w:rsidRDefault="00A25019" w:rsidP="0098125C">
            <w:pPr>
              <w:widowControl w:val="0"/>
              <w:spacing w:line="276" w:lineRule="auto"/>
              <w:ind w:right="-107"/>
              <w:rPr>
                <w:rFonts w:eastAsia="Times New Roman"/>
                <w:color w:val="000000"/>
                <w:sz w:val="18"/>
                <w:szCs w:val="18"/>
              </w:rPr>
            </w:pPr>
            <w:r w:rsidRPr="007B7682">
              <w:rPr>
                <w:rFonts w:eastAsia="Times New Roman"/>
                <w:color w:val="000000"/>
                <w:sz w:val="18"/>
                <w:szCs w:val="18"/>
              </w:rPr>
              <w:t xml:space="preserve">With the exception of PHSOP-COVID (~1000 patients), most of the studies </w:t>
            </w:r>
            <w:r>
              <w:rPr>
                <w:rFonts w:eastAsia="Times New Roman"/>
                <w:color w:val="000000"/>
                <w:sz w:val="18"/>
                <w:szCs w:val="18"/>
              </w:rPr>
              <w:t>were</w:t>
            </w:r>
            <w:r w:rsidRPr="007B7682">
              <w:rPr>
                <w:rFonts w:eastAsia="Times New Roman"/>
                <w:color w:val="000000"/>
                <w:sz w:val="18"/>
                <w:szCs w:val="18"/>
              </w:rPr>
              <w:t xml:space="preserve"> quite small (~100 patients)</w:t>
            </w:r>
            <w:r>
              <w:rPr>
                <w:rFonts w:eastAsia="Times New Roman"/>
                <w:color w:val="000000"/>
                <w:sz w:val="18"/>
                <w:szCs w:val="18"/>
              </w:rPr>
              <w:t>.</w:t>
            </w:r>
          </w:p>
        </w:tc>
      </w:tr>
      <w:tr w:rsidR="00590423" w14:paraId="41B1D9C3" w14:textId="77777777" w:rsidTr="00CE4F22">
        <w:tc>
          <w:tcPr>
            <w:tcW w:w="988" w:type="dxa"/>
          </w:tcPr>
          <w:p w14:paraId="3F76427D" w14:textId="14891B57" w:rsidR="00590423" w:rsidRPr="00590423" w:rsidRDefault="00590423" w:rsidP="0098125C">
            <w:pPr>
              <w:widowControl w:val="0"/>
              <w:spacing w:line="276" w:lineRule="auto"/>
              <w:ind w:right="-92"/>
              <w:rPr>
                <w:rFonts w:eastAsia="Times New Roman"/>
                <w:b/>
                <w:color w:val="000000"/>
                <w:sz w:val="18"/>
                <w:szCs w:val="18"/>
              </w:rPr>
            </w:pPr>
            <w:r w:rsidRPr="00590423">
              <w:rPr>
                <w:rFonts w:eastAsia="Times New Roman"/>
                <w:b/>
                <w:color w:val="000000"/>
                <w:sz w:val="18"/>
                <w:szCs w:val="18"/>
              </w:rPr>
              <w:t xml:space="preserve">Sansone </w:t>
            </w:r>
            <w:r w:rsidRPr="00590423">
              <w:rPr>
                <w:rFonts w:eastAsia="Times New Roman"/>
                <w:b/>
                <w:color w:val="000000"/>
                <w:sz w:val="18"/>
                <w:szCs w:val="18"/>
              </w:rPr>
              <w:lastRenderedPageBreak/>
              <w:t>2022</w:t>
            </w:r>
          </w:p>
        </w:tc>
        <w:tc>
          <w:tcPr>
            <w:tcW w:w="1417" w:type="dxa"/>
          </w:tcPr>
          <w:p w14:paraId="36E185A9" w14:textId="4D2A59D8" w:rsidR="00590423" w:rsidRPr="00590423" w:rsidRDefault="00590423" w:rsidP="0098125C">
            <w:pPr>
              <w:widowControl w:val="0"/>
              <w:spacing w:line="276" w:lineRule="auto"/>
              <w:ind w:right="-69"/>
              <w:rPr>
                <w:rFonts w:eastAsia="Times New Roman"/>
                <w:i/>
                <w:color w:val="000000"/>
                <w:sz w:val="18"/>
                <w:szCs w:val="18"/>
              </w:rPr>
            </w:pPr>
            <w:r w:rsidRPr="00590423">
              <w:rPr>
                <w:rFonts w:eastAsia="Times New Roman"/>
                <w:i/>
                <w:color w:val="000000"/>
                <w:sz w:val="18"/>
                <w:szCs w:val="18"/>
              </w:rPr>
              <w:lastRenderedPageBreak/>
              <w:t xml:space="preserve">The Sexual Long </w:t>
            </w:r>
            <w:r w:rsidRPr="00590423">
              <w:rPr>
                <w:rFonts w:eastAsia="Times New Roman"/>
                <w:i/>
                <w:color w:val="000000"/>
                <w:sz w:val="18"/>
                <w:szCs w:val="18"/>
              </w:rPr>
              <w:lastRenderedPageBreak/>
              <w:t>COVID (SLC): Erectile Dysfunction as a Biomarker of Systemic Complications for COVID-19 Long Haulers</w:t>
            </w:r>
          </w:p>
        </w:tc>
        <w:tc>
          <w:tcPr>
            <w:tcW w:w="851" w:type="dxa"/>
          </w:tcPr>
          <w:p w14:paraId="04D16C7B" w14:textId="0107C8C2" w:rsidR="00590423" w:rsidRPr="007B7682" w:rsidRDefault="00590423" w:rsidP="0098125C">
            <w:pPr>
              <w:widowControl w:val="0"/>
              <w:spacing w:line="276" w:lineRule="auto"/>
              <w:ind w:left="-80" w:right="-179"/>
              <w:rPr>
                <w:rFonts w:eastAsia="Times New Roman"/>
                <w:color w:val="000000"/>
                <w:sz w:val="18"/>
                <w:szCs w:val="18"/>
              </w:rPr>
            </w:pPr>
            <w:r w:rsidRPr="007617CA">
              <w:rPr>
                <w:rFonts w:eastAsia="Times New Roman"/>
                <w:color w:val="000000"/>
                <w:sz w:val="18"/>
                <w:szCs w:val="18"/>
              </w:rPr>
              <w:lastRenderedPageBreak/>
              <w:t>Italy</w:t>
            </w:r>
          </w:p>
        </w:tc>
        <w:tc>
          <w:tcPr>
            <w:tcW w:w="1984" w:type="dxa"/>
          </w:tcPr>
          <w:p w14:paraId="713B541E" w14:textId="68DB5958" w:rsidR="00590423" w:rsidRPr="007B7682" w:rsidRDefault="00590423" w:rsidP="0098125C">
            <w:pPr>
              <w:widowControl w:val="0"/>
              <w:spacing w:line="276" w:lineRule="auto"/>
              <w:ind w:right="-111"/>
              <w:rPr>
                <w:rFonts w:eastAsia="Times New Roman"/>
                <w:color w:val="000000"/>
                <w:sz w:val="18"/>
                <w:szCs w:val="18"/>
              </w:rPr>
            </w:pPr>
            <w:r>
              <w:rPr>
                <w:rFonts w:eastAsia="Times New Roman"/>
                <w:color w:val="000000"/>
                <w:sz w:val="18"/>
                <w:szCs w:val="18"/>
              </w:rPr>
              <w:t xml:space="preserve">Databases: </w:t>
            </w:r>
            <w:r w:rsidRPr="007617CA">
              <w:rPr>
                <w:rFonts w:eastAsia="Times New Roman"/>
                <w:color w:val="000000"/>
                <w:sz w:val="18"/>
                <w:szCs w:val="18"/>
              </w:rPr>
              <w:t xml:space="preserve">PubMed, </w:t>
            </w:r>
            <w:r w:rsidRPr="007617CA">
              <w:rPr>
                <w:rFonts w:eastAsia="Times New Roman"/>
                <w:color w:val="000000"/>
                <w:sz w:val="18"/>
                <w:szCs w:val="18"/>
              </w:rPr>
              <w:lastRenderedPageBreak/>
              <w:t>Scopus and Google Scholar through July 2021</w:t>
            </w:r>
            <w:r>
              <w:rPr>
                <w:rFonts w:eastAsia="Times New Roman"/>
                <w:color w:val="000000"/>
                <w:sz w:val="18"/>
                <w:szCs w:val="18"/>
              </w:rPr>
              <w:t>.</w:t>
            </w:r>
            <w:r w:rsidRPr="007617CA">
              <w:rPr>
                <w:rFonts w:eastAsia="Times New Roman"/>
                <w:color w:val="000000"/>
                <w:sz w:val="18"/>
                <w:szCs w:val="18"/>
              </w:rPr>
              <w:t xml:space="preserve"> </w:t>
            </w:r>
            <w:r w:rsidRPr="007617CA">
              <w:rPr>
                <w:rFonts w:eastAsia="Times New Roman"/>
                <w:color w:val="000000"/>
                <w:sz w:val="18"/>
                <w:szCs w:val="18"/>
              </w:rPr>
              <w:br/>
            </w:r>
            <w:r>
              <w:rPr>
                <w:rFonts w:eastAsia="Times New Roman"/>
                <w:color w:val="000000"/>
                <w:sz w:val="18"/>
                <w:szCs w:val="18"/>
              </w:rPr>
              <w:t>K</w:t>
            </w:r>
            <w:r w:rsidRPr="007617CA">
              <w:rPr>
                <w:rFonts w:eastAsia="Times New Roman"/>
                <w:color w:val="000000"/>
                <w:sz w:val="18"/>
                <w:szCs w:val="18"/>
              </w:rPr>
              <w:t>eywords with the AND/OR Boolean operators: (</w:t>
            </w:r>
            <w:proofErr w:type="spellStart"/>
            <w:r w:rsidRPr="007617CA">
              <w:rPr>
                <w:rFonts w:eastAsia="Times New Roman"/>
                <w:color w:val="000000"/>
                <w:sz w:val="18"/>
                <w:szCs w:val="18"/>
              </w:rPr>
              <w:t>i</w:t>
            </w:r>
            <w:proofErr w:type="spellEnd"/>
            <w:r w:rsidRPr="007617CA">
              <w:rPr>
                <w:rFonts w:eastAsia="Times New Roman"/>
                <w:color w:val="000000"/>
                <w:sz w:val="18"/>
                <w:szCs w:val="18"/>
              </w:rPr>
              <w:t xml:space="preserve">) SARS-CoV-2, (ii) Coronavirus, (iii) COVID, (iv) COVID-19, (v) long-term, (vi) long covid, (vii) </w:t>
            </w:r>
            <w:proofErr w:type="spellStart"/>
            <w:r w:rsidRPr="007617CA">
              <w:rPr>
                <w:rFonts w:eastAsia="Times New Roman"/>
                <w:color w:val="000000"/>
                <w:sz w:val="18"/>
                <w:szCs w:val="18"/>
              </w:rPr>
              <w:t>post acute</w:t>
            </w:r>
            <w:proofErr w:type="spellEnd"/>
            <w:r w:rsidRPr="007617CA">
              <w:rPr>
                <w:rFonts w:eastAsia="Times New Roman"/>
                <w:color w:val="000000"/>
                <w:sz w:val="18"/>
                <w:szCs w:val="18"/>
              </w:rPr>
              <w:t xml:space="preserve"> covid, long haulers, (viii) erectile dysfunction, (ix) male sexual dysfunction. </w:t>
            </w:r>
            <w:r w:rsidRPr="007617CA">
              <w:rPr>
                <w:rFonts w:eastAsia="Times New Roman"/>
                <w:color w:val="000000"/>
                <w:sz w:val="18"/>
                <w:szCs w:val="18"/>
              </w:rPr>
              <w:br/>
            </w:r>
            <w:r>
              <w:rPr>
                <w:rFonts w:eastAsia="Times New Roman"/>
                <w:color w:val="000000"/>
                <w:sz w:val="18"/>
                <w:szCs w:val="18"/>
              </w:rPr>
              <w:t>A</w:t>
            </w:r>
            <w:r w:rsidRPr="007617CA">
              <w:rPr>
                <w:rFonts w:eastAsia="Times New Roman"/>
                <w:color w:val="000000"/>
                <w:sz w:val="18"/>
                <w:szCs w:val="18"/>
              </w:rPr>
              <w:t>lso looked through citations and references of relevant articles to retrieve additional resources.</w:t>
            </w:r>
          </w:p>
        </w:tc>
        <w:tc>
          <w:tcPr>
            <w:tcW w:w="1985" w:type="dxa"/>
          </w:tcPr>
          <w:p w14:paraId="0C16EDE6" w14:textId="55A157A0" w:rsidR="00590423" w:rsidRPr="007B7682" w:rsidRDefault="00FD7E1E" w:rsidP="0098125C">
            <w:pPr>
              <w:widowControl w:val="0"/>
              <w:spacing w:line="276" w:lineRule="auto"/>
              <w:ind w:right="-60"/>
              <w:rPr>
                <w:rFonts w:eastAsia="Times New Roman"/>
                <w:color w:val="000000"/>
                <w:sz w:val="18"/>
                <w:szCs w:val="18"/>
              </w:rPr>
            </w:pPr>
            <w:r>
              <w:rPr>
                <w:rFonts w:eastAsia="Times New Roman"/>
                <w:color w:val="000000"/>
                <w:sz w:val="18"/>
                <w:szCs w:val="18"/>
              </w:rPr>
              <w:lastRenderedPageBreak/>
              <w:t>T</w:t>
            </w:r>
            <w:r w:rsidRPr="007617CA">
              <w:rPr>
                <w:rFonts w:eastAsia="Times New Roman"/>
                <w:color w:val="000000"/>
                <w:sz w:val="18"/>
                <w:szCs w:val="18"/>
              </w:rPr>
              <w:t xml:space="preserve">o investigate and </w:t>
            </w:r>
            <w:r w:rsidRPr="007617CA">
              <w:rPr>
                <w:rFonts w:eastAsia="Times New Roman"/>
                <w:color w:val="000000"/>
                <w:sz w:val="18"/>
                <w:szCs w:val="18"/>
              </w:rPr>
              <w:lastRenderedPageBreak/>
              <w:t>highlight the mechanisms through which long-term consequences of COVID-19 can affect erectile function, also discussing the current evidence concerning the epidemiology of long COVID and the potential treatments, wherever available</w:t>
            </w:r>
            <w:r>
              <w:rPr>
                <w:rFonts w:eastAsia="Times New Roman"/>
                <w:color w:val="000000"/>
                <w:sz w:val="18"/>
                <w:szCs w:val="18"/>
              </w:rPr>
              <w:t>.</w:t>
            </w:r>
          </w:p>
        </w:tc>
        <w:tc>
          <w:tcPr>
            <w:tcW w:w="1842" w:type="dxa"/>
          </w:tcPr>
          <w:p w14:paraId="66B152B7" w14:textId="0DAE9582" w:rsidR="00590423" w:rsidRPr="007B7682" w:rsidRDefault="00FD7E1E" w:rsidP="0098125C">
            <w:pPr>
              <w:widowControl w:val="0"/>
              <w:spacing w:line="276" w:lineRule="auto"/>
              <w:ind w:right="-106"/>
              <w:rPr>
                <w:rFonts w:eastAsia="Times New Roman"/>
                <w:color w:val="000000"/>
                <w:sz w:val="18"/>
                <w:szCs w:val="18"/>
              </w:rPr>
            </w:pPr>
            <w:r w:rsidRPr="007617CA">
              <w:rPr>
                <w:rFonts w:eastAsia="Times New Roman"/>
                <w:color w:val="000000"/>
                <w:sz w:val="18"/>
                <w:szCs w:val="18"/>
              </w:rPr>
              <w:lastRenderedPageBreak/>
              <w:t xml:space="preserve">Prevalence study, </w:t>
            </w:r>
            <w:r w:rsidRPr="007617CA">
              <w:rPr>
                <w:rFonts w:eastAsia="Times New Roman"/>
                <w:color w:val="000000"/>
                <w:sz w:val="18"/>
                <w:szCs w:val="18"/>
              </w:rPr>
              <w:lastRenderedPageBreak/>
              <w:t>meta-analysis, systematic review</w:t>
            </w:r>
            <w:r>
              <w:rPr>
                <w:rFonts w:eastAsia="Times New Roman"/>
                <w:color w:val="000000"/>
                <w:sz w:val="18"/>
                <w:szCs w:val="18"/>
              </w:rPr>
              <w:t>.</w:t>
            </w:r>
          </w:p>
        </w:tc>
        <w:tc>
          <w:tcPr>
            <w:tcW w:w="1134" w:type="dxa"/>
            <w:shd w:val="clear" w:color="auto" w:fill="auto"/>
          </w:tcPr>
          <w:p w14:paraId="3BBF1F3B" w14:textId="6599FE92" w:rsidR="00590423" w:rsidRPr="00ED655A" w:rsidRDefault="00D930DD" w:rsidP="0098125C">
            <w:pPr>
              <w:widowControl w:val="0"/>
              <w:spacing w:line="276" w:lineRule="auto"/>
              <w:ind w:right="-100"/>
              <w:rPr>
                <w:rFonts w:eastAsia="Times New Roman"/>
                <w:color w:val="000000"/>
                <w:sz w:val="18"/>
                <w:szCs w:val="18"/>
              </w:rPr>
            </w:pPr>
            <w:r>
              <w:rPr>
                <w:rFonts w:eastAsia="Times New Roman"/>
                <w:color w:val="000000"/>
                <w:sz w:val="18"/>
                <w:szCs w:val="18"/>
              </w:rPr>
              <w:lastRenderedPageBreak/>
              <w:t>July 2021</w:t>
            </w:r>
          </w:p>
        </w:tc>
        <w:tc>
          <w:tcPr>
            <w:tcW w:w="1134" w:type="dxa"/>
          </w:tcPr>
          <w:p w14:paraId="2E1DF1BA" w14:textId="39AAD0DC" w:rsidR="00590423" w:rsidRPr="00EA32E9" w:rsidRDefault="00D930DD" w:rsidP="0098125C">
            <w:pPr>
              <w:widowControl w:val="0"/>
              <w:spacing w:line="276" w:lineRule="auto"/>
              <w:ind w:right="-121"/>
              <w:rPr>
                <w:rFonts w:eastAsia="Times New Roman"/>
                <w:color w:val="000000"/>
                <w:sz w:val="18"/>
                <w:szCs w:val="18"/>
                <w:highlight w:val="yellow"/>
              </w:rPr>
            </w:pPr>
            <w:r>
              <w:rPr>
                <w:rFonts w:eastAsia="Times New Roman"/>
                <w:color w:val="000000"/>
                <w:sz w:val="18"/>
                <w:szCs w:val="18"/>
              </w:rPr>
              <w:t>July 2021</w:t>
            </w:r>
          </w:p>
        </w:tc>
        <w:tc>
          <w:tcPr>
            <w:tcW w:w="1701" w:type="dxa"/>
          </w:tcPr>
          <w:p w14:paraId="4DCF3780" w14:textId="32C6085F" w:rsidR="00590423" w:rsidRPr="007B7682" w:rsidRDefault="00FD7E1E" w:rsidP="0098125C">
            <w:pPr>
              <w:widowControl w:val="0"/>
              <w:spacing w:line="276" w:lineRule="auto"/>
              <w:ind w:right="-84"/>
              <w:rPr>
                <w:rFonts w:eastAsia="Times New Roman"/>
                <w:color w:val="000000"/>
                <w:sz w:val="18"/>
                <w:szCs w:val="18"/>
              </w:rPr>
            </w:pPr>
            <w:r w:rsidRPr="007617CA">
              <w:rPr>
                <w:rFonts w:eastAsia="Times New Roman"/>
                <w:color w:val="000000"/>
                <w:sz w:val="18"/>
                <w:szCs w:val="18"/>
              </w:rPr>
              <w:t>None</w:t>
            </w:r>
          </w:p>
        </w:tc>
        <w:tc>
          <w:tcPr>
            <w:tcW w:w="1843" w:type="dxa"/>
          </w:tcPr>
          <w:p w14:paraId="2190F58E" w14:textId="1E6791EC" w:rsidR="00590423" w:rsidRPr="007B7682" w:rsidRDefault="00FD7E1E" w:rsidP="0098125C">
            <w:pPr>
              <w:widowControl w:val="0"/>
              <w:spacing w:line="276" w:lineRule="auto"/>
              <w:ind w:right="-115"/>
              <w:rPr>
                <w:rFonts w:eastAsia="Times New Roman"/>
                <w:color w:val="000000"/>
                <w:sz w:val="18"/>
                <w:szCs w:val="18"/>
              </w:rPr>
            </w:pPr>
            <w:r w:rsidRPr="007617CA">
              <w:rPr>
                <w:rFonts w:eastAsia="Times New Roman"/>
                <w:color w:val="000000"/>
                <w:sz w:val="18"/>
                <w:szCs w:val="18"/>
              </w:rPr>
              <w:t xml:space="preserve">Unclear (but appears to </w:t>
            </w:r>
            <w:r w:rsidRPr="007617CA">
              <w:rPr>
                <w:rFonts w:eastAsia="Times New Roman"/>
                <w:color w:val="000000"/>
                <w:sz w:val="18"/>
                <w:szCs w:val="18"/>
              </w:rPr>
              <w:lastRenderedPageBreak/>
              <w:t>be hundreds of thousands of people in total)</w:t>
            </w:r>
            <w:r>
              <w:rPr>
                <w:rFonts w:eastAsia="Times New Roman"/>
                <w:color w:val="000000"/>
                <w:sz w:val="18"/>
                <w:szCs w:val="18"/>
              </w:rPr>
              <w:t>.</w:t>
            </w:r>
          </w:p>
        </w:tc>
        <w:tc>
          <w:tcPr>
            <w:tcW w:w="2126" w:type="dxa"/>
          </w:tcPr>
          <w:p w14:paraId="51290A13" w14:textId="2BD09126" w:rsidR="00590423" w:rsidRDefault="00FD7E1E" w:rsidP="0098125C">
            <w:pPr>
              <w:widowControl w:val="0"/>
              <w:spacing w:line="276" w:lineRule="auto"/>
              <w:ind w:right="-108"/>
              <w:rPr>
                <w:rFonts w:eastAsia="Times New Roman"/>
                <w:color w:val="000000"/>
                <w:sz w:val="18"/>
                <w:szCs w:val="18"/>
              </w:rPr>
            </w:pPr>
            <w:r w:rsidRPr="007617CA">
              <w:rPr>
                <w:rFonts w:eastAsia="Times New Roman"/>
                <w:color w:val="000000"/>
                <w:sz w:val="18"/>
                <w:szCs w:val="18"/>
              </w:rPr>
              <w:lastRenderedPageBreak/>
              <w:t>Unclear</w:t>
            </w:r>
          </w:p>
        </w:tc>
        <w:tc>
          <w:tcPr>
            <w:tcW w:w="2127" w:type="dxa"/>
          </w:tcPr>
          <w:p w14:paraId="2E744B4D" w14:textId="4191B3F2" w:rsidR="00590423" w:rsidRDefault="00FD7E1E" w:rsidP="0098125C">
            <w:pPr>
              <w:widowControl w:val="0"/>
              <w:spacing w:line="276" w:lineRule="auto"/>
              <w:ind w:right="-102"/>
              <w:rPr>
                <w:rFonts w:eastAsia="Times New Roman"/>
                <w:color w:val="000000"/>
                <w:sz w:val="18"/>
                <w:szCs w:val="18"/>
              </w:rPr>
            </w:pPr>
            <w:r w:rsidRPr="007617CA">
              <w:rPr>
                <w:rFonts w:eastAsia="Times New Roman"/>
                <w:color w:val="000000"/>
                <w:sz w:val="18"/>
                <w:szCs w:val="18"/>
              </w:rPr>
              <w:t xml:space="preserve">Results were limited to </w:t>
            </w:r>
            <w:r w:rsidRPr="007617CA">
              <w:rPr>
                <w:rFonts w:eastAsia="Times New Roman"/>
                <w:color w:val="000000"/>
                <w:sz w:val="18"/>
                <w:szCs w:val="18"/>
              </w:rPr>
              <w:lastRenderedPageBreak/>
              <w:t>English, Italian and French</w:t>
            </w:r>
            <w:r>
              <w:rPr>
                <w:rFonts w:eastAsia="Times New Roman"/>
                <w:color w:val="000000"/>
                <w:sz w:val="18"/>
                <w:szCs w:val="18"/>
              </w:rPr>
              <w:t>.</w:t>
            </w:r>
          </w:p>
        </w:tc>
        <w:tc>
          <w:tcPr>
            <w:tcW w:w="992" w:type="dxa"/>
          </w:tcPr>
          <w:p w14:paraId="3E799EFE" w14:textId="2D6D5075" w:rsidR="00590423" w:rsidRPr="007B7682" w:rsidRDefault="00FD7E1E" w:rsidP="0098125C">
            <w:pPr>
              <w:widowControl w:val="0"/>
              <w:spacing w:line="276" w:lineRule="auto"/>
              <w:ind w:right="-127"/>
              <w:rPr>
                <w:rFonts w:eastAsia="Times New Roman"/>
                <w:color w:val="000000"/>
                <w:sz w:val="18"/>
                <w:szCs w:val="18"/>
              </w:rPr>
            </w:pPr>
            <w:r w:rsidRPr="007617CA">
              <w:rPr>
                <w:rFonts w:eastAsia="Times New Roman"/>
                <w:color w:val="000000"/>
                <w:sz w:val="18"/>
                <w:szCs w:val="18"/>
              </w:rPr>
              <w:lastRenderedPageBreak/>
              <w:t xml:space="preserve">191 </w:t>
            </w:r>
            <w:r w:rsidRPr="007617CA">
              <w:rPr>
                <w:rFonts w:eastAsia="Times New Roman"/>
                <w:color w:val="000000"/>
                <w:sz w:val="18"/>
                <w:szCs w:val="18"/>
              </w:rPr>
              <w:lastRenderedPageBreak/>
              <w:t>references listed</w:t>
            </w:r>
            <w:r>
              <w:rPr>
                <w:rFonts w:eastAsia="Times New Roman"/>
                <w:color w:val="000000"/>
                <w:sz w:val="18"/>
                <w:szCs w:val="18"/>
              </w:rPr>
              <w:t>.</w:t>
            </w:r>
          </w:p>
        </w:tc>
        <w:tc>
          <w:tcPr>
            <w:tcW w:w="2542" w:type="dxa"/>
          </w:tcPr>
          <w:p w14:paraId="5AD53DD4" w14:textId="54AF7F28" w:rsidR="00590423" w:rsidRPr="007B7682" w:rsidRDefault="00FD7E1E" w:rsidP="0098125C">
            <w:pPr>
              <w:widowControl w:val="0"/>
              <w:spacing w:line="276" w:lineRule="auto"/>
              <w:ind w:right="-107"/>
              <w:rPr>
                <w:rFonts w:eastAsia="Times New Roman"/>
                <w:color w:val="000000"/>
                <w:sz w:val="18"/>
                <w:szCs w:val="18"/>
              </w:rPr>
            </w:pPr>
            <w:r w:rsidRPr="007617CA">
              <w:rPr>
                <w:rFonts w:eastAsia="Times New Roman"/>
                <w:color w:val="000000"/>
                <w:sz w:val="18"/>
                <w:szCs w:val="18"/>
              </w:rPr>
              <w:lastRenderedPageBreak/>
              <w:t xml:space="preserve">Paper looks at more than </w:t>
            </w:r>
            <w:r w:rsidRPr="007617CA">
              <w:rPr>
                <w:rFonts w:eastAsia="Times New Roman"/>
                <w:color w:val="000000"/>
                <w:sz w:val="18"/>
                <w:szCs w:val="18"/>
              </w:rPr>
              <w:lastRenderedPageBreak/>
              <w:t>Erectile Dysfunction - also looks at neuropsychiatric complications, respiratory complications, cardiovascular complications and endocrine complications.</w:t>
            </w:r>
          </w:p>
        </w:tc>
      </w:tr>
      <w:tr w:rsidR="00CD1C6A" w14:paraId="615A79D7" w14:textId="77777777" w:rsidTr="00CE4F22">
        <w:tc>
          <w:tcPr>
            <w:tcW w:w="988" w:type="dxa"/>
          </w:tcPr>
          <w:p w14:paraId="4FA5CA5D" w14:textId="5C268B6F" w:rsidR="00CD1C6A" w:rsidRPr="00CD1C6A" w:rsidRDefault="00CD1C6A" w:rsidP="0098125C">
            <w:pPr>
              <w:widowControl w:val="0"/>
              <w:spacing w:line="276" w:lineRule="auto"/>
              <w:ind w:right="-92"/>
              <w:rPr>
                <w:rFonts w:eastAsia="Times New Roman"/>
                <w:b/>
                <w:color w:val="000000"/>
                <w:sz w:val="18"/>
                <w:szCs w:val="18"/>
              </w:rPr>
            </w:pPr>
            <w:proofErr w:type="spellStart"/>
            <w:r w:rsidRPr="00CD1C6A">
              <w:rPr>
                <w:rFonts w:eastAsia="Times New Roman"/>
                <w:b/>
                <w:color w:val="000000"/>
                <w:sz w:val="18"/>
                <w:szCs w:val="18"/>
              </w:rPr>
              <w:lastRenderedPageBreak/>
              <w:t>Castanares</w:t>
            </w:r>
            <w:proofErr w:type="spellEnd"/>
            <w:r w:rsidRPr="00CD1C6A">
              <w:rPr>
                <w:rFonts w:eastAsia="Times New Roman"/>
                <w:b/>
                <w:color w:val="000000"/>
                <w:sz w:val="18"/>
                <w:szCs w:val="18"/>
              </w:rPr>
              <w:t>-Zapatero 2022</w:t>
            </w:r>
          </w:p>
        </w:tc>
        <w:tc>
          <w:tcPr>
            <w:tcW w:w="1417" w:type="dxa"/>
          </w:tcPr>
          <w:p w14:paraId="26511F1D" w14:textId="6E074089" w:rsidR="00CD1C6A" w:rsidRPr="00CD1C6A" w:rsidRDefault="00CD1C6A" w:rsidP="0098125C">
            <w:pPr>
              <w:widowControl w:val="0"/>
              <w:spacing w:line="276" w:lineRule="auto"/>
              <w:ind w:right="-69"/>
              <w:rPr>
                <w:rFonts w:eastAsia="Times New Roman"/>
                <w:i/>
                <w:color w:val="000000"/>
                <w:sz w:val="18"/>
                <w:szCs w:val="18"/>
              </w:rPr>
            </w:pPr>
            <w:r w:rsidRPr="00CD1C6A">
              <w:rPr>
                <w:rFonts w:eastAsia="Times New Roman"/>
                <w:i/>
                <w:color w:val="000000"/>
                <w:sz w:val="18"/>
                <w:szCs w:val="18"/>
              </w:rPr>
              <w:t>Pathophysiology and mechanism of long COVID: a comprehensive review</w:t>
            </w:r>
          </w:p>
        </w:tc>
        <w:tc>
          <w:tcPr>
            <w:tcW w:w="851" w:type="dxa"/>
          </w:tcPr>
          <w:p w14:paraId="11236066" w14:textId="6E250122" w:rsidR="00CD1C6A" w:rsidRPr="007617CA" w:rsidRDefault="00243EBD" w:rsidP="0098125C">
            <w:pPr>
              <w:widowControl w:val="0"/>
              <w:spacing w:line="276" w:lineRule="auto"/>
              <w:ind w:left="-80" w:right="-179"/>
              <w:rPr>
                <w:rFonts w:eastAsia="Times New Roman"/>
                <w:color w:val="000000"/>
                <w:sz w:val="18"/>
                <w:szCs w:val="18"/>
              </w:rPr>
            </w:pPr>
            <w:r w:rsidRPr="00A235FB">
              <w:rPr>
                <w:rFonts w:eastAsia="Times New Roman"/>
                <w:color w:val="000000"/>
                <w:sz w:val="18"/>
                <w:szCs w:val="18"/>
              </w:rPr>
              <w:t>Belgium</w:t>
            </w:r>
          </w:p>
        </w:tc>
        <w:tc>
          <w:tcPr>
            <w:tcW w:w="1984" w:type="dxa"/>
          </w:tcPr>
          <w:p w14:paraId="35D89A28" w14:textId="49E9A150" w:rsidR="00243EBD" w:rsidRDefault="00243EBD" w:rsidP="0098125C">
            <w:pPr>
              <w:widowControl w:val="0"/>
              <w:spacing w:line="276" w:lineRule="auto"/>
              <w:ind w:right="-111"/>
              <w:rPr>
                <w:rFonts w:eastAsia="Times New Roman"/>
                <w:color w:val="000000"/>
                <w:sz w:val="18"/>
                <w:szCs w:val="18"/>
              </w:rPr>
            </w:pPr>
            <w:r>
              <w:rPr>
                <w:rFonts w:eastAsia="Times New Roman"/>
                <w:color w:val="000000"/>
                <w:sz w:val="18"/>
                <w:szCs w:val="18"/>
              </w:rPr>
              <w:t>- S</w:t>
            </w:r>
            <w:r w:rsidRPr="00A235FB">
              <w:rPr>
                <w:rFonts w:eastAsia="Times New Roman"/>
                <w:color w:val="000000"/>
                <w:sz w:val="18"/>
                <w:szCs w:val="18"/>
              </w:rPr>
              <w:t>tudies putting forward hypotheses on the pathophysiological mechanisms that could contribute to persisting symptoms after COVID-19</w:t>
            </w:r>
            <w:r>
              <w:rPr>
                <w:rFonts w:eastAsia="Times New Roman"/>
                <w:color w:val="000000"/>
                <w:sz w:val="18"/>
                <w:szCs w:val="18"/>
              </w:rPr>
              <w:t>.</w:t>
            </w:r>
          </w:p>
          <w:p w14:paraId="794E7D9B" w14:textId="77777777" w:rsidR="00243EBD" w:rsidRDefault="00243EBD" w:rsidP="0098125C">
            <w:pPr>
              <w:widowControl w:val="0"/>
              <w:spacing w:line="276" w:lineRule="auto"/>
              <w:ind w:right="-111"/>
              <w:rPr>
                <w:rFonts w:eastAsia="Times New Roman"/>
                <w:color w:val="000000"/>
                <w:sz w:val="18"/>
                <w:szCs w:val="18"/>
              </w:rPr>
            </w:pPr>
            <w:r>
              <w:rPr>
                <w:rFonts w:eastAsia="Times New Roman"/>
                <w:color w:val="000000"/>
                <w:sz w:val="18"/>
                <w:szCs w:val="18"/>
              </w:rPr>
              <w:t>- S</w:t>
            </w:r>
            <w:r w:rsidRPr="00A235FB">
              <w:rPr>
                <w:rFonts w:eastAsia="Times New Roman"/>
                <w:color w:val="000000"/>
                <w:sz w:val="18"/>
                <w:szCs w:val="18"/>
              </w:rPr>
              <w:t>tudies that included long COVID patients in their research process</w:t>
            </w:r>
            <w:r>
              <w:rPr>
                <w:rFonts w:eastAsia="Times New Roman"/>
                <w:color w:val="000000"/>
                <w:sz w:val="18"/>
                <w:szCs w:val="18"/>
              </w:rPr>
              <w:t>.</w:t>
            </w:r>
          </w:p>
          <w:p w14:paraId="1535D9C3" w14:textId="0182283E" w:rsidR="00CD1C6A" w:rsidRDefault="00243EBD" w:rsidP="0098125C">
            <w:pPr>
              <w:widowControl w:val="0"/>
              <w:spacing w:line="276" w:lineRule="auto"/>
              <w:ind w:right="-111"/>
              <w:rPr>
                <w:rFonts w:eastAsia="Times New Roman"/>
                <w:color w:val="000000"/>
                <w:sz w:val="18"/>
                <w:szCs w:val="18"/>
              </w:rPr>
            </w:pPr>
            <w:r w:rsidRPr="00A235FB">
              <w:rPr>
                <w:rFonts w:eastAsia="Times New Roman"/>
                <w:color w:val="000000"/>
                <w:sz w:val="18"/>
                <w:szCs w:val="18"/>
              </w:rPr>
              <w:t>A distinction was made between studies describing one or more hypotheses on the underlying pathophysiology of long COVID, and those analysing patient data. Article types were analysed separately and classified by organ system and symptoms.</w:t>
            </w:r>
          </w:p>
        </w:tc>
        <w:tc>
          <w:tcPr>
            <w:tcW w:w="1985" w:type="dxa"/>
          </w:tcPr>
          <w:p w14:paraId="4DEFC3DD" w14:textId="312DE52C" w:rsidR="00CD1C6A" w:rsidRDefault="00430FBD" w:rsidP="0098125C">
            <w:pPr>
              <w:widowControl w:val="0"/>
              <w:spacing w:line="276" w:lineRule="auto"/>
              <w:ind w:right="-60"/>
              <w:rPr>
                <w:rFonts w:eastAsia="Times New Roman"/>
                <w:color w:val="000000"/>
                <w:sz w:val="18"/>
                <w:szCs w:val="18"/>
              </w:rPr>
            </w:pPr>
            <w:r w:rsidRPr="00A235FB">
              <w:rPr>
                <w:rFonts w:eastAsia="Times New Roman"/>
                <w:color w:val="000000"/>
                <w:sz w:val="18"/>
                <w:szCs w:val="18"/>
              </w:rPr>
              <w:t>To conduct a comprehensive review to address the putative pathophysiology underlying the persisting symptoms of long COVID.</w:t>
            </w:r>
          </w:p>
        </w:tc>
        <w:tc>
          <w:tcPr>
            <w:tcW w:w="1842" w:type="dxa"/>
          </w:tcPr>
          <w:p w14:paraId="0239CDB4" w14:textId="11EBF044" w:rsidR="00CD1C6A" w:rsidRPr="007617CA" w:rsidRDefault="00430FBD" w:rsidP="0098125C">
            <w:pPr>
              <w:widowControl w:val="0"/>
              <w:spacing w:line="276" w:lineRule="auto"/>
              <w:ind w:right="-106"/>
              <w:rPr>
                <w:rFonts w:eastAsia="Times New Roman"/>
                <w:color w:val="000000"/>
                <w:sz w:val="18"/>
                <w:szCs w:val="18"/>
              </w:rPr>
            </w:pPr>
            <w:r>
              <w:rPr>
                <w:rFonts w:eastAsia="Times New Roman"/>
                <w:color w:val="000000"/>
                <w:sz w:val="18"/>
                <w:szCs w:val="18"/>
              </w:rPr>
              <w:t>C</w:t>
            </w:r>
            <w:r w:rsidRPr="00A235FB">
              <w:rPr>
                <w:rFonts w:eastAsia="Times New Roman"/>
                <w:color w:val="000000"/>
                <w:sz w:val="18"/>
                <w:szCs w:val="18"/>
              </w:rPr>
              <w:t>ase series, systematic reviews, cohort studies, and experimental studies</w:t>
            </w:r>
            <w:r>
              <w:rPr>
                <w:rFonts w:eastAsia="Times New Roman"/>
                <w:color w:val="000000"/>
                <w:sz w:val="18"/>
                <w:szCs w:val="18"/>
              </w:rPr>
              <w:t>.</w:t>
            </w:r>
          </w:p>
        </w:tc>
        <w:tc>
          <w:tcPr>
            <w:tcW w:w="1134" w:type="dxa"/>
            <w:shd w:val="clear" w:color="auto" w:fill="auto"/>
          </w:tcPr>
          <w:p w14:paraId="7E9532C0" w14:textId="6491C7DE" w:rsidR="00CD1C6A" w:rsidRPr="00FD7E1E" w:rsidRDefault="00D930DD" w:rsidP="0098125C">
            <w:pPr>
              <w:widowControl w:val="0"/>
              <w:spacing w:line="276" w:lineRule="auto"/>
              <w:ind w:right="-100"/>
              <w:rPr>
                <w:rFonts w:eastAsia="Times New Roman"/>
                <w:color w:val="000000"/>
                <w:sz w:val="18"/>
                <w:szCs w:val="18"/>
                <w:highlight w:val="yellow"/>
              </w:rPr>
            </w:pPr>
            <w:r w:rsidRPr="00D930DD">
              <w:rPr>
                <w:rFonts w:eastAsia="Times New Roman"/>
                <w:color w:val="000000"/>
                <w:sz w:val="18"/>
                <w:szCs w:val="18"/>
              </w:rPr>
              <w:t>February 2021</w:t>
            </w:r>
          </w:p>
        </w:tc>
        <w:tc>
          <w:tcPr>
            <w:tcW w:w="1134" w:type="dxa"/>
          </w:tcPr>
          <w:p w14:paraId="3CC8F114" w14:textId="675BED0B" w:rsidR="00CD1C6A" w:rsidRPr="007617CA" w:rsidRDefault="00430FBD" w:rsidP="0098125C">
            <w:pPr>
              <w:widowControl w:val="0"/>
              <w:spacing w:line="276" w:lineRule="auto"/>
              <w:ind w:right="-121"/>
              <w:rPr>
                <w:rFonts w:eastAsia="Times New Roman"/>
                <w:color w:val="000000"/>
                <w:sz w:val="18"/>
                <w:szCs w:val="18"/>
              </w:rPr>
            </w:pPr>
            <w:r w:rsidRPr="00A235FB">
              <w:rPr>
                <w:rFonts w:eastAsia="Times New Roman"/>
                <w:color w:val="000000"/>
                <w:sz w:val="18"/>
                <w:szCs w:val="18"/>
              </w:rPr>
              <w:t>9th Aug 2021</w:t>
            </w:r>
          </w:p>
        </w:tc>
        <w:tc>
          <w:tcPr>
            <w:tcW w:w="1701" w:type="dxa"/>
          </w:tcPr>
          <w:p w14:paraId="03D56A74" w14:textId="796D4047" w:rsidR="00CD1C6A" w:rsidRPr="007617CA" w:rsidRDefault="005B4C66" w:rsidP="0098125C">
            <w:pPr>
              <w:widowControl w:val="0"/>
              <w:spacing w:line="276" w:lineRule="auto"/>
              <w:ind w:right="-84"/>
              <w:rPr>
                <w:rFonts w:eastAsia="Times New Roman"/>
                <w:color w:val="000000"/>
                <w:sz w:val="18"/>
                <w:szCs w:val="18"/>
              </w:rPr>
            </w:pPr>
            <w:r w:rsidRPr="00A235FB">
              <w:rPr>
                <w:rFonts w:eastAsia="Times New Roman"/>
                <w:color w:val="000000"/>
                <w:sz w:val="18"/>
                <w:szCs w:val="18"/>
              </w:rPr>
              <w:t>Belgian Health Care Knowledge Centre (KCE)</w:t>
            </w:r>
            <w:r>
              <w:rPr>
                <w:rFonts w:eastAsia="Times New Roman"/>
                <w:color w:val="000000"/>
                <w:sz w:val="18"/>
                <w:szCs w:val="18"/>
              </w:rPr>
              <w:t>.</w:t>
            </w:r>
          </w:p>
        </w:tc>
        <w:tc>
          <w:tcPr>
            <w:tcW w:w="1843" w:type="dxa"/>
          </w:tcPr>
          <w:p w14:paraId="2D61A3FB" w14:textId="0EEC27F2" w:rsidR="00CD1C6A" w:rsidRPr="007617CA" w:rsidRDefault="008A4B10" w:rsidP="0098125C">
            <w:pPr>
              <w:widowControl w:val="0"/>
              <w:spacing w:line="276" w:lineRule="auto"/>
              <w:ind w:right="-115"/>
              <w:rPr>
                <w:rFonts w:eastAsia="Times New Roman"/>
                <w:color w:val="000000"/>
                <w:sz w:val="18"/>
                <w:szCs w:val="18"/>
              </w:rPr>
            </w:pPr>
            <w:r w:rsidRPr="00A235FB">
              <w:rPr>
                <w:rFonts w:eastAsia="Times New Roman"/>
                <w:color w:val="000000"/>
                <w:sz w:val="18"/>
                <w:szCs w:val="18"/>
              </w:rPr>
              <w:t>14 exclusively included patients that were hospitalized during the acute infection phase</w:t>
            </w:r>
            <w:r>
              <w:rPr>
                <w:rFonts w:eastAsia="Times New Roman"/>
                <w:color w:val="000000"/>
                <w:sz w:val="18"/>
                <w:szCs w:val="18"/>
              </w:rPr>
              <w:t>.</w:t>
            </w:r>
            <w:r w:rsidRPr="00A235FB">
              <w:rPr>
                <w:rFonts w:eastAsia="Times New Roman"/>
                <w:color w:val="000000"/>
                <w:sz w:val="18"/>
                <w:szCs w:val="18"/>
              </w:rPr>
              <w:br/>
              <w:t>11 included both hospitalized and non-hospitalized patients</w:t>
            </w:r>
            <w:r>
              <w:rPr>
                <w:rFonts w:eastAsia="Times New Roman"/>
                <w:color w:val="000000"/>
                <w:sz w:val="18"/>
                <w:szCs w:val="18"/>
              </w:rPr>
              <w:t>.</w:t>
            </w:r>
            <w:r w:rsidRPr="00A235FB">
              <w:rPr>
                <w:rFonts w:eastAsia="Times New Roman"/>
                <w:color w:val="000000"/>
                <w:sz w:val="18"/>
                <w:szCs w:val="18"/>
              </w:rPr>
              <w:br/>
              <w:t>1 study exclusively comprised non-hospitalized patients</w:t>
            </w:r>
            <w:r>
              <w:rPr>
                <w:rFonts w:eastAsia="Times New Roman"/>
                <w:color w:val="000000"/>
                <w:sz w:val="18"/>
                <w:szCs w:val="18"/>
              </w:rPr>
              <w:t>.</w:t>
            </w:r>
            <w:r w:rsidRPr="00A235FB">
              <w:rPr>
                <w:rFonts w:eastAsia="Times New Roman"/>
                <w:color w:val="000000"/>
                <w:sz w:val="18"/>
                <w:szCs w:val="18"/>
              </w:rPr>
              <w:br/>
              <w:t>5 studies did not mention the hospitalization status</w:t>
            </w:r>
            <w:r>
              <w:rPr>
                <w:rFonts w:eastAsia="Times New Roman"/>
                <w:color w:val="000000"/>
                <w:sz w:val="18"/>
                <w:szCs w:val="18"/>
              </w:rPr>
              <w:t>.</w:t>
            </w:r>
          </w:p>
        </w:tc>
        <w:tc>
          <w:tcPr>
            <w:tcW w:w="2126" w:type="dxa"/>
          </w:tcPr>
          <w:p w14:paraId="3677596F" w14:textId="77777777" w:rsidR="00C30D97" w:rsidRDefault="00C30D97" w:rsidP="0098125C">
            <w:pPr>
              <w:widowControl w:val="0"/>
              <w:spacing w:line="276" w:lineRule="auto"/>
              <w:ind w:right="-108"/>
              <w:rPr>
                <w:rFonts w:eastAsia="Times New Roman"/>
                <w:color w:val="000000"/>
                <w:sz w:val="18"/>
                <w:szCs w:val="18"/>
              </w:rPr>
            </w:pPr>
            <w:r>
              <w:rPr>
                <w:rFonts w:eastAsia="Times New Roman"/>
                <w:color w:val="000000"/>
                <w:sz w:val="18"/>
                <w:szCs w:val="18"/>
              </w:rPr>
              <w:t>I</w:t>
            </w:r>
            <w:r w:rsidRPr="00A235FB">
              <w:rPr>
                <w:rFonts w:eastAsia="Times New Roman"/>
                <w:color w:val="000000"/>
                <w:sz w:val="18"/>
                <w:szCs w:val="18"/>
              </w:rPr>
              <w:t>nclusion criteria</w:t>
            </w:r>
            <w:r>
              <w:rPr>
                <w:rFonts w:eastAsia="Times New Roman"/>
                <w:color w:val="000000"/>
                <w:sz w:val="18"/>
                <w:szCs w:val="18"/>
              </w:rPr>
              <w:t xml:space="preserve"> </w:t>
            </w:r>
            <w:r w:rsidRPr="00A235FB">
              <w:rPr>
                <w:rFonts w:eastAsia="Times New Roman"/>
                <w:color w:val="000000"/>
                <w:sz w:val="18"/>
                <w:szCs w:val="18"/>
              </w:rPr>
              <w:t>formulated using the PEOD scheme:</w:t>
            </w:r>
          </w:p>
          <w:p w14:paraId="685FAEB9" w14:textId="01DBB215" w:rsidR="00C30D97" w:rsidRDefault="00C30D97" w:rsidP="0098125C">
            <w:pPr>
              <w:widowControl w:val="0"/>
              <w:spacing w:line="276" w:lineRule="auto"/>
              <w:ind w:right="-108"/>
              <w:rPr>
                <w:rFonts w:eastAsia="Times New Roman"/>
                <w:color w:val="000000"/>
                <w:sz w:val="18"/>
                <w:szCs w:val="18"/>
              </w:rPr>
            </w:pPr>
            <w:r>
              <w:rPr>
                <w:rFonts w:eastAsia="Times New Roman"/>
                <w:color w:val="000000"/>
                <w:sz w:val="18"/>
                <w:szCs w:val="18"/>
              </w:rPr>
              <w:t>- S</w:t>
            </w:r>
            <w:r w:rsidRPr="00A235FB">
              <w:rPr>
                <w:rFonts w:eastAsia="Times New Roman"/>
                <w:color w:val="000000"/>
                <w:sz w:val="18"/>
                <w:szCs w:val="18"/>
              </w:rPr>
              <w:t>tudies putting forward hypotheses on the pathophysiological mechanisms</w:t>
            </w:r>
            <w:r>
              <w:rPr>
                <w:rFonts w:eastAsia="Times New Roman"/>
                <w:color w:val="000000"/>
                <w:sz w:val="18"/>
                <w:szCs w:val="18"/>
              </w:rPr>
              <w:t xml:space="preserve"> </w:t>
            </w:r>
            <w:r w:rsidRPr="00A235FB">
              <w:rPr>
                <w:rFonts w:eastAsia="Times New Roman"/>
                <w:color w:val="000000"/>
                <w:sz w:val="18"/>
                <w:szCs w:val="18"/>
              </w:rPr>
              <w:t xml:space="preserve">that could contribute to persisting symptoms after COVID-19; </w:t>
            </w:r>
          </w:p>
          <w:p w14:paraId="15DCA4BC" w14:textId="31BB5D0E" w:rsidR="00CD1C6A" w:rsidRPr="007617CA" w:rsidRDefault="00C30D97" w:rsidP="0098125C">
            <w:pPr>
              <w:widowControl w:val="0"/>
              <w:spacing w:line="276" w:lineRule="auto"/>
              <w:ind w:right="-108"/>
              <w:rPr>
                <w:rFonts w:eastAsia="Times New Roman"/>
                <w:color w:val="000000"/>
                <w:sz w:val="18"/>
                <w:szCs w:val="18"/>
              </w:rPr>
            </w:pPr>
            <w:r>
              <w:rPr>
                <w:rFonts w:eastAsia="Times New Roman"/>
                <w:color w:val="000000"/>
                <w:sz w:val="18"/>
                <w:szCs w:val="18"/>
              </w:rPr>
              <w:t>- S</w:t>
            </w:r>
            <w:r w:rsidRPr="00A235FB">
              <w:rPr>
                <w:rFonts w:eastAsia="Times New Roman"/>
                <w:color w:val="000000"/>
                <w:sz w:val="18"/>
                <w:szCs w:val="18"/>
              </w:rPr>
              <w:t>tudies that included long COVID patients in their research process. The study designs were case series, systematic reviews, cohort studies, and experimental studies without any restriction concerning the included patient number</w:t>
            </w:r>
            <w:r>
              <w:rPr>
                <w:rFonts w:eastAsia="Times New Roman"/>
                <w:color w:val="000000"/>
                <w:sz w:val="18"/>
                <w:szCs w:val="18"/>
              </w:rPr>
              <w:t>.</w:t>
            </w:r>
          </w:p>
        </w:tc>
        <w:tc>
          <w:tcPr>
            <w:tcW w:w="2127" w:type="dxa"/>
          </w:tcPr>
          <w:p w14:paraId="25D059A8" w14:textId="77777777" w:rsidR="00E31515" w:rsidRDefault="00E31515" w:rsidP="0098125C">
            <w:pPr>
              <w:widowControl w:val="0"/>
              <w:spacing w:line="276" w:lineRule="auto"/>
              <w:ind w:right="-102"/>
              <w:rPr>
                <w:rFonts w:eastAsia="Times New Roman"/>
                <w:color w:val="000000"/>
                <w:sz w:val="18"/>
                <w:szCs w:val="18"/>
              </w:rPr>
            </w:pPr>
            <w:r>
              <w:rPr>
                <w:rFonts w:eastAsia="Times New Roman"/>
                <w:color w:val="000000"/>
                <w:sz w:val="18"/>
                <w:szCs w:val="18"/>
              </w:rPr>
              <w:t>- S</w:t>
            </w:r>
            <w:r w:rsidRPr="00A235FB">
              <w:rPr>
                <w:rFonts w:eastAsia="Times New Roman"/>
                <w:color w:val="000000"/>
                <w:sz w:val="18"/>
                <w:szCs w:val="18"/>
              </w:rPr>
              <w:t>tudies that exclusively focussed on acute mechanisms;</w:t>
            </w:r>
          </w:p>
          <w:p w14:paraId="06A34CF6" w14:textId="77777777" w:rsidR="00E31515" w:rsidRDefault="00E31515" w:rsidP="0098125C">
            <w:pPr>
              <w:widowControl w:val="0"/>
              <w:spacing w:line="276" w:lineRule="auto"/>
              <w:ind w:right="-102"/>
              <w:rPr>
                <w:rFonts w:eastAsia="Times New Roman"/>
                <w:color w:val="000000"/>
                <w:sz w:val="18"/>
                <w:szCs w:val="18"/>
              </w:rPr>
            </w:pPr>
            <w:r>
              <w:rPr>
                <w:rFonts w:eastAsia="Times New Roman"/>
                <w:color w:val="000000"/>
                <w:sz w:val="18"/>
                <w:szCs w:val="18"/>
              </w:rPr>
              <w:t>- S</w:t>
            </w:r>
            <w:r w:rsidRPr="00A235FB">
              <w:rPr>
                <w:rFonts w:eastAsia="Times New Roman"/>
                <w:color w:val="000000"/>
                <w:sz w:val="18"/>
                <w:szCs w:val="18"/>
              </w:rPr>
              <w:t>tudies that put forward hypotheses on long-term putative consequences like neurodegenerative diseases or cancers;</w:t>
            </w:r>
          </w:p>
          <w:p w14:paraId="608BB799" w14:textId="77777777" w:rsidR="00E31515" w:rsidRDefault="00E31515" w:rsidP="0098125C">
            <w:pPr>
              <w:widowControl w:val="0"/>
              <w:spacing w:line="276" w:lineRule="auto"/>
              <w:ind w:right="-102"/>
              <w:rPr>
                <w:rFonts w:eastAsia="Times New Roman"/>
                <w:color w:val="000000"/>
                <w:sz w:val="18"/>
                <w:szCs w:val="18"/>
              </w:rPr>
            </w:pPr>
            <w:r>
              <w:rPr>
                <w:rFonts w:eastAsia="Times New Roman"/>
                <w:color w:val="000000"/>
                <w:sz w:val="18"/>
                <w:szCs w:val="18"/>
              </w:rPr>
              <w:t>- C</w:t>
            </w:r>
            <w:r w:rsidRPr="00A235FB">
              <w:rPr>
                <w:rFonts w:eastAsia="Times New Roman"/>
                <w:color w:val="000000"/>
                <w:sz w:val="18"/>
                <w:szCs w:val="18"/>
              </w:rPr>
              <w:t>ase reports</w:t>
            </w:r>
            <w:r>
              <w:rPr>
                <w:rFonts w:eastAsia="Times New Roman"/>
                <w:color w:val="000000"/>
                <w:sz w:val="18"/>
                <w:szCs w:val="18"/>
              </w:rPr>
              <w:t>;</w:t>
            </w:r>
          </w:p>
          <w:p w14:paraId="6FDE5DFD" w14:textId="77777777" w:rsidR="00E31515" w:rsidRDefault="00E31515"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A235FB">
              <w:rPr>
                <w:rFonts w:eastAsia="Times New Roman"/>
                <w:color w:val="000000"/>
                <w:sz w:val="18"/>
                <w:szCs w:val="18"/>
              </w:rPr>
              <w:t xml:space="preserve">Articles were excluded if the content was essentially focussed on acute </w:t>
            </w:r>
            <w:proofErr w:type="spellStart"/>
            <w:r w:rsidRPr="00A235FB">
              <w:rPr>
                <w:rFonts w:eastAsia="Times New Roman"/>
                <w:color w:val="000000"/>
                <w:sz w:val="18"/>
                <w:szCs w:val="18"/>
              </w:rPr>
              <w:t>patho</w:t>
            </w:r>
            <w:proofErr w:type="spellEnd"/>
            <w:r w:rsidRPr="00A235FB">
              <w:rPr>
                <w:rFonts w:eastAsia="Times New Roman"/>
                <w:color w:val="000000"/>
                <w:sz w:val="18"/>
                <w:szCs w:val="18"/>
              </w:rPr>
              <w:t>-physiological mechanisms underlying the acute infection phase</w:t>
            </w:r>
            <w:r>
              <w:rPr>
                <w:rFonts w:eastAsia="Times New Roman"/>
                <w:color w:val="000000"/>
                <w:sz w:val="18"/>
                <w:szCs w:val="18"/>
              </w:rPr>
              <w:t>;</w:t>
            </w:r>
          </w:p>
          <w:p w14:paraId="4CA87DE3" w14:textId="6E445496" w:rsidR="00CD1C6A" w:rsidRPr="007617CA" w:rsidRDefault="00E31515"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A235FB">
              <w:rPr>
                <w:rFonts w:eastAsia="Times New Roman"/>
                <w:color w:val="000000"/>
                <w:sz w:val="18"/>
                <w:szCs w:val="18"/>
              </w:rPr>
              <w:t>Languages were restricted to English, French, Dutch, and Spanish.</w:t>
            </w:r>
          </w:p>
        </w:tc>
        <w:tc>
          <w:tcPr>
            <w:tcW w:w="992" w:type="dxa"/>
          </w:tcPr>
          <w:p w14:paraId="76F25324" w14:textId="4ACC9A19" w:rsidR="00CD1C6A" w:rsidRPr="007617CA" w:rsidRDefault="009E4CDF" w:rsidP="0098125C">
            <w:pPr>
              <w:widowControl w:val="0"/>
              <w:spacing w:line="276" w:lineRule="auto"/>
              <w:ind w:right="-127"/>
              <w:rPr>
                <w:rFonts w:eastAsia="Times New Roman"/>
                <w:color w:val="000000"/>
                <w:sz w:val="18"/>
                <w:szCs w:val="18"/>
              </w:rPr>
            </w:pPr>
            <w:r w:rsidRPr="00A235FB">
              <w:rPr>
                <w:rFonts w:eastAsia="Times New Roman"/>
                <w:color w:val="000000"/>
                <w:sz w:val="18"/>
                <w:szCs w:val="18"/>
              </w:rPr>
              <w:t>98</w:t>
            </w:r>
          </w:p>
        </w:tc>
        <w:tc>
          <w:tcPr>
            <w:tcW w:w="2542" w:type="dxa"/>
          </w:tcPr>
          <w:p w14:paraId="496C7893" w14:textId="14558D37" w:rsidR="00CD1C6A" w:rsidRPr="007617CA" w:rsidRDefault="009E4CDF" w:rsidP="0098125C">
            <w:pPr>
              <w:widowControl w:val="0"/>
              <w:spacing w:line="276" w:lineRule="auto"/>
              <w:ind w:right="-107"/>
              <w:rPr>
                <w:rFonts w:eastAsia="Times New Roman"/>
                <w:color w:val="000000"/>
                <w:sz w:val="18"/>
                <w:szCs w:val="18"/>
              </w:rPr>
            </w:pPr>
            <w:r>
              <w:rPr>
                <w:rFonts w:eastAsia="Times New Roman"/>
                <w:color w:val="000000"/>
                <w:sz w:val="18"/>
                <w:szCs w:val="18"/>
              </w:rPr>
              <w:t>None.</w:t>
            </w:r>
          </w:p>
        </w:tc>
      </w:tr>
      <w:tr w:rsidR="00C75360" w14:paraId="23D47F4D" w14:textId="77777777" w:rsidTr="00CE4F22">
        <w:tc>
          <w:tcPr>
            <w:tcW w:w="988" w:type="dxa"/>
          </w:tcPr>
          <w:p w14:paraId="3713DC1C" w14:textId="55B97238" w:rsidR="00C75360" w:rsidRPr="00C75360" w:rsidRDefault="00C75360" w:rsidP="0098125C">
            <w:pPr>
              <w:widowControl w:val="0"/>
              <w:spacing w:line="276" w:lineRule="auto"/>
              <w:ind w:right="-92"/>
              <w:rPr>
                <w:rFonts w:eastAsia="Times New Roman"/>
                <w:b/>
                <w:color w:val="000000"/>
                <w:sz w:val="18"/>
                <w:szCs w:val="18"/>
              </w:rPr>
            </w:pPr>
            <w:proofErr w:type="spellStart"/>
            <w:r w:rsidRPr="00C75360">
              <w:rPr>
                <w:rFonts w:eastAsia="Times New Roman"/>
                <w:b/>
                <w:color w:val="000000"/>
                <w:sz w:val="18"/>
                <w:szCs w:val="18"/>
              </w:rPr>
              <w:t>Bergantini</w:t>
            </w:r>
            <w:proofErr w:type="spellEnd"/>
            <w:r w:rsidRPr="00C75360">
              <w:rPr>
                <w:rFonts w:eastAsia="Times New Roman"/>
                <w:b/>
                <w:color w:val="000000"/>
                <w:sz w:val="18"/>
                <w:szCs w:val="18"/>
              </w:rPr>
              <w:t xml:space="preserve"> 2022</w:t>
            </w:r>
          </w:p>
        </w:tc>
        <w:tc>
          <w:tcPr>
            <w:tcW w:w="1417" w:type="dxa"/>
          </w:tcPr>
          <w:p w14:paraId="0FEFED5D" w14:textId="1676A096" w:rsidR="00C75360" w:rsidRPr="00C75360" w:rsidRDefault="00C75360" w:rsidP="0098125C">
            <w:pPr>
              <w:widowControl w:val="0"/>
              <w:spacing w:line="276" w:lineRule="auto"/>
              <w:ind w:right="-69"/>
              <w:rPr>
                <w:rFonts w:eastAsia="Times New Roman"/>
                <w:i/>
                <w:color w:val="000000"/>
                <w:sz w:val="18"/>
                <w:szCs w:val="18"/>
              </w:rPr>
            </w:pPr>
            <w:r w:rsidRPr="00C75360">
              <w:rPr>
                <w:rFonts w:eastAsia="Times New Roman"/>
                <w:i/>
                <w:color w:val="000000"/>
                <w:sz w:val="18"/>
                <w:szCs w:val="18"/>
              </w:rPr>
              <w:t>Common Molecular Pathways Between Post-COVID19 Syndrome and Lung Fibrosis: A Scoping Review</w:t>
            </w:r>
          </w:p>
        </w:tc>
        <w:tc>
          <w:tcPr>
            <w:tcW w:w="851" w:type="dxa"/>
          </w:tcPr>
          <w:p w14:paraId="0271D31E" w14:textId="773AF29E" w:rsidR="00C75360" w:rsidRPr="00A235FB" w:rsidRDefault="00C75360" w:rsidP="0098125C">
            <w:pPr>
              <w:widowControl w:val="0"/>
              <w:spacing w:line="276" w:lineRule="auto"/>
              <w:ind w:left="-80" w:right="-179"/>
              <w:rPr>
                <w:rFonts w:eastAsia="Times New Roman"/>
                <w:color w:val="000000"/>
                <w:sz w:val="18"/>
                <w:szCs w:val="18"/>
              </w:rPr>
            </w:pPr>
            <w:r w:rsidRPr="000B0AA3">
              <w:rPr>
                <w:rFonts w:eastAsia="Times New Roman"/>
                <w:color w:val="000000"/>
                <w:sz w:val="18"/>
                <w:szCs w:val="18"/>
              </w:rPr>
              <w:t>Italy</w:t>
            </w:r>
          </w:p>
        </w:tc>
        <w:tc>
          <w:tcPr>
            <w:tcW w:w="1984" w:type="dxa"/>
          </w:tcPr>
          <w:p w14:paraId="63BCE091" w14:textId="585EB876" w:rsidR="00C75360" w:rsidRDefault="00C75360" w:rsidP="0098125C">
            <w:pPr>
              <w:widowControl w:val="0"/>
              <w:spacing w:line="276" w:lineRule="auto"/>
              <w:ind w:right="-111"/>
              <w:rPr>
                <w:rFonts w:eastAsia="Times New Roman"/>
                <w:color w:val="000000"/>
                <w:sz w:val="18"/>
                <w:szCs w:val="18"/>
              </w:rPr>
            </w:pPr>
            <w:r>
              <w:rPr>
                <w:rFonts w:eastAsia="Times New Roman"/>
                <w:color w:val="000000"/>
                <w:sz w:val="18"/>
                <w:szCs w:val="18"/>
              </w:rPr>
              <w:t xml:space="preserve">Terms: </w:t>
            </w:r>
            <w:r w:rsidRPr="000B0AA3">
              <w:rPr>
                <w:rFonts w:eastAsia="Times New Roman"/>
                <w:color w:val="000000"/>
                <w:sz w:val="18"/>
                <w:szCs w:val="18"/>
              </w:rPr>
              <w:t xml:space="preserve">COVID-19 AND </w:t>
            </w:r>
            <w:r w:rsidR="00D930DD">
              <w:rPr>
                <w:rFonts w:eastAsia="Times New Roman"/>
                <w:color w:val="000000"/>
                <w:sz w:val="18"/>
                <w:szCs w:val="18"/>
              </w:rPr>
              <w:t>“</w:t>
            </w:r>
            <w:r w:rsidRPr="000B0AA3">
              <w:rPr>
                <w:rFonts w:eastAsia="Times New Roman"/>
                <w:color w:val="000000"/>
                <w:sz w:val="18"/>
                <w:szCs w:val="18"/>
              </w:rPr>
              <w:t>lung fibrosis</w:t>
            </w:r>
            <w:r w:rsidR="00D930DD">
              <w:rPr>
                <w:rFonts w:eastAsia="Times New Roman"/>
                <w:color w:val="000000"/>
                <w:sz w:val="18"/>
                <w:szCs w:val="18"/>
              </w:rPr>
              <w:t>”</w:t>
            </w:r>
            <w:r w:rsidRPr="000B0AA3">
              <w:rPr>
                <w:rFonts w:eastAsia="Times New Roman"/>
                <w:color w:val="000000"/>
                <w:sz w:val="18"/>
                <w:szCs w:val="18"/>
              </w:rPr>
              <w:t xml:space="preserve"> OR </w:t>
            </w:r>
            <w:r w:rsidR="00D930DD">
              <w:rPr>
                <w:rFonts w:eastAsia="Times New Roman"/>
                <w:color w:val="000000"/>
                <w:sz w:val="18"/>
                <w:szCs w:val="18"/>
              </w:rPr>
              <w:t>“</w:t>
            </w:r>
            <w:r w:rsidRPr="000B0AA3">
              <w:rPr>
                <w:rFonts w:eastAsia="Times New Roman"/>
                <w:color w:val="000000"/>
                <w:sz w:val="18"/>
                <w:szCs w:val="18"/>
              </w:rPr>
              <w:t>pulmonary fibrosis</w:t>
            </w:r>
            <w:r w:rsidR="00D930DD">
              <w:rPr>
                <w:rFonts w:eastAsia="Times New Roman"/>
                <w:color w:val="000000"/>
                <w:sz w:val="18"/>
                <w:szCs w:val="18"/>
              </w:rPr>
              <w:t>”</w:t>
            </w:r>
            <w:r w:rsidRPr="000B0AA3">
              <w:rPr>
                <w:rFonts w:eastAsia="Times New Roman"/>
                <w:color w:val="000000"/>
                <w:sz w:val="18"/>
                <w:szCs w:val="18"/>
              </w:rPr>
              <w:t xml:space="preserve"> OR </w:t>
            </w:r>
            <w:r w:rsidR="00D930DD">
              <w:rPr>
                <w:rFonts w:eastAsia="Times New Roman"/>
                <w:color w:val="000000"/>
                <w:sz w:val="18"/>
                <w:szCs w:val="18"/>
              </w:rPr>
              <w:t>“</w:t>
            </w:r>
            <w:r w:rsidRPr="000B0AA3">
              <w:rPr>
                <w:rFonts w:eastAsia="Times New Roman"/>
                <w:color w:val="000000"/>
                <w:sz w:val="18"/>
                <w:szCs w:val="18"/>
              </w:rPr>
              <w:t>interstitial lung disease</w:t>
            </w:r>
            <w:r w:rsidR="00D930DD" w:rsidRPr="00D930DD">
              <w:rPr>
                <w:rFonts w:eastAsia="Times New Roman"/>
                <w:color w:val="000000"/>
                <w:sz w:val="18"/>
                <w:szCs w:val="18"/>
              </w:rPr>
              <w:t>”</w:t>
            </w:r>
            <w:r w:rsidRPr="00D930DD">
              <w:rPr>
                <w:rFonts w:eastAsia="Times New Roman"/>
                <w:color w:val="000000"/>
                <w:sz w:val="18"/>
                <w:szCs w:val="18"/>
              </w:rPr>
              <w:t>,</w:t>
            </w:r>
            <w:r w:rsidRPr="000B0AA3">
              <w:rPr>
                <w:rFonts w:eastAsia="Times New Roman"/>
                <w:color w:val="000000"/>
                <w:sz w:val="18"/>
                <w:szCs w:val="18"/>
              </w:rPr>
              <w:t xml:space="preserve"> </w:t>
            </w:r>
            <w:r w:rsidR="00D930DD">
              <w:rPr>
                <w:rFonts w:eastAsia="Times New Roman"/>
                <w:color w:val="000000"/>
                <w:sz w:val="18"/>
                <w:szCs w:val="18"/>
              </w:rPr>
              <w:t>“</w:t>
            </w:r>
            <w:r w:rsidRPr="000B0AA3">
              <w:rPr>
                <w:rFonts w:eastAsia="Times New Roman"/>
                <w:color w:val="000000"/>
                <w:sz w:val="18"/>
                <w:szCs w:val="18"/>
              </w:rPr>
              <w:t>pulmonary fibrosis and post-COVID19</w:t>
            </w:r>
            <w:r w:rsidR="00D930DD">
              <w:rPr>
                <w:rFonts w:eastAsia="Times New Roman"/>
                <w:color w:val="000000"/>
                <w:sz w:val="18"/>
                <w:szCs w:val="18"/>
              </w:rPr>
              <w:t>”</w:t>
            </w:r>
            <w:r w:rsidRPr="000B0AA3">
              <w:rPr>
                <w:rFonts w:eastAsia="Times New Roman"/>
                <w:color w:val="000000"/>
                <w:sz w:val="18"/>
                <w:szCs w:val="18"/>
              </w:rPr>
              <w:t xml:space="preserve"> OR </w:t>
            </w:r>
            <w:r w:rsidR="00D930DD">
              <w:rPr>
                <w:rFonts w:eastAsia="Times New Roman"/>
                <w:color w:val="000000"/>
                <w:sz w:val="18"/>
                <w:szCs w:val="18"/>
              </w:rPr>
              <w:t>“</w:t>
            </w:r>
            <w:r w:rsidRPr="000B0AA3">
              <w:rPr>
                <w:rFonts w:eastAsia="Times New Roman"/>
                <w:color w:val="000000"/>
                <w:sz w:val="18"/>
                <w:szCs w:val="18"/>
              </w:rPr>
              <w:t>pulmonary fibrosis, post- COVID syndrome</w:t>
            </w:r>
            <w:r w:rsidR="00D930DD">
              <w:rPr>
                <w:rFonts w:eastAsia="Times New Roman"/>
                <w:color w:val="000000"/>
                <w:sz w:val="18"/>
                <w:szCs w:val="18"/>
              </w:rPr>
              <w:t>”</w:t>
            </w:r>
          </w:p>
        </w:tc>
        <w:tc>
          <w:tcPr>
            <w:tcW w:w="1985" w:type="dxa"/>
          </w:tcPr>
          <w:p w14:paraId="5FFFFD22" w14:textId="3C64AAB5" w:rsidR="00C75360" w:rsidRPr="00A235FB" w:rsidRDefault="00683A0E" w:rsidP="0098125C">
            <w:pPr>
              <w:widowControl w:val="0"/>
              <w:spacing w:line="276" w:lineRule="auto"/>
              <w:ind w:right="-60"/>
              <w:rPr>
                <w:rFonts w:eastAsia="Times New Roman"/>
                <w:color w:val="000000"/>
                <w:sz w:val="18"/>
                <w:szCs w:val="18"/>
              </w:rPr>
            </w:pPr>
            <w:r>
              <w:rPr>
                <w:rFonts w:eastAsia="Times New Roman"/>
                <w:color w:val="000000"/>
                <w:sz w:val="18"/>
                <w:szCs w:val="18"/>
              </w:rPr>
              <w:t>T</w:t>
            </w:r>
            <w:r w:rsidRPr="000B0AA3">
              <w:rPr>
                <w:rFonts w:eastAsia="Times New Roman"/>
                <w:color w:val="000000"/>
                <w:sz w:val="18"/>
                <w:szCs w:val="18"/>
              </w:rPr>
              <w:t>o carry out a systematic exploratory search of the literature (Scoping review) to identify and systematize the main pathogenetic mechanisms that are believed to be involved in this phenomenon, in order to highlight the same molecular aspect of the lung</w:t>
            </w:r>
            <w:r>
              <w:rPr>
                <w:rFonts w:eastAsia="Times New Roman"/>
                <w:color w:val="000000"/>
                <w:sz w:val="18"/>
                <w:szCs w:val="18"/>
              </w:rPr>
              <w:t>.</w:t>
            </w:r>
          </w:p>
        </w:tc>
        <w:tc>
          <w:tcPr>
            <w:tcW w:w="1842" w:type="dxa"/>
          </w:tcPr>
          <w:p w14:paraId="7A9EE5C1" w14:textId="70D862A7" w:rsidR="00C75360" w:rsidRDefault="00683A0E" w:rsidP="0098125C">
            <w:pPr>
              <w:widowControl w:val="0"/>
              <w:spacing w:line="276" w:lineRule="auto"/>
              <w:ind w:right="-106"/>
              <w:rPr>
                <w:rFonts w:eastAsia="Times New Roman"/>
                <w:color w:val="000000"/>
                <w:sz w:val="18"/>
                <w:szCs w:val="18"/>
              </w:rPr>
            </w:pPr>
            <w:r>
              <w:rPr>
                <w:rFonts w:eastAsia="Times New Roman"/>
                <w:color w:val="000000"/>
                <w:sz w:val="18"/>
                <w:szCs w:val="18"/>
              </w:rPr>
              <w:t>I</w:t>
            </w:r>
            <w:r w:rsidRPr="000B0AA3">
              <w:rPr>
                <w:rFonts w:eastAsia="Times New Roman"/>
                <w:color w:val="000000"/>
                <w:sz w:val="18"/>
                <w:szCs w:val="18"/>
              </w:rPr>
              <w:t>ncluded studies not limited to single design</w:t>
            </w:r>
            <w:r>
              <w:rPr>
                <w:rFonts w:eastAsia="Times New Roman"/>
                <w:color w:val="000000"/>
                <w:sz w:val="18"/>
                <w:szCs w:val="18"/>
              </w:rPr>
              <w:t>.</w:t>
            </w:r>
          </w:p>
        </w:tc>
        <w:tc>
          <w:tcPr>
            <w:tcW w:w="1134" w:type="dxa"/>
            <w:shd w:val="clear" w:color="auto" w:fill="auto"/>
          </w:tcPr>
          <w:p w14:paraId="3CE1063D" w14:textId="52C8A0EA" w:rsidR="00C75360" w:rsidRPr="00430FBD" w:rsidRDefault="0006551A" w:rsidP="0098125C">
            <w:pPr>
              <w:widowControl w:val="0"/>
              <w:spacing w:line="276" w:lineRule="auto"/>
              <w:ind w:right="-100"/>
              <w:rPr>
                <w:rFonts w:eastAsia="Times New Roman"/>
                <w:color w:val="000000"/>
                <w:sz w:val="18"/>
                <w:szCs w:val="18"/>
                <w:highlight w:val="yellow"/>
              </w:rPr>
            </w:pPr>
            <w:r w:rsidRPr="0006551A">
              <w:rPr>
                <w:rFonts w:eastAsia="Times New Roman"/>
                <w:color w:val="000000"/>
                <w:sz w:val="18"/>
                <w:szCs w:val="18"/>
              </w:rPr>
              <w:t>19</w:t>
            </w:r>
            <w:r w:rsidRPr="0006551A">
              <w:rPr>
                <w:rFonts w:eastAsia="Times New Roman"/>
                <w:color w:val="000000"/>
                <w:sz w:val="18"/>
                <w:szCs w:val="18"/>
                <w:vertAlign w:val="superscript"/>
              </w:rPr>
              <w:t>th</w:t>
            </w:r>
            <w:r w:rsidRPr="0006551A">
              <w:rPr>
                <w:rFonts w:eastAsia="Times New Roman"/>
                <w:color w:val="000000"/>
                <w:sz w:val="18"/>
                <w:szCs w:val="18"/>
              </w:rPr>
              <w:t xml:space="preserve"> March 2020</w:t>
            </w:r>
          </w:p>
        </w:tc>
        <w:tc>
          <w:tcPr>
            <w:tcW w:w="1134" w:type="dxa"/>
          </w:tcPr>
          <w:p w14:paraId="1FB92602" w14:textId="12B2995A" w:rsidR="00C75360" w:rsidRPr="00A235FB" w:rsidRDefault="0006551A" w:rsidP="0098125C">
            <w:pPr>
              <w:widowControl w:val="0"/>
              <w:spacing w:line="276" w:lineRule="auto"/>
              <w:ind w:right="-121"/>
              <w:rPr>
                <w:rFonts w:eastAsia="Times New Roman"/>
                <w:color w:val="000000"/>
                <w:sz w:val="18"/>
                <w:szCs w:val="18"/>
              </w:rPr>
            </w:pPr>
            <w:r>
              <w:rPr>
                <w:rFonts w:eastAsia="Times New Roman"/>
                <w:color w:val="000000"/>
                <w:sz w:val="18"/>
                <w:szCs w:val="18"/>
              </w:rPr>
              <w:t>15</w:t>
            </w:r>
            <w:r w:rsidRPr="0006551A">
              <w:rPr>
                <w:rFonts w:eastAsia="Times New Roman"/>
                <w:color w:val="000000"/>
                <w:sz w:val="18"/>
                <w:szCs w:val="18"/>
                <w:vertAlign w:val="superscript"/>
              </w:rPr>
              <w:t>th</w:t>
            </w:r>
            <w:r>
              <w:rPr>
                <w:rFonts w:eastAsia="Times New Roman"/>
                <w:color w:val="000000"/>
                <w:sz w:val="18"/>
                <w:szCs w:val="18"/>
              </w:rPr>
              <w:t xml:space="preserve"> May 2021</w:t>
            </w:r>
          </w:p>
        </w:tc>
        <w:tc>
          <w:tcPr>
            <w:tcW w:w="1701" w:type="dxa"/>
          </w:tcPr>
          <w:p w14:paraId="1CF3D805" w14:textId="602E63B5" w:rsidR="00C75360" w:rsidRPr="00A235FB" w:rsidRDefault="00683A0E" w:rsidP="0098125C">
            <w:pPr>
              <w:widowControl w:val="0"/>
              <w:spacing w:line="276" w:lineRule="auto"/>
              <w:ind w:right="-84"/>
              <w:rPr>
                <w:rFonts w:eastAsia="Times New Roman"/>
                <w:color w:val="000000"/>
                <w:sz w:val="18"/>
                <w:szCs w:val="18"/>
              </w:rPr>
            </w:pPr>
            <w:r w:rsidRPr="000B0AA3">
              <w:rPr>
                <w:rFonts w:eastAsia="Times New Roman"/>
                <w:color w:val="000000"/>
                <w:sz w:val="18"/>
                <w:szCs w:val="18"/>
              </w:rPr>
              <w:t>None</w:t>
            </w:r>
          </w:p>
        </w:tc>
        <w:tc>
          <w:tcPr>
            <w:tcW w:w="1843" w:type="dxa"/>
          </w:tcPr>
          <w:p w14:paraId="51B3019F" w14:textId="0A304640" w:rsidR="00C75360" w:rsidRPr="00A235FB" w:rsidRDefault="00683A0E" w:rsidP="0098125C">
            <w:pPr>
              <w:widowControl w:val="0"/>
              <w:spacing w:line="276" w:lineRule="auto"/>
              <w:ind w:right="-115"/>
              <w:rPr>
                <w:rFonts w:eastAsia="Times New Roman"/>
                <w:color w:val="000000"/>
                <w:sz w:val="18"/>
                <w:szCs w:val="18"/>
              </w:rPr>
            </w:pPr>
            <w:r>
              <w:rPr>
                <w:rFonts w:eastAsia="Times New Roman"/>
                <w:color w:val="000000"/>
                <w:sz w:val="18"/>
                <w:szCs w:val="18"/>
              </w:rPr>
              <w:t>U</w:t>
            </w:r>
            <w:r w:rsidRPr="000B0AA3">
              <w:rPr>
                <w:rFonts w:eastAsia="Times New Roman"/>
                <w:color w:val="000000"/>
                <w:sz w:val="18"/>
                <w:szCs w:val="18"/>
              </w:rPr>
              <w:t>nclear</w:t>
            </w:r>
            <w:r>
              <w:rPr>
                <w:rFonts w:eastAsia="Times New Roman"/>
                <w:color w:val="000000"/>
                <w:sz w:val="18"/>
                <w:szCs w:val="18"/>
              </w:rPr>
              <w:t xml:space="preserve"> - a</w:t>
            </w:r>
            <w:r w:rsidRPr="000B0AA3">
              <w:rPr>
                <w:rFonts w:eastAsia="Times New Roman"/>
                <w:color w:val="000000"/>
                <w:sz w:val="18"/>
                <w:szCs w:val="18"/>
              </w:rPr>
              <w:t>ppears to intend to include all patients with COVID19 infection who are still experiencing symptoms specifically relating to fibrosis</w:t>
            </w:r>
            <w:r>
              <w:rPr>
                <w:rFonts w:eastAsia="Times New Roman"/>
                <w:color w:val="000000"/>
                <w:sz w:val="18"/>
                <w:szCs w:val="18"/>
              </w:rPr>
              <w:t>.</w:t>
            </w:r>
          </w:p>
        </w:tc>
        <w:tc>
          <w:tcPr>
            <w:tcW w:w="2126" w:type="dxa"/>
          </w:tcPr>
          <w:p w14:paraId="4F612AF8" w14:textId="77777777" w:rsidR="006E33DB" w:rsidRDefault="006E33DB" w:rsidP="0098125C">
            <w:pPr>
              <w:widowControl w:val="0"/>
              <w:spacing w:line="276" w:lineRule="auto"/>
              <w:ind w:right="-108"/>
              <w:rPr>
                <w:rFonts w:eastAsia="Times New Roman"/>
                <w:color w:val="000000"/>
                <w:sz w:val="18"/>
                <w:szCs w:val="18"/>
              </w:rPr>
            </w:pPr>
            <w:r>
              <w:rPr>
                <w:rFonts w:eastAsia="Times New Roman"/>
                <w:color w:val="000000"/>
                <w:sz w:val="18"/>
                <w:szCs w:val="18"/>
              </w:rPr>
              <w:t>P</w:t>
            </w:r>
            <w:r w:rsidRPr="000B0AA3">
              <w:rPr>
                <w:rFonts w:eastAsia="Times New Roman"/>
                <w:color w:val="000000"/>
                <w:sz w:val="18"/>
                <w:szCs w:val="18"/>
              </w:rPr>
              <w:t>eer-reviewed empirical or perspective papers (including editorials or commentaries) with</w:t>
            </w:r>
            <w:r>
              <w:rPr>
                <w:rFonts w:eastAsia="Times New Roman"/>
                <w:color w:val="000000"/>
                <w:sz w:val="18"/>
                <w:szCs w:val="18"/>
              </w:rPr>
              <w:t>:</w:t>
            </w:r>
          </w:p>
          <w:p w14:paraId="565F177C" w14:textId="77777777" w:rsidR="006E33DB" w:rsidRDefault="006E33DB" w:rsidP="0098125C">
            <w:pPr>
              <w:widowControl w:val="0"/>
              <w:spacing w:line="276" w:lineRule="auto"/>
              <w:ind w:right="-108"/>
              <w:rPr>
                <w:rFonts w:eastAsia="Times New Roman"/>
                <w:color w:val="000000"/>
                <w:sz w:val="18"/>
                <w:szCs w:val="18"/>
              </w:rPr>
            </w:pPr>
            <w:r>
              <w:rPr>
                <w:rFonts w:eastAsia="Times New Roman"/>
                <w:color w:val="000000"/>
                <w:sz w:val="18"/>
                <w:szCs w:val="18"/>
              </w:rPr>
              <w:t>- R</w:t>
            </w:r>
            <w:r w:rsidRPr="000B0AA3">
              <w:rPr>
                <w:rFonts w:eastAsia="Times New Roman"/>
                <w:color w:val="000000"/>
                <w:sz w:val="18"/>
                <w:szCs w:val="18"/>
              </w:rPr>
              <w:t xml:space="preserve">elevance to the study topic: Covid-19 disease or pandemic, </w:t>
            </w:r>
            <w:proofErr w:type="spellStart"/>
            <w:r w:rsidRPr="000B0AA3">
              <w:rPr>
                <w:rFonts w:eastAsia="Times New Roman"/>
                <w:color w:val="000000"/>
                <w:sz w:val="18"/>
                <w:szCs w:val="18"/>
              </w:rPr>
              <w:t>fibrogenetic</w:t>
            </w:r>
            <w:proofErr w:type="spellEnd"/>
            <w:r w:rsidRPr="000B0AA3">
              <w:rPr>
                <w:rFonts w:eastAsia="Times New Roman"/>
                <w:color w:val="000000"/>
                <w:sz w:val="18"/>
                <w:szCs w:val="18"/>
              </w:rPr>
              <w:t xml:space="preserve"> pathways, underlying pathogenetic mechanism, reciprocal influence between SARS-COV-2 and fibrotic lung disease;</w:t>
            </w:r>
          </w:p>
          <w:p w14:paraId="0AC80C27" w14:textId="77777777" w:rsidR="006E33DB" w:rsidRDefault="006E33DB" w:rsidP="0098125C">
            <w:pPr>
              <w:widowControl w:val="0"/>
              <w:spacing w:line="276" w:lineRule="auto"/>
              <w:ind w:right="-108"/>
              <w:rPr>
                <w:rFonts w:eastAsia="Times New Roman"/>
                <w:color w:val="000000"/>
                <w:sz w:val="18"/>
                <w:szCs w:val="18"/>
              </w:rPr>
            </w:pPr>
            <w:r>
              <w:rPr>
                <w:rFonts w:eastAsia="Times New Roman"/>
                <w:color w:val="000000"/>
                <w:sz w:val="18"/>
                <w:szCs w:val="18"/>
              </w:rPr>
              <w:t>- T</w:t>
            </w:r>
            <w:r w:rsidRPr="000B0AA3">
              <w:rPr>
                <w:rFonts w:eastAsia="Times New Roman"/>
                <w:color w:val="000000"/>
                <w:sz w:val="18"/>
                <w:szCs w:val="18"/>
              </w:rPr>
              <w:t xml:space="preserve">ype of journal: </w:t>
            </w:r>
            <w:r w:rsidRPr="000B0AA3">
              <w:rPr>
                <w:rFonts w:eastAsia="Times New Roman"/>
                <w:color w:val="000000"/>
                <w:sz w:val="18"/>
                <w:szCs w:val="18"/>
              </w:rPr>
              <w:lastRenderedPageBreak/>
              <w:t>preferences for journals relating to the pneumology area with full text or abstract;</w:t>
            </w:r>
          </w:p>
          <w:p w14:paraId="5B520761" w14:textId="7950D7B1" w:rsidR="00C75360" w:rsidRDefault="006E33DB" w:rsidP="0098125C">
            <w:pPr>
              <w:widowControl w:val="0"/>
              <w:spacing w:line="276" w:lineRule="auto"/>
              <w:ind w:right="-108"/>
              <w:rPr>
                <w:rFonts w:eastAsia="Times New Roman"/>
                <w:color w:val="000000"/>
                <w:sz w:val="18"/>
                <w:szCs w:val="18"/>
              </w:rPr>
            </w:pPr>
            <w:r>
              <w:rPr>
                <w:rFonts w:eastAsia="Times New Roman"/>
                <w:color w:val="000000"/>
                <w:sz w:val="18"/>
                <w:szCs w:val="18"/>
              </w:rPr>
              <w:t>- T</w:t>
            </w:r>
            <w:r w:rsidRPr="000B0AA3">
              <w:rPr>
                <w:rFonts w:eastAsia="Times New Roman"/>
                <w:color w:val="000000"/>
                <w:sz w:val="18"/>
                <w:szCs w:val="18"/>
              </w:rPr>
              <w:t>ype of study: review, case report, case series, original article, letter to the editor.</w:t>
            </w:r>
          </w:p>
        </w:tc>
        <w:tc>
          <w:tcPr>
            <w:tcW w:w="2127" w:type="dxa"/>
          </w:tcPr>
          <w:p w14:paraId="05CB191F" w14:textId="77777777" w:rsidR="008C1B2E" w:rsidRDefault="008C1B2E" w:rsidP="0098125C">
            <w:pPr>
              <w:widowControl w:val="0"/>
              <w:spacing w:line="276" w:lineRule="auto"/>
              <w:ind w:right="-102"/>
              <w:rPr>
                <w:rFonts w:eastAsia="Times New Roman"/>
                <w:color w:val="000000"/>
                <w:sz w:val="18"/>
                <w:szCs w:val="18"/>
              </w:rPr>
            </w:pPr>
            <w:r>
              <w:rPr>
                <w:rFonts w:eastAsia="Times New Roman"/>
                <w:color w:val="000000"/>
                <w:sz w:val="18"/>
                <w:szCs w:val="18"/>
              </w:rPr>
              <w:lastRenderedPageBreak/>
              <w:t>- D</w:t>
            </w:r>
            <w:r w:rsidRPr="000B0AA3">
              <w:rPr>
                <w:rFonts w:eastAsia="Times New Roman"/>
                <w:color w:val="000000"/>
                <w:sz w:val="18"/>
                <w:szCs w:val="18"/>
              </w:rPr>
              <w:t>id not satisfy the relevance to the topic of study;</w:t>
            </w:r>
          </w:p>
          <w:p w14:paraId="7EC247AF" w14:textId="77777777" w:rsidR="008C1B2E" w:rsidRDefault="008C1B2E" w:rsidP="0098125C">
            <w:pPr>
              <w:widowControl w:val="0"/>
              <w:spacing w:line="276" w:lineRule="auto"/>
              <w:ind w:right="-102"/>
              <w:rPr>
                <w:rFonts w:eastAsia="Times New Roman"/>
                <w:color w:val="000000"/>
                <w:sz w:val="18"/>
                <w:szCs w:val="18"/>
              </w:rPr>
            </w:pPr>
            <w:r>
              <w:rPr>
                <w:rFonts w:eastAsia="Times New Roman"/>
                <w:color w:val="000000"/>
                <w:sz w:val="18"/>
                <w:szCs w:val="18"/>
              </w:rPr>
              <w:t>- D</w:t>
            </w:r>
            <w:r w:rsidRPr="000B0AA3">
              <w:rPr>
                <w:rFonts w:eastAsia="Times New Roman"/>
                <w:color w:val="000000"/>
                <w:sz w:val="18"/>
                <w:szCs w:val="18"/>
              </w:rPr>
              <w:t>id not adequately report objectives and conclusions;</w:t>
            </w:r>
          </w:p>
          <w:p w14:paraId="74F1ED2D" w14:textId="1E022E2F" w:rsidR="00C75360" w:rsidRDefault="008C1B2E" w:rsidP="0098125C">
            <w:pPr>
              <w:widowControl w:val="0"/>
              <w:spacing w:line="276" w:lineRule="auto"/>
              <w:ind w:right="-102"/>
              <w:rPr>
                <w:rFonts w:eastAsia="Times New Roman"/>
                <w:color w:val="000000"/>
                <w:sz w:val="18"/>
                <w:szCs w:val="18"/>
              </w:rPr>
            </w:pPr>
            <w:r>
              <w:rPr>
                <w:rFonts w:eastAsia="Times New Roman"/>
                <w:color w:val="000000"/>
                <w:sz w:val="18"/>
                <w:szCs w:val="18"/>
              </w:rPr>
              <w:t>- D</w:t>
            </w:r>
            <w:r w:rsidRPr="000B0AA3">
              <w:rPr>
                <w:rFonts w:eastAsia="Times New Roman"/>
                <w:color w:val="000000"/>
                <w:sz w:val="18"/>
                <w:szCs w:val="18"/>
              </w:rPr>
              <w:t>id not carry full text</w:t>
            </w:r>
            <w:r>
              <w:rPr>
                <w:rFonts w:eastAsia="Times New Roman"/>
                <w:color w:val="000000"/>
                <w:sz w:val="18"/>
                <w:szCs w:val="18"/>
              </w:rPr>
              <w:t>.</w:t>
            </w:r>
          </w:p>
        </w:tc>
        <w:tc>
          <w:tcPr>
            <w:tcW w:w="992" w:type="dxa"/>
          </w:tcPr>
          <w:p w14:paraId="0024C87E" w14:textId="1E09FEF7" w:rsidR="00C75360" w:rsidRPr="00A235FB" w:rsidRDefault="00160F08" w:rsidP="0098125C">
            <w:pPr>
              <w:widowControl w:val="0"/>
              <w:spacing w:line="276" w:lineRule="auto"/>
              <w:ind w:right="-127"/>
              <w:rPr>
                <w:rFonts w:eastAsia="Times New Roman"/>
                <w:color w:val="000000"/>
                <w:sz w:val="18"/>
                <w:szCs w:val="18"/>
              </w:rPr>
            </w:pPr>
            <w:r w:rsidRPr="000B0AA3">
              <w:rPr>
                <w:rFonts w:eastAsia="Times New Roman"/>
                <w:color w:val="000000"/>
                <w:sz w:val="18"/>
                <w:szCs w:val="18"/>
              </w:rPr>
              <w:t>32</w:t>
            </w:r>
          </w:p>
        </w:tc>
        <w:tc>
          <w:tcPr>
            <w:tcW w:w="2542" w:type="dxa"/>
          </w:tcPr>
          <w:p w14:paraId="1E2C480B" w14:textId="500E3CC0" w:rsidR="00C75360" w:rsidRDefault="00160F08" w:rsidP="0098125C">
            <w:pPr>
              <w:widowControl w:val="0"/>
              <w:spacing w:line="276" w:lineRule="auto"/>
              <w:ind w:right="-107"/>
              <w:rPr>
                <w:rFonts w:eastAsia="Times New Roman"/>
                <w:color w:val="000000"/>
                <w:sz w:val="18"/>
                <w:szCs w:val="18"/>
              </w:rPr>
            </w:pPr>
            <w:r>
              <w:rPr>
                <w:rFonts w:eastAsia="Times New Roman"/>
                <w:color w:val="000000"/>
                <w:sz w:val="18"/>
                <w:szCs w:val="18"/>
              </w:rPr>
              <w:t>None</w:t>
            </w:r>
          </w:p>
        </w:tc>
      </w:tr>
      <w:tr w:rsidR="00CE669C" w14:paraId="37226C12" w14:textId="77777777" w:rsidTr="00CE4F22">
        <w:tc>
          <w:tcPr>
            <w:tcW w:w="988" w:type="dxa"/>
          </w:tcPr>
          <w:p w14:paraId="7ED51663" w14:textId="3E98B0ED" w:rsidR="00CE669C" w:rsidRPr="00CE669C" w:rsidRDefault="00CE669C" w:rsidP="0098125C">
            <w:pPr>
              <w:widowControl w:val="0"/>
              <w:spacing w:line="276" w:lineRule="auto"/>
              <w:ind w:right="-92"/>
              <w:rPr>
                <w:rFonts w:eastAsia="Times New Roman"/>
                <w:b/>
                <w:color w:val="000000"/>
                <w:sz w:val="18"/>
                <w:szCs w:val="18"/>
              </w:rPr>
            </w:pPr>
            <w:r w:rsidRPr="00CE669C">
              <w:rPr>
                <w:rFonts w:eastAsia="Times New Roman"/>
                <w:b/>
                <w:color w:val="000000"/>
                <w:sz w:val="18"/>
                <w:szCs w:val="18"/>
              </w:rPr>
              <w:t>Meyer 2022</w:t>
            </w:r>
          </w:p>
        </w:tc>
        <w:tc>
          <w:tcPr>
            <w:tcW w:w="1417" w:type="dxa"/>
          </w:tcPr>
          <w:p w14:paraId="4FC8C8DA" w14:textId="1759DE09" w:rsidR="00CE669C" w:rsidRPr="00B100CA" w:rsidRDefault="00CE669C" w:rsidP="0098125C">
            <w:pPr>
              <w:widowControl w:val="0"/>
              <w:spacing w:line="276" w:lineRule="auto"/>
              <w:ind w:right="-69"/>
              <w:rPr>
                <w:rFonts w:eastAsia="Times New Roman"/>
                <w:i/>
                <w:color w:val="000000"/>
                <w:sz w:val="18"/>
                <w:szCs w:val="18"/>
              </w:rPr>
            </w:pPr>
            <w:r w:rsidRPr="00B100CA">
              <w:rPr>
                <w:rFonts w:eastAsia="Times New Roman"/>
                <w:i/>
                <w:color w:val="000000"/>
                <w:sz w:val="18"/>
                <w:szCs w:val="18"/>
              </w:rPr>
              <w:t>Molecular Imaging Findings on Acute and Long-Term Effects</w:t>
            </w:r>
            <w:r w:rsidRPr="00B100CA">
              <w:rPr>
                <w:rFonts w:eastAsia="Times New Roman"/>
                <w:i/>
                <w:color w:val="000000"/>
                <w:sz w:val="18"/>
                <w:szCs w:val="18"/>
              </w:rPr>
              <w:br/>
              <w:t>of COVID-19 on the Brain: A Systematic Review</w:t>
            </w:r>
          </w:p>
        </w:tc>
        <w:tc>
          <w:tcPr>
            <w:tcW w:w="851" w:type="dxa"/>
          </w:tcPr>
          <w:p w14:paraId="64CE3AD2" w14:textId="140475CF" w:rsidR="00CE669C" w:rsidRPr="000B0AA3" w:rsidRDefault="00CE669C" w:rsidP="0098125C">
            <w:pPr>
              <w:widowControl w:val="0"/>
              <w:spacing w:line="276" w:lineRule="auto"/>
              <w:ind w:left="-80" w:right="-179"/>
              <w:rPr>
                <w:rFonts w:eastAsia="Times New Roman"/>
                <w:color w:val="000000"/>
                <w:sz w:val="18"/>
                <w:szCs w:val="18"/>
              </w:rPr>
            </w:pPr>
            <w:r w:rsidRPr="001B51BB">
              <w:rPr>
                <w:rFonts w:eastAsia="Times New Roman"/>
                <w:color w:val="000000"/>
                <w:sz w:val="18"/>
                <w:szCs w:val="18"/>
              </w:rPr>
              <w:t>Germany</w:t>
            </w:r>
          </w:p>
        </w:tc>
        <w:tc>
          <w:tcPr>
            <w:tcW w:w="1984" w:type="dxa"/>
          </w:tcPr>
          <w:p w14:paraId="56B36C25" w14:textId="6CE29610" w:rsidR="00CE669C" w:rsidRDefault="00CE669C" w:rsidP="0098125C">
            <w:pPr>
              <w:widowControl w:val="0"/>
              <w:spacing w:line="276" w:lineRule="auto"/>
              <w:ind w:right="-111"/>
              <w:rPr>
                <w:rFonts w:eastAsia="Times New Roman"/>
                <w:color w:val="000000"/>
                <w:sz w:val="18"/>
                <w:szCs w:val="18"/>
              </w:rPr>
            </w:pPr>
            <w:r w:rsidRPr="001B51BB">
              <w:rPr>
                <w:rFonts w:eastAsia="Times New Roman"/>
                <w:color w:val="000000"/>
                <w:sz w:val="18"/>
                <w:szCs w:val="18"/>
              </w:rPr>
              <w:t>Medline</w:t>
            </w:r>
            <w:r>
              <w:rPr>
                <w:rFonts w:eastAsia="Times New Roman"/>
                <w:color w:val="000000"/>
                <w:sz w:val="18"/>
                <w:szCs w:val="18"/>
              </w:rPr>
              <w:t>:</w:t>
            </w:r>
            <w:r w:rsidRPr="001B51BB">
              <w:rPr>
                <w:rFonts w:eastAsia="Times New Roman"/>
                <w:color w:val="000000"/>
                <w:sz w:val="18"/>
                <w:szCs w:val="18"/>
              </w:rPr>
              <w:t xml:space="preserve"> (corona OR COVID OR SARS-CoV-2) AND (PET OR positron OR SPECT OR single-photon) AND (brain OR cerebral)</w:t>
            </w:r>
          </w:p>
        </w:tc>
        <w:tc>
          <w:tcPr>
            <w:tcW w:w="1985" w:type="dxa"/>
          </w:tcPr>
          <w:p w14:paraId="3C48A9D3" w14:textId="0CD16EFF" w:rsidR="00CE669C" w:rsidRDefault="002B0662" w:rsidP="0098125C">
            <w:pPr>
              <w:widowControl w:val="0"/>
              <w:spacing w:line="276" w:lineRule="auto"/>
              <w:ind w:right="-60"/>
              <w:rPr>
                <w:rFonts w:eastAsia="Times New Roman"/>
                <w:color w:val="000000"/>
                <w:sz w:val="18"/>
                <w:szCs w:val="18"/>
              </w:rPr>
            </w:pPr>
            <w:r w:rsidRPr="001B51BB">
              <w:rPr>
                <w:rFonts w:eastAsia="Times New Roman"/>
                <w:color w:val="000000"/>
                <w:sz w:val="18"/>
                <w:szCs w:val="18"/>
              </w:rPr>
              <w:t>To provide a comprehensive, structured, and critical survey of actual knowledge on molecular imaging in neuropsychiatric COVID-19 manifestations</w:t>
            </w:r>
            <w:r>
              <w:rPr>
                <w:rFonts w:eastAsia="Times New Roman"/>
                <w:color w:val="000000"/>
                <w:sz w:val="18"/>
                <w:szCs w:val="18"/>
              </w:rPr>
              <w:t>.</w:t>
            </w:r>
          </w:p>
        </w:tc>
        <w:tc>
          <w:tcPr>
            <w:tcW w:w="1842" w:type="dxa"/>
          </w:tcPr>
          <w:p w14:paraId="4AA7CA16" w14:textId="0D7CBD46" w:rsidR="00CE669C" w:rsidRDefault="002B0662" w:rsidP="0098125C">
            <w:pPr>
              <w:widowControl w:val="0"/>
              <w:spacing w:line="276" w:lineRule="auto"/>
              <w:ind w:right="-106"/>
              <w:rPr>
                <w:rFonts w:eastAsia="Times New Roman"/>
                <w:color w:val="000000"/>
                <w:sz w:val="18"/>
                <w:szCs w:val="18"/>
              </w:rPr>
            </w:pPr>
            <w:r w:rsidRPr="001B51BB">
              <w:rPr>
                <w:rFonts w:eastAsia="Times New Roman"/>
                <w:color w:val="000000"/>
                <w:sz w:val="18"/>
                <w:szCs w:val="18"/>
              </w:rPr>
              <w:t xml:space="preserve">Broad inclusion criteria: "peer-reviewed original studies and case series or case reports". </w:t>
            </w:r>
            <w:r w:rsidRPr="001B51BB">
              <w:rPr>
                <w:rFonts w:eastAsia="Times New Roman"/>
                <w:color w:val="000000"/>
                <w:sz w:val="18"/>
                <w:szCs w:val="18"/>
              </w:rPr>
              <w:br/>
              <w:t>15 case reports/series and 10 original studies included.</w:t>
            </w:r>
          </w:p>
        </w:tc>
        <w:tc>
          <w:tcPr>
            <w:tcW w:w="1134" w:type="dxa"/>
            <w:shd w:val="clear" w:color="auto" w:fill="auto"/>
          </w:tcPr>
          <w:p w14:paraId="22007DF1" w14:textId="6201AB3D" w:rsidR="00CE669C" w:rsidRPr="00683A0E" w:rsidRDefault="00C36697" w:rsidP="0098125C">
            <w:pPr>
              <w:widowControl w:val="0"/>
              <w:spacing w:line="276" w:lineRule="auto"/>
              <w:ind w:right="-100"/>
              <w:rPr>
                <w:rFonts w:eastAsia="Times New Roman"/>
                <w:color w:val="000000"/>
                <w:sz w:val="18"/>
                <w:szCs w:val="18"/>
                <w:highlight w:val="yellow"/>
              </w:rPr>
            </w:pPr>
            <w:r w:rsidRPr="001B51BB">
              <w:rPr>
                <w:rFonts w:eastAsia="Times New Roman"/>
                <w:color w:val="000000"/>
                <w:sz w:val="18"/>
                <w:szCs w:val="18"/>
              </w:rPr>
              <w:t>1st January 2019</w:t>
            </w:r>
          </w:p>
        </w:tc>
        <w:tc>
          <w:tcPr>
            <w:tcW w:w="1134" w:type="dxa"/>
          </w:tcPr>
          <w:p w14:paraId="07EC5920" w14:textId="362DDA10" w:rsidR="00CE669C" w:rsidRPr="00683A0E" w:rsidRDefault="00C36697" w:rsidP="0098125C">
            <w:pPr>
              <w:widowControl w:val="0"/>
              <w:spacing w:line="276" w:lineRule="auto"/>
              <w:ind w:right="-121"/>
              <w:rPr>
                <w:rFonts w:eastAsia="Times New Roman"/>
                <w:color w:val="000000"/>
                <w:sz w:val="18"/>
                <w:szCs w:val="18"/>
                <w:highlight w:val="yellow"/>
              </w:rPr>
            </w:pPr>
            <w:r w:rsidRPr="001B51BB">
              <w:rPr>
                <w:rFonts w:eastAsia="Times New Roman"/>
                <w:color w:val="000000"/>
                <w:sz w:val="18"/>
                <w:szCs w:val="18"/>
              </w:rPr>
              <w:t>31st December 2021</w:t>
            </w:r>
          </w:p>
        </w:tc>
        <w:tc>
          <w:tcPr>
            <w:tcW w:w="1701" w:type="dxa"/>
          </w:tcPr>
          <w:p w14:paraId="1123DA8C" w14:textId="056DD7CF" w:rsidR="00CE669C" w:rsidRPr="000B0AA3" w:rsidRDefault="00066173" w:rsidP="0098125C">
            <w:pPr>
              <w:widowControl w:val="0"/>
              <w:spacing w:line="276" w:lineRule="auto"/>
              <w:ind w:right="-84"/>
              <w:rPr>
                <w:rFonts w:eastAsia="Times New Roman"/>
                <w:color w:val="000000"/>
                <w:sz w:val="18"/>
                <w:szCs w:val="18"/>
              </w:rPr>
            </w:pPr>
            <w:r w:rsidRPr="001B51BB">
              <w:rPr>
                <w:rFonts w:eastAsia="Times New Roman"/>
                <w:color w:val="000000"/>
                <w:sz w:val="18"/>
                <w:szCs w:val="18"/>
              </w:rPr>
              <w:t>Not reported</w:t>
            </w:r>
          </w:p>
        </w:tc>
        <w:tc>
          <w:tcPr>
            <w:tcW w:w="1843" w:type="dxa"/>
          </w:tcPr>
          <w:p w14:paraId="2783EFFF" w14:textId="7BF034AC" w:rsidR="00CE669C" w:rsidRDefault="00066173" w:rsidP="0098125C">
            <w:pPr>
              <w:widowControl w:val="0"/>
              <w:spacing w:line="276" w:lineRule="auto"/>
              <w:ind w:right="-115"/>
              <w:rPr>
                <w:rFonts w:eastAsia="Times New Roman"/>
                <w:color w:val="000000"/>
                <w:sz w:val="18"/>
                <w:szCs w:val="18"/>
              </w:rPr>
            </w:pPr>
            <w:r w:rsidRPr="001B51BB">
              <w:rPr>
                <w:rFonts w:eastAsia="Times New Roman"/>
                <w:color w:val="000000"/>
                <w:sz w:val="18"/>
                <w:szCs w:val="18"/>
              </w:rPr>
              <w:t>Mixture of hospitalised and non-hospitalised cases</w:t>
            </w:r>
            <w:r>
              <w:rPr>
                <w:rFonts w:eastAsia="Times New Roman"/>
                <w:color w:val="000000"/>
                <w:sz w:val="18"/>
                <w:szCs w:val="18"/>
              </w:rPr>
              <w:t>.</w:t>
            </w:r>
          </w:p>
        </w:tc>
        <w:tc>
          <w:tcPr>
            <w:tcW w:w="2126" w:type="dxa"/>
          </w:tcPr>
          <w:p w14:paraId="0B9AD9E3" w14:textId="30775444" w:rsidR="00CE669C" w:rsidRDefault="00066173" w:rsidP="0098125C">
            <w:pPr>
              <w:widowControl w:val="0"/>
              <w:spacing w:line="276" w:lineRule="auto"/>
              <w:ind w:right="-108"/>
              <w:rPr>
                <w:rFonts w:eastAsia="Times New Roman"/>
                <w:color w:val="000000"/>
                <w:sz w:val="18"/>
                <w:szCs w:val="18"/>
              </w:rPr>
            </w:pPr>
            <w:r w:rsidRPr="001B51BB">
              <w:rPr>
                <w:rFonts w:eastAsia="Times New Roman"/>
                <w:color w:val="000000"/>
                <w:sz w:val="18"/>
                <w:szCs w:val="18"/>
              </w:rPr>
              <w:t>Studies using PET or SPECT to investigate central nervous system (CNS) manifestations of COVID-19</w:t>
            </w:r>
            <w:r>
              <w:rPr>
                <w:rFonts w:eastAsia="Times New Roman"/>
                <w:color w:val="000000"/>
                <w:sz w:val="18"/>
                <w:szCs w:val="18"/>
              </w:rPr>
              <w:t>.</w:t>
            </w:r>
          </w:p>
        </w:tc>
        <w:tc>
          <w:tcPr>
            <w:tcW w:w="2127" w:type="dxa"/>
          </w:tcPr>
          <w:p w14:paraId="4EA5A18C" w14:textId="4C86CF8F" w:rsidR="00CE669C" w:rsidRDefault="00066173" w:rsidP="0098125C">
            <w:pPr>
              <w:widowControl w:val="0"/>
              <w:spacing w:line="276" w:lineRule="auto"/>
              <w:ind w:right="-102"/>
              <w:rPr>
                <w:rFonts w:eastAsia="Times New Roman"/>
                <w:color w:val="000000"/>
                <w:sz w:val="18"/>
                <w:szCs w:val="18"/>
              </w:rPr>
            </w:pPr>
            <w:r w:rsidRPr="001B51BB">
              <w:rPr>
                <w:rFonts w:eastAsia="Times New Roman"/>
                <w:color w:val="000000"/>
                <w:sz w:val="18"/>
                <w:szCs w:val="18"/>
              </w:rPr>
              <w:t>Not stated</w:t>
            </w:r>
            <w:r>
              <w:rPr>
                <w:rFonts w:eastAsia="Times New Roman"/>
                <w:color w:val="000000"/>
                <w:sz w:val="18"/>
                <w:szCs w:val="18"/>
              </w:rPr>
              <w:t>.</w:t>
            </w:r>
          </w:p>
        </w:tc>
        <w:tc>
          <w:tcPr>
            <w:tcW w:w="992" w:type="dxa"/>
          </w:tcPr>
          <w:p w14:paraId="433347A8" w14:textId="59F54D01" w:rsidR="00CE669C" w:rsidRPr="000B0AA3" w:rsidRDefault="00066173" w:rsidP="0098125C">
            <w:pPr>
              <w:widowControl w:val="0"/>
              <w:spacing w:line="276" w:lineRule="auto"/>
              <w:ind w:right="-127"/>
              <w:rPr>
                <w:rFonts w:eastAsia="Times New Roman"/>
                <w:color w:val="000000"/>
                <w:sz w:val="18"/>
                <w:szCs w:val="18"/>
              </w:rPr>
            </w:pPr>
            <w:r w:rsidRPr="001B51BB">
              <w:rPr>
                <w:rFonts w:eastAsia="Times New Roman"/>
                <w:color w:val="000000"/>
                <w:sz w:val="18"/>
                <w:szCs w:val="18"/>
              </w:rPr>
              <w:t>25</w:t>
            </w:r>
          </w:p>
        </w:tc>
        <w:tc>
          <w:tcPr>
            <w:tcW w:w="2542" w:type="dxa"/>
          </w:tcPr>
          <w:p w14:paraId="2150E308" w14:textId="163FA3D0" w:rsidR="00CE669C" w:rsidRDefault="00066173" w:rsidP="0098125C">
            <w:pPr>
              <w:widowControl w:val="0"/>
              <w:spacing w:line="276" w:lineRule="auto"/>
              <w:ind w:right="-107"/>
              <w:rPr>
                <w:rFonts w:eastAsia="Times New Roman"/>
                <w:color w:val="000000"/>
                <w:sz w:val="18"/>
                <w:szCs w:val="18"/>
              </w:rPr>
            </w:pPr>
            <w:r>
              <w:rPr>
                <w:rFonts w:eastAsia="Times New Roman"/>
                <w:color w:val="000000"/>
                <w:sz w:val="18"/>
                <w:szCs w:val="18"/>
              </w:rPr>
              <w:t>None</w:t>
            </w:r>
          </w:p>
        </w:tc>
      </w:tr>
      <w:tr w:rsidR="004767FF" w14:paraId="24E57CFE" w14:textId="77777777" w:rsidTr="00CE4F22">
        <w:tc>
          <w:tcPr>
            <w:tcW w:w="988" w:type="dxa"/>
          </w:tcPr>
          <w:p w14:paraId="1EC2860B" w14:textId="36691BD3" w:rsidR="004767FF" w:rsidRPr="002A2B17" w:rsidRDefault="002A2B17" w:rsidP="002A2B17">
            <w:pPr>
              <w:widowControl w:val="0"/>
              <w:spacing w:line="276" w:lineRule="auto"/>
              <w:ind w:left="-74" w:right="-92"/>
              <w:rPr>
                <w:rFonts w:eastAsia="Times New Roman"/>
                <w:b/>
                <w:color w:val="000000"/>
                <w:sz w:val="18"/>
                <w:szCs w:val="18"/>
              </w:rPr>
            </w:pPr>
            <w:proofErr w:type="spellStart"/>
            <w:r w:rsidRPr="002A2B17">
              <w:rPr>
                <w:rFonts w:eastAsia="Times New Roman"/>
                <w:b/>
                <w:color w:val="000000"/>
                <w:spacing w:val="-8"/>
                <w:sz w:val="18"/>
                <w:szCs w:val="18"/>
              </w:rPr>
              <w:t>Akbarialiabad</w:t>
            </w:r>
            <w:proofErr w:type="spellEnd"/>
            <w:r w:rsidRPr="002A2B17">
              <w:rPr>
                <w:rFonts w:eastAsia="Times New Roman"/>
                <w:b/>
                <w:color w:val="000000"/>
                <w:sz w:val="18"/>
                <w:szCs w:val="18"/>
              </w:rPr>
              <w:t xml:space="preserve"> 2021</w:t>
            </w:r>
          </w:p>
        </w:tc>
        <w:tc>
          <w:tcPr>
            <w:tcW w:w="1417" w:type="dxa"/>
          </w:tcPr>
          <w:p w14:paraId="279D1915" w14:textId="49522823" w:rsidR="004767FF" w:rsidRPr="002A2B17" w:rsidRDefault="002A2B17" w:rsidP="0098125C">
            <w:pPr>
              <w:widowControl w:val="0"/>
              <w:spacing w:line="276" w:lineRule="auto"/>
              <w:ind w:right="-69"/>
              <w:rPr>
                <w:rFonts w:eastAsia="Times New Roman"/>
                <w:i/>
                <w:color w:val="000000"/>
                <w:sz w:val="18"/>
                <w:szCs w:val="18"/>
              </w:rPr>
            </w:pPr>
            <w:r w:rsidRPr="002A2B17">
              <w:rPr>
                <w:rFonts w:eastAsia="Times New Roman"/>
                <w:i/>
                <w:color w:val="000000"/>
                <w:sz w:val="18"/>
                <w:szCs w:val="18"/>
              </w:rPr>
              <w:t>Long COVID, a comprehensive systematic scoping review</w:t>
            </w:r>
          </w:p>
        </w:tc>
        <w:tc>
          <w:tcPr>
            <w:tcW w:w="851" w:type="dxa"/>
          </w:tcPr>
          <w:p w14:paraId="50D8003D" w14:textId="7DE19D8A" w:rsidR="004767FF" w:rsidRPr="001B51BB" w:rsidRDefault="002A2B17" w:rsidP="0098125C">
            <w:pPr>
              <w:widowControl w:val="0"/>
              <w:spacing w:line="276" w:lineRule="auto"/>
              <w:ind w:left="-80" w:right="-179"/>
              <w:rPr>
                <w:rFonts w:eastAsia="Times New Roman"/>
                <w:color w:val="000000"/>
                <w:sz w:val="18"/>
                <w:szCs w:val="18"/>
              </w:rPr>
            </w:pPr>
            <w:r w:rsidRPr="00A839C4">
              <w:rPr>
                <w:rFonts w:eastAsia="Times New Roman"/>
                <w:color w:val="000000"/>
                <w:sz w:val="18"/>
                <w:szCs w:val="18"/>
              </w:rPr>
              <w:t>Iran</w:t>
            </w:r>
          </w:p>
        </w:tc>
        <w:tc>
          <w:tcPr>
            <w:tcW w:w="1984" w:type="dxa"/>
          </w:tcPr>
          <w:p w14:paraId="098DF430" w14:textId="19F56235" w:rsidR="004767FF" w:rsidRDefault="002A2B17" w:rsidP="0098125C">
            <w:pPr>
              <w:widowControl w:val="0"/>
              <w:spacing w:line="276" w:lineRule="auto"/>
              <w:ind w:right="-111"/>
              <w:rPr>
                <w:rFonts w:eastAsia="Times New Roman"/>
                <w:color w:val="000000"/>
                <w:sz w:val="18"/>
                <w:szCs w:val="18"/>
              </w:rPr>
            </w:pPr>
            <w:r w:rsidRPr="00A839C4">
              <w:rPr>
                <w:rFonts w:eastAsia="Times New Roman"/>
                <w:color w:val="000000"/>
                <w:sz w:val="18"/>
                <w:szCs w:val="18"/>
              </w:rPr>
              <w:t xml:space="preserve">Keywords used: </w:t>
            </w:r>
            <w:r w:rsidRPr="00A839C4">
              <w:rPr>
                <w:rFonts w:eastAsia="Times New Roman"/>
                <w:color w:val="000000"/>
                <w:sz w:val="18"/>
                <w:szCs w:val="18"/>
              </w:rPr>
              <w:br/>
              <w:t>"long COVID" or "long haulers" or "post-acute COVID" or "chronic COVID syndrome" or "late sequela COVID" or "persistent COVID</w:t>
            </w:r>
            <w:r w:rsidR="0006551A">
              <w:rPr>
                <w:rFonts w:eastAsia="Times New Roman"/>
                <w:color w:val="000000"/>
                <w:sz w:val="18"/>
                <w:szCs w:val="18"/>
              </w:rPr>
              <w:t>”</w:t>
            </w:r>
            <w:r w:rsidRPr="00A839C4">
              <w:rPr>
                <w:rFonts w:eastAsia="Times New Roman"/>
                <w:color w:val="000000"/>
                <w:sz w:val="18"/>
                <w:szCs w:val="18"/>
              </w:rPr>
              <w:br/>
              <w:t>(Google Translate used for non-English papers)</w:t>
            </w:r>
          </w:p>
        </w:tc>
        <w:tc>
          <w:tcPr>
            <w:tcW w:w="1985" w:type="dxa"/>
          </w:tcPr>
          <w:p w14:paraId="25DD889E" w14:textId="65655FBB" w:rsidR="004767FF" w:rsidRDefault="002A2B17" w:rsidP="0098125C">
            <w:pPr>
              <w:widowControl w:val="0"/>
              <w:spacing w:line="276" w:lineRule="auto"/>
              <w:ind w:right="-60"/>
              <w:rPr>
                <w:rFonts w:eastAsia="Times New Roman"/>
                <w:color w:val="000000"/>
                <w:sz w:val="18"/>
                <w:szCs w:val="18"/>
              </w:rPr>
            </w:pPr>
            <w:r w:rsidRPr="00A839C4">
              <w:rPr>
                <w:rFonts w:eastAsia="Times New Roman"/>
                <w:color w:val="000000"/>
                <w:sz w:val="18"/>
                <w:szCs w:val="18"/>
              </w:rPr>
              <w:t>Identify what is known about Long Covid:</w:t>
            </w:r>
            <w:r w:rsidRPr="00A839C4">
              <w:rPr>
                <w:rFonts w:eastAsia="Times New Roman"/>
                <w:color w:val="000000"/>
                <w:sz w:val="18"/>
                <w:szCs w:val="18"/>
              </w:rPr>
              <w:br/>
              <w:t>- diagnosis</w:t>
            </w:r>
            <w:r w:rsidRPr="00A839C4">
              <w:rPr>
                <w:rFonts w:eastAsia="Times New Roman"/>
                <w:color w:val="000000"/>
                <w:sz w:val="18"/>
                <w:szCs w:val="18"/>
              </w:rPr>
              <w:br/>
              <w:t>- symptoms</w:t>
            </w:r>
            <w:r w:rsidRPr="00A839C4">
              <w:rPr>
                <w:rFonts w:eastAsia="Times New Roman"/>
                <w:color w:val="000000"/>
                <w:sz w:val="18"/>
                <w:szCs w:val="18"/>
              </w:rPr>
              <w:br/>
              <w:t>- risk factors</w:t>
            </w:r>
            <w:r w:rsidRPr="00A839C4">
              <w:rPr>
                <w:rFonts w:eastAsia="Times New Roman"/>
                <w:color w:val="000000"/>
                <w:sz w:val="18"/>
                <w:szCs w:val="18"/>
              </w:rPr>
              <w:br/>
              <w:t>-pathophysiology</w:t>
            </w:r>
            <w:r w:rsidRPr="00A839C4">
              <w:rPr>
                <w:rFonts w:eastAsia="Times New Roman"/>
                <w:color w:val="000000"/>
                <w:sz w:val="18"/>
                <w:szCs w:val="18"/>
              </w:rPr>
              <w:br/>
              <w:t xml:space="preserve">- current recommended management </w:t>
            </w:r>
            <w:r w:rsidRPr="00A839C4">
              <w:rPr>
                <w:rFonts w:eastAsia="Times New Roman"/>
                <w:color w:val="000000"/>
                <w:sz w:val="18"/>
                <w:szCs w:val="18"/>
              </w:rPr>
              <w:br/>
              <w:t>- Also identify gaps in knowledge</w:t>
            </w:r>
            <w:r>
              <w:rPr>
                <w:rFonts w:eastAsia="Times New Roman"/>
                <w:color w:val="000000"/>
                <w:sz w:val="18"/>
                <w:szCs w:val="18"/>
              </w:rPr>
              <w:t>.</w:t>
            </w:r>
          </w:p>
        </w:tc>
        <w:tc>
          <w:tcPr>
            <w:tcW w:w="1842" w:type="dxa"/>
          </w:tcPr>
          <w:p w14:paraId="3ECECB33" w14:textId="7050F74A" w:rsidR="004767FF" w:rsidRPr="001B51BB" w:rsidRDefault="002A2B17" w:rsidP="0098125C">
            <w:pPr>
              <w:widowControl w:val="0"/>
              <w:spacing w:line="276" w:lineRule="auto"/>
              <w:ind w:right="-106"/>
              <w:rPr>
                <w:rFonts w:eastAsia="Times New Roman"/>
                <w:color w:val="000000"/>
                <w:sz w:val="18"/>
                <w:szCs w:val="18"/>
              </w:rPr>
            </w:pPr>
            <w:r w:rsidRPr="00A839C4">
              <w:rPr>
                <w:rFonts w:eastAsia="Times New Roman"/>
                <w:color w:val="000000"/>
                <w:sz w:val="18"/>
                <w:szCs w:val="18"/>
              </w:rPr>
              <w:t>Included studies not limited to single design</w:t>
            </w:r>
            <w:r>
              <w:rPr>
                <w:rFonts w:eastAsia="Times New Roman"/>
                <w:color w:val="000000"/>
                <w:sz w:val="18"/>
                <w:szCs w:val="18"/>
              </w:rPr>
              <w:t>.</w:t>
            </w:r>
          </w:p>
        </w:tc>
        <w:tc>
          <w:tcPr>
            <w:tcW w:w="1134" w:type="dxa"/>
            <w:shd w:val="clear" w:color="auto" w:fill="auto"/>
          </w:tcPr>
          <w:p w14:paraId="1E56270A" w14:textId="23DC215D" w:rsidR="004767FF" w:rsidRPr="002A2B17" w:rsidRDefault="0006551A" w:rsidP="0098125C">
            <w:pPr>
              <w:widowControl w:val="0"/>
              <w:spacing w:line="276" w:lineRule="auto"/>
              <w:ind w:right="-100"/>
              <w:rPr>
                <w:rFonts w:eastAsia="Times New Roman"/>
                <w:color w:val="000000"/>
                <w:sz w:val="18"/>
                <w:szCs w:val="18"/>
                <w:highlight w:val="yellow"/>
              </w:rPr>
            </w:pPr>
            <w:r w:rsidRPr="0006551A">
              <w:rPr>
                <w:rFonts w:eastAsia="Times New Roman"/>
                <w:color w:val="000000"/>
                <w:sz w:val="18"/>
                <w:szCs w:val="18"/>
              </w:rPr>
              <w:t>20 January 2021</w:t>
            </w:r>
          </w:p>
        </w:tc>
        <w:tc>
          <w:tcPr>
            <w:tcW w:w="1134" w:type="dxa"/>
          </w:tcPr>
          <w:p w14:paraId="6A24775B" w14:textId="5F40372D" w:rsidR="004767FF" w:rsidRPr="002A2B17" w:rsidRDefault="0006551A" w:rsidP="0098125C">
            <w:pPr>
              <w:widowControl w:val="0"/>
              <w:spacing w:line="276" w:lineRule="auto"/>
              <w:ind w:right="-121"/>
              <w:rPr>
                <w:rFonts w:eastAsia="Times New Roman"/>
                <w:color w:val="000000"/>
                <w:sz w:val="18"/>
                <w:szCs w:val="18"/>
                <w:highlight w:val="yellow"/>
              </w:rPr>
            </w:pPr>
            <w:r w:rsidRPr="0006551A">
              <w:rPr>
                <w:rFonts w:eastAsia="Times New Roman"/>
                <w:color w:val="000000"/>
                <w:sz w:val="18"/>
                <w:szCs w:val="18"/>
              </w:rPr>
              <w:t>30 January 2021</w:t>
            </w:r>
          </w:p>
        </w:tc>
        <w:tc>
          <w:tcPr>
            <w:tcW w:w="1701" w:type="dxa"/>
          </w:tcPr>
          <w:p w14:paraId="1403DE44" w14:textId="4AD3F1F4" w:rsidR="004767FF" w:rsidRPr="001B51BB" w:rsidRDefault="00BB3463" w:rsidP="0098125C">
            <w:pPr>
              <w:widowControl w:val="0"/>
              <w:spacing w:line="276" w:lineRule="auto"/>
              <w:ind w:right="-84"/>
              <w:rPr>
                <w:rFonts w:eastAsia="Times New Roman"/>
                <w:color w:val="000000"/>
                <w:sz w:val="18"/>
                <w:szCs w:val="18"/>
              </w:rPr>
            </w:pPr>
            <w:r>
              <w:rPr>
                <w:rFonts w:eastAsia="Times New Roman"/>
                <w:color w:val="000000"/>
                <w:sz w:val="18"/>
                <w:szCs w:val="18"/>
              </w:rPr>
              <w:t>None</w:t>
            </w:r>
          </w:p>
        </w:tc>
        <w:tc>
          <w:tcPr>
            <w:tcW w:w="1843" w:type="dxa"/>
          </w:tcPr>
          <w:p w14:paraId="73728202" w14:textId="52FF4F07" w:rsidR="004767FF" w:rsidRPr="001B51BB" w:rsidRDefault="00BB3463" w:rsidP="0098125C">
            <w:pPr>
              <w:widowControl w:val="0"/>
              <w:spacing w:line="276" w:lineRule="auto"/>
              <w:ind w:right="-115"/>
              <w:rPr>
                <w:rFonts w:eastAsia="Times New Roman"/>
                <w:color w:val="000000"/>
                <w:sz w:val="18"/>
                <w:szCs w:val="18"/>
              </w:rPr>
            </w:pPr>
            <w:r w:rsidRPr="00A839C4">
              <w:rPr>
                <w:rFonts w:eastAsia="Times New Roman"/>
                <w:color w:val="000000"/>
                <w:sz w:val="18"/>
                <w:szCs w:val="18"/>
              </w:rPr>
              <w:t>Unclear but appears to be all patients with ongoing symptoms following acute infection with COVID19</w:t>
            </w:r>
            <w:r>
              <w:rPr>
                <w:rFonts w:eastAsia="Times New Roman"/>
                <w:color w:val="000000"/>
                <w:sz w:val="18"/>
                <w:szCs w:val="18"/>
              </w:rPr>
              <w:t>.</w:t>
            </w:r>
          </w:p>
        </w:tc>
        <w:tc>
          <w:tcPr>
            <w:tcW w:w="2126" w:type="dxa"/>
          </w:tcPr>
          <w:p w14:paraId="0AF2867C" w14:textId="61F1C0BD" w:rsidR="004767FF" w:rsidRPr="001B51BB" w:rsidRDefault="00BB3463" w:rsidP="0098125C">
            <w:pPr>
              <w:widowControl w:val="0"/>
              <w:spacing w:line="276" w:lineRule="auto"/>
              <w:ind w:right="-108"/>
              <w:rPr>
                <w:rFonts w:eastAsia="Times New Roman"/>
                <w:color w:val="000000"/>
                <w:sz w:val="18"/>
                <w:szCs w:val="18"/>
              </w:rPr>
            </w:pPr>
            <w:r>
              <w:rPr>
                <w:rFonts w:eastAsia="Times New Roman"/>
                <w:color w:val="000000"/>
                <w:sz w:val="18"/>
                <w:szCs w:val="18"/>
              </w:rPr>
              <w:t xml:space="preserve">- </w:t>
            </w:r>
            <w:r w:rsidRPr="00A839C4">
              <w:rPr>
                <w:rFonts w:eastAsia="Times New Roman"/>
                <w:color w:val="000000"/>
                <w:sz w:val="18"/>
                <w:szCs w:val="18"/>
              </w:rPr>
              <w:t>Re. long COVID, post-acute COVID, and long haulers of COVID-19</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Re. nomenclature, diagnosis criteria, pathophysiology, signs and symptoms, and managements</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All types of reports included: original studies, reviews, editorials, viewpoints, guide-lines, letter to editors and commentaries</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Articles should have been published in a peer-reviewed journal or be an organizational report</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No language restriction</w:t>
            </w:r>
          </w:p>
        </w:tc>
        <w:tc>
          <w:tcPr>
            <w:tcW w:w="2127" w:type="dxa"/>
          </w:tcPr>
          <w:p w14:paraId="151DEAFD" w14:textId="1B91228E" w:rsidR="004767FF" w:rsidRPr="001B51BB" w:rsidRDefault="005949AC" w:rsidP="0098125C">
            <w:pPr>
              <w:widowControl w:val="0"/>
              <w:spacing w:line="276" w:lineRule="auto"/>
              <w:ind w:right="-102"/>
              <w:rPr>
                <w:rFonts w:eastAsia="Times New Roman"/>
                <w:color w:val="000000"/>
                <w:sz w:val="18"/>
                <w:szCs w:val="18"/>
              </w:rPr>
            </w:pPr>
            <w:r>
              <w:rPr>
                <w:rFonts w:eastAsia="Times New Roman"/>
                <w:color w:val="000000"/>
                <w:sz w:val="18"/>
                <w:szCs w:val="18"/>
              </w:rPr>
              <w:t xml:space="preserve">- </w:t>
            </w:r>
            <w:r w:rsidRPr="00A839C4">
              <w:rPr>
                <w:rFonts w:eastAsia="Times New Roman"/>
                <w:color w:val="000000"/>
                <w:sz w:val="18"/>
                <w:szCs w:val="18"/>
              </w:rPr>
              <w:t>Irrelevant to COVID-19</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Related to acute COVID-19</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Preprints</w:t>
            </w:r>
            <w:r w:rsidRPr="00A839C4">
              <w:rPr>
                <w:rFonts w:eastAsia="Times New Roman"/>
                <w:color w:val="000000"/>
                <w:sz w:val="18"/>
                <w:szCs w:val="18"/>
              </w:rPr>
              <w:br/>
            </w:r>
            <w:r>
              <w:rPr>
                <w:rFonts w:eastAsia="Times New Roman"/>
                <w:color w:val="000000"/>
                <w:sz w:val="18"/>
                <w:szCs w:val="18"/>
              </w:rPr>
              <w:t xml:space="preserve">- </w:t>
            </w:r>
            <w:r w:rsidRPr="00A839C4">
              <w:rPr>
                <w:rFonts w:eastAsia="Times New Roman"/>
                <w:color w:val="000000"/>
                <w:sz w:val="18"/>
                <w:szCs w:val="18"/>
              </w:rPr>
              <w:t>Unavailable full texts</w:t>
            </w:r>
          </w:p>
        </w:tc>
        <w:tc>
          <w:tcPr>
            <w:tcW w:w="992" w:type="dxa"/>
          </w:tcPr>
          <w:p w14:paraId="37CC9845" w14:textId="5F863925" w:rsidR="004767FF" w:rsidRPr="001B51BB" w:rsidRDefault="00DE7B12" w:rsidP="002669E3">
            <w:pPr>
              <w:widowControl w:val="0"/>
              <w:spacing w:line="276" w:lineRule="auto"/>
              <w:ind w:left="-24" w:right="-73"/>
              <w:rPr>
                <w:rFonts w:eastAsia="Times New Roman"/>
                <w:color w:val="000000"/>
                <w:sz w:val="18"/>
                <w:szCs w:val="18"/>
              </w:rPr>
            </w:pPr>
            <w:r w:rsidRPr="00A839C4">
              <w:rPr>
                <w:rFonts w:eastAsia="Times New Roman"/>
                <w:color w:val="000000"/>
                <w:sz w:val="18"/>
                <w:szCs w:val="18"/>
              </w:rPr>
              <w:t>120</w:t>
            </w:r>
          </w:p>
        </w:tc>
        <w:tc>
          <w:tcPr>
            <w:tcW w:w="2542" w:type="dxa"/>
          </w:tcPr>
          <w:p w14:paraId="3EFA56EC" w14:textId="49944ED9" w:rsidR="004767FF" w:rsidRDefault="00DE7B12" w:rsidP="0098125C">
            <w:pPr>
              <w:widowControl w:val="0"/>
              <w:spacing w:line="276" w:lineRule="auto"/>
              <w:ind w:right="-107"/>
              <w:rPr>
                <w:rFonts w:eastAsia="Times New Roman"/>
                <w:color w:val="000000"/>
                <w:sz w:val="18"/>
                <w:szCs w:val="18"/>
              </w:rPr>
            </w:pPr>
            <w:r>
              <w:rPr>
                <w:rFonts w:eastAsia="Times New Roman"/>
                <w:color w:val="000000"/>
                <w:sz w:val="18"/>
                <w:szCs w:val="18"/>
              </w:rPr>
              <w:t>None</w:t>
            </w:r>
          </w:p>
        </w:tc>
      </w:tr>
      <w:tr w:rsidR="00D801D6" w14:paraId="667FC231" w14:textId="77777777" w:rsidTr="00CE4F22">
        <w:tc>
          <w:tcPr>
            <w:tcW w:w="988" w:type="dxa"/>
          </w:tcPr>
          <w:p w14:paraId="4D86976F" w14:textId="39393DBD" w:rsidR="00D801D6" w:rsidRPr="00960768" w:rsidRDefault="00960768" w:rsidP="002A2B17">
            <w:pPr>
              <w:widowControl w:val="0"/>
              <w:spacing w:line="276" w:lineRule="auto"/>
              <w:ind w:left="-74" w:right="-92"/>
              <w:rPr>
                <w:rFonts w:eastAsia="Times New Roman"/>
                <w:b/>
                <w:color w:val="000000"/>
                <w:spacing w:val="-8"/>
                <w:sz w:val="18"/>
                <w:szCs w:val="18"/>
              </w:rPr>
            </w:pPr>
            <w:r w:rsidRPr="00960768">
              <w:rPr>
                <w:rFonts w:eastAsia="Times New Roman"/>
                <w:b/>
                <w:color w:val="000000"/>
                <w:sz w:val="18"/>
                <w:szCs w:val="18"/>
              </w:rPr>
              <w:t>Anaya 2021</w:t>
            </w:r>
          </w:p>
        </w:tc>
        <w:tc>
          <w:tcPr>
            <w:tcW w:w="1417" w:type="dxa"/>
          </w:tcPr>
          <w:p w14:paraId="3F6C57FD" w14:textId="657A4EFE" w:rsidR="00D801D6" w:rsidRPr="00960768" w:rsidRDefault="00960768" w:rsidP="0098125C">
            <w:pPr>
              <w:widowControl w:val="0"/>
              <w:spacing w:line="276" w:lineRule="auto"/>
              <w:ind w:right="-69"/>
              <w:rPr>
                <w:rFonts w:eastAsia="Times New Roman"/>
                <w:i/>
                <w:color w:val="000000"/>
                <w:sz w:val="18"/>
                <w:szCs w:val="18"/>
              </w:rPr>
            </w:pPr>
            <w:r w:rsidRPr="00960768">
              <w:rPr>
                <w:rFonts w:eastAsia="Times New Roman"/>
                <w:i/>
                <w:color w:val="000000"/>
                <w:sz w:val="18"/>
                <w:szCs w:val="18"/>
              </w:rPr>
              <w:t>Post-COVID syndrome. A case series and comprehensive review</w:t>
            </w:r>
          </w:p>
        </w:tc>
        <w:tc>
          <w:tcPr>
            <w:tcW w:w="851" w:type="dxa"/>
          </w:tcPr>
          <w:p w14:paraId="3A785682" w14:textId="4A9762BA" w:rsidR="00D801D6" w:rsidRPr="00A839C4" w:rsidRDefault="00960768" w:rsidP="0098125C">
            <w:pPr>
              <w:widowControl w:val="0"/>
              <w:spacing w:line="276" w:lineRule="auto"/>
              <w:ind w:left="-80" w:right="-179"/>
              <w:rPr>
                <w:rFonts w:eastAsia="Times New Roman"/>
                <w:color w:val="000000"/>
                <w:sz w:val="18"/>
                <w:szCs w:val="18"/>
              </w:rPr>
            </w:pPr>
            <w:r w:rsidRPr="00D827CC">
              <w:rPr>
                <w:rFonts w:eastAsia="Times New Roman"/>
                <w:color w:val="000000"/>
                <w:sz w:val="18"/>
                <w:szCs w:val="18"/>
              </w:rPr>
              <w:t>Colombia</w:t>
            </w:r>
          </w:p>
        </w:tc>
        <w:tc>
          <w:tcPr>
            <w:tcW w:w="1984" w:type="dxa"/>
          </w:tcPr>
          <w:p w14:paraId="1646E347" w14:textId="77777777" w:rsidR="00960768" w:rsidRDefault="00960768" w:rsidP="0098125C">
            <w:pPr>
              <w:widowControl w:val="0"/>
              <w:spacing w:line="276" w:lineRule="auto"/>
              <w:ind w:right="-111"/>
              <w:rPr>
                <w:rFonts w:eastAsia="Times New Roman"/>
                <w:color w:val="000000"/>
                <w:sz w:val="18"/>
                <w:szCs w:val="18"/>
              </w:rPr>
            </w:pPr>
            <w:r w:rsidRPr="00D827CC">
              <w:rPr>
                <w:rFonts w:eastAsia="Times New Roman"/>
                <w:color w:val="000000"/>
                <w:sz w:val="18"/>
                <w:szCs w:val="18"/>
              </w:rPr>
              <w:t xml:space="preserve">Terms used: </w:t>
            </w:r>
          </w:p>
          <w:p w14:paraId="359B8BA6" w14:textId="066160A4" w:rsidR="00D801D6" w:rsidRPr="00A839C4" w:rsidRDefault="00960768" w:rsidP="0098125C">
            <w:pPr>
              <w:widowControl w:val="0"/>
              <w:spacing w:line="276" w:lineRule="auto"/>
              <w:ind w:right="-111"/>
              <w:rPr>
                <w:rFonts w:eastAsia="Times New Roman"/>
                <w:color w:val="000000"/>
                <w:sz w:val="18"/>
                <w:szCs w:val="18"/>
              </w:rPr>
            </w:pPr>
            <w:r w:rsidRPr="0006551A">
              <w:rPr>
                <w:rFonts w:eastAsia="Times New Roman"/>
                <w:color w:val="000000"/>
                <w:sz w:val="18"/>
                <w:szCs w:val="18"/>
              </w:rPr>
              <w:t>(</w:t>
            </w:r>
            <w:r w:rsidR="0006551A" w:rsidRPr="0006551A">
              <w:rPr>
                <w:rFonts w:eastAsia="Times New Roman"/>
                <w:color w:val="000000"/>
                <w:sz w:val="18"/>
                <w:szCs w:val="18"/>
              </w:rPr>
              <w:t>“</w:t>
            </w:r>
            <w:r w:rsidRPr="0006551A">
              <w:rPr>
                <w:rFonts w:eastAsia="Times New Roman"/>
                <w:color w:val="000000"/>
                <w:sz w:val="18"/>
                <w:szCs w:val="18"/>
              </w:rPr>
              <w:t>Post-COVID</w:t>
            </w:r>
            <w:r w:rsidR="0006551A" w:rsidRPr="0006551A">
              <w:rPr>
                <w:rFonts w:eastAsia="Times New Roman"/>
                <w:color w:val="000000"/>
                <w:sz w:val="18"/>
                <w:szCs w:val="18"/>
              </w:rPr>
              <w:t>”</w:t>
            </w:r>
            <w:r w:rsidRPr="0006551A">
              <w:rPr>
                <w:rFonts w:eastAsia="Times New Roman"/>
                <w:color w:val="000000"/>
                <w:sz w:val="18"/>
                <w:szCs w:val="18"/>
              </w:rPr>
              <w:t xml:space="preserve"> OR </w:t>
            </w:r>
            <w:r w:rsidR="0006551A" w:rsidRPr="0006551A">
              <w:rPr>
                <w:rFonts w:eastAsia="Times New Roman"/>
                <w:color w:val="000000"/>
                <w:sz w:val="18"/>
                <w:szCs w:val="18"/>
              </w:rPr>
              <w:t>“</w:t>
            </w:r>
            <w:r w:rsidRPr="0006551A">
              <w:rPr>
                <w:rFonts w:eastAsia="Times New Roman"/>
                <w:color w:val="000000"/>
                <w:sz w:val="18"/>
                <w:szCs w:val="18"/>
              </w:rPr>
              <w:t>Long COVID</w:t>
            </w:r>
            <w:r w:rsidR="0006551A" w:rsidRPr="0006551A">
              <w:rPr>
                <w:rFonts w:eastAsia="Times New Roman"/>
                <w:color w:val="000000"/>
                <w:sz w:val="18"/>
                <w:szCs w:val="18"/>
              </w:rPr>
              <w:t>”</w:t>
            </w:r>
            <w:r w:rsidRPr="0006551A">
              <w:rPr>
                <w:rFonts w:eastAsia="Times New Roman"/>
                <w:color w:val="000000"/>
                <w:sz w:val="18"/>
                <w:szCs w:val="18"/>
              </w:rPr>
              <w:t>) AND (</w:t>
            </w:r>
            <w:r w:rsidR="0006551A" w:rsidRPr="0006551A">
              <w:rPr>
                <w:rFonts w:eastAsia="Times New Roman"/>
                <w:color w:val="000000"/>
                <w:sz w:val="18"/>
                <w:szCs w:val="18"/>
              </w:rPr>
              <w:t>“</w:t>
            </w:r>
            <w:r w:rsidRPr="0006551A">
              <w:rPr>
                <w:rFonts w:eastAsia="Times New Roman"/>
                <w:color w:val="000000"/>
                <w:sz w:val="18"/>
                <w:szCs w:val="18"/>
              </w:rPr>
              <w:t>COVID-19</w:t>
            </w:r>
            <w:r w:rsidR="0006551A" w:rsidRPr="0006551A">
              <w:rPr>
                <w:rFonts w:eastAsia="Times New Roman"/>
                <w:color w:val="000000"/>
                <w:sz w:val="18"/>
                <w:szCs w:val="18"/>
              </w:rPr>
              <w:t>”</w:t>
            </w:r>
            <w:r w:rsidRPr="0006551A">
              <w:rPr>
                <w:rFonts w:eastAsia="Times New Roman"/>
                <w:color w:val="000000"/>
                <w:sz w:val="18"/>
                <w:szCs w:val="18"/>
              </w:rPr>
              <w:t>). Articles in Spanish and English were included</w:t>
            </w:r>
            <w:r w:rsidR="0038254A" w:rsidRPr="0006551A">
              <w:rPr>
                <w:rFonts w:eastAsia="Times New Roman"/>
                <w:color w:val="000000"/>
                <w:sz w:val="18"/>
                <w:szCs w:val="18"/>
              </w:rPr>
              <w:t>.</w:t>
            </w:r>
          </w:p>
        </w:tc>
        <w:tc>
          <w:tcPr>
            <w:tcW w:w="1985" w:type="dxa"/>
          </w:tcPr>
          <w:p w14:paraId="2B4931A7" w14:textId="24BE7A4C" w:rsidR="00D801D6" w:rsidRPr="00A839C4" w:rsidRDefault="00CC7ADD" w:rsidP="0098125C">
            <w:pPr>
              <w:widowControl w:val="0"/>
              <w:spacing w:line="276" w:lineRule="auto"/>
              <w:ind w:right="-60"/>
              <w:rPr>
                <w:rFonts w:eastAsia="Times New Roman"/>
                <w:color w:val="000000"/>
                <w:sz w:val="18"/>
                <w:szCs w:val="18"/>
              </w:rPr>
            </w:pPr>
            <w:r w:rsidRPr="00D827CC">
              <w:rPr>
                <w:rFonts w:eastAsia="Times New Roman"/>
                <w:color w:val="000000"/>
                <w:sz w:val="18"/>
                <w:szCs w:val="18"/>
              </w:rPr>
              <w:t>1. To describe the clinical and serological characteristics (i.e. antibodies anti-SARS-CoV-2) of the first 100 consecutive patients attending a post-COVID Unit in Bogota, Colombia).</w:t>
            </w:r>
            <w:r w:rsidRPr="00D827CC">
              <w:rPr>
                <w:rFonts w:eastAsia="Times New Roman"/>
                <w:color w:val="000000"/>
                <w:sz w:val="18"/>
                <w:szCs w:val="18"/>
              </w:rPr>
              <w:br/>
              <w:t>2. Conduct systematic review and meta-analysis.</w:t>
            </w:r>
          </w:p>
        </w:tc>
        <w:tc>
          <w:tcPr>
            <w:tcW w:w="1842" w:type="dxa"/>
          </w:tcPr>
          <w:p w14:paraId="32029F0C" w14:textId="5CC61CAE" w:rsidR="00D801D6" w:rsidRPr="00A839C4" w:rsidRDefault="00CC7ADD" w:rsidP="0098125C">
            <w:pPr>
              <w:widowControl w:val="0"/>
              <w:spacing w:line="276" w:lineRule="auto"/>
              <w:ind w:right="-106"/>
              <w:rPr>
                <w:rFonts w:eastAsia="Times New Roman"/>
                <w:color w:val="000000"/>
                <w:sz w:val="18"/>
                <w:szCs w:val="18"/>
              </w:rPr>
            </w:pPr>
            <w:r w:rsidRPr="00D827CC">
              <w:rPr>
                <w:rFonts w:eastAsia="Times New Roman"/>
                <w:color w:val="000000"/>
                <w:sz w:val="18"/>
                <w:szCs w:val="18"/>
              </w:rPr>
              <w:t>Included publications not limited to single study design</w:t>
            </w:r>
            <w:r>
              <w:rPr>
                <w:rFonts w:eastAsia="Times New Roman"/>
                <w:color w:val="000000"/>
                <w:sz w:val="18"/>
                <w:szCs w:val="18"/>
              </w:rPr>
              <w:t xml:space="preserve"> </w:t>
            </w:r>
            <w:r w:rsidRPr="00D827CC">
              <w:rPr>
                <w:rFonts w:eastAsia="Times New Roman"/>
                <w:color w:val="000000"/>
                <w:sz w:val="18"/>
                <w:szCs w:val="18"/>
              </w:rPr>
              <w:t>-30/40 studies in the systematic review were cohort studies, 5 cross-sectional, 3 case series, and 2 case-control studies. No clinical trials included in the systematic review and meta-analysis.</w:t>
            </w:r>
          </w:p>
        </w:tc>
        <w:tc>
          <w:tcPr>
            <w:tcW w:w="1134" w:type="dxa"/>
            <w:shd w:val="clear" w:color="auto" w:fill="FFFFFF" w:themeFill="background1"/>
          </w:tcPr>
          <w:p w14:paraId="299C5EDC" w14:textId="7853FC31" w:rsidR="00D801D6" w:rsidRPr="002A2B17" w:rsidRDefault="0006551A" w:rsidP="0098125C">
            <w:pPr>
              <w:widowControl w:val="0"/>
              <w:spacing w:line="276" w:lineRule="auto"/>
              <w:ind w:right="-100"/>
              <w:rPr>
                <w:rFonts w:eastAsia="Times New Roman"/>
                <w:color w:val="000000"/>
                <w:sz w:val="18"/>
                <w:szCs w:val="18"/>
                <w:highlight w:val="yellow"/>
              </w:rPr>
            </w:pPr>
            <w:r w:rsidRPr="0006551A">
              <w:rPr>
                <w:rFonts w:eastAsia="Times New Roman"/>
                <w:color w:val="000000"/>
                <w:sz w:val="18"/>
                <w:szCs w:val="18"/>
              </w:rPr>
              <w:t>18</w:t>
            </w:r>
            <w:r w:rsidRPr="0006551A">
              <w:rPr>
                <w:rFonts w:eastAsia="Times New Roman"/>
                <w:color w:val="000000"/>
                <w:sz w:val="18"/>
                <w:szCs w:val="18"/>
                <w:vertAlign w:val="superscript"/>
              </w:rPr>
              <w:t>th</w:t>
            </w:r>
            <w:r w:rsidRPr="0006551A">
              <w:rPr>
                <w:rFonts w:eastAsia="Times New Roman"/>
                <w:color w:val="000000"/>
                <w:sz w:val="18"/>
                <w:szCs w:val="18"/>
              </w:rPr>
              <w:t xml:space="preserve"> March 2021</w:t>
            </w:r>
          </w:p>
        </w:tc>
        <w:tc>
          <w:tcPr>
            <w:tcW w:w="1134" w:type="dxa"/>
          </w:tcPr>
          <w:p w14:paraId="6EEFED0B" w14:textId="7C1F16A0" w:rsidR="00D801D6" w:rsidRPr="002A2B17" w:rsidRDefault="0006551A" w:rsidP="0098125C">
            <w:pPr>
              <w:widowControl w:val="0"/>
              <w:spacing w:line="276" w:lineRule="auto"/>
              <w:ind w:right="-121"/>
              <w:rPr>
                <w:rFonts w:eastAsia="Times New Roman"/>
                <w:color w:val="000000"/>
                <w:sz w:val="18"/>
                <w:szCs w:val="18"/>
                <w:highlight w:val="yellow"/>
              </w:rPr>
            </w:pPr>
            <w:r>
              <w:rPr>
                <w:rFonts w:eastAsia="Times New Roman"/>
                <w:color w:val="000000"/>
                <w:sz w:val="18"/>
                <w:szCs w:val="18"/>
              </w:rPr>
              <w:t>20th</w:t>
            </w:r>
            <w:r w:rsidR="00FB4ADF" w:rsidRPr="00D827CC">
              <w:rPr>
                <w:rFonts w:eastAsia="Times New Roman"/>
                <w:color w:val="000000"/>
                <w:sz w:val="18"/>
                <w:szCs w:val="18"/>
              </w:rPr>
              <w:t xml:space="preserve"> May 2021</w:t>
            </w:r>
          </w:p>
        </w:tc>
        <w:tc>
          <w:tcPr>
            <w:tcW w:w="1701" w:type="dxa"/>
          </w:tcPr>
          <w:p w14:paraId="0565B802" w14:textId="7A0100DF" w:rsidR="00D801D6" w:rsidRDefault="00FB4ADF" w:rsidP="0098125C">
            <w:pPr>
              <w:widowControl w:val="0"/>
              <w:spacing w:line="276" w:lineRule="auto"/>
              <w:ind w:right="-84"/>
              <w:rPr>
                <w:rFonts w:eastAsia="Times New Roman"/>
                <w:color w:val="000000"/>
                <w:sz w:val="18"/>
                <w:szCs w:val="18"/>
              </w:rPr>
            </w:pPr>
            <w:r w:rsidRPr="00D827CC">
              <w:rPr>
                <w:rFonts w:eastAsia="Times New Roman"/>
                <w:color w:val="000000"/>
                <w:sz w:val="18"/>
                <w:szCs w:val="18"/>
              </w:rPr>
              <w:t>Grants from Universidad del Rosario</w:t>
            </w:r>
            <w:r>
              <w:rPr>
                <w:rFonts w:eastAsia="Times New Roman"/>
                <w:color w:val="000000"/>
                <w:sz w:val="18"/>
                <w:szCs w:val="18"/>
              </w:rPr>
              <w:t>.</w:t>
            </w:r>
          </w:p>
        </w:tc>
        <w:tc>
          <w:tcPr>
            <w:tcW w:w="1843" w:type="dxa"/>
          </w:tcPr>
          <w:p w14:paraId="2A50E5B1" w14:textId="7EF0EFB1" w:rsidR="00D801D6" w:rsidRPr="00A839C4" w:rsidRDefault="00FB4ADF" w:rsidP="0098125C">
            <w:pPr>
              <w:widowControl w:val="0"/>
              <w:spacing w:line="276" w:lineRule="auto"/>
              <w:ind w:right="-115"/>
              <w:rPr>
                <w:rFonts w:eastAsia="Times New Roman"/>
                <w:color w:val="000000"/>
                <w:sz w:val="18"/>
                <w:szCs w:val="18"/>
              </w:rPr>
            </w:pPr>
            <w:r w:rsidRPr="00D827CC">
              <w:rPr>
                <w:rFonts w:eastAsia="Times New Roman"/>
                <w:color w:val="000000"/>
                <w:sz w:val="18"/>
                <w:szCs w:val="18"/>
              </w:rPr>
              <w:t>Population unclear. Likely both hospitalised and community cases</w:t>
            </w:r>
            <w:r>
              <w:rPr>
                <w:rFonts w:eastAsia="Times New Roman"/>
                <w:color w:val="000000"/>
                <w:sz w:val="18"/>
                <w:szCs w:val="18"/>
              </w:rPr>
              <w:t>.</w:t>
            </w:r>
          </w:p>
        </w:tc>
        <w:tc>
          <w:tcPr>
            <w:tcW w:w="2126" w:type="dxa"/>
          </w:tcPr>
          <w:p w14:paraId="1AD4D6C0" w14:textId="77777777" w:rsidR="00616033" w:rsidRDefault="00616033" w:rsidP="0098125C">
            <w:pPr>
              <w:widowControl w:val="0"/>
              <w:spacing w:line="276" w:lineRule="auto"/>
              <w:ind w:right="-108"/>
              <w:rPr>
                <w:rFonts w:eastAsia="Times New Roman"/>
                <w:color w:val="000000"/>
                <w:sz w:val="18"/>
                <w:szCs w:val="18"/>
              </w:rPr>
            </w:pPr>
            <w:r>
              <w:rPr>
                <w:rFonts w:eastAsia="Times New Roman"/>
                <w:color w:val="000000"/>
                <w:sz w:val="18"/>
                <w:szCs w:val="18"/>
              </w:rPr>
              <w:t>- S</w:t>
            </w:r>
            <w:r w:rsidRPr="00D827CC">
              <w:rPr>
                <w:rFonts w:eastAsia="Times New Roman"/>
                <w:color w:val="000000"/>
                <w:sz w:val="18"/>
                <w:szCs w:val="18"/>
              </w:rPr>
              <w:t>tudies describing clinical manifestations after acute COVID-19</w:t>
            </w:r>
          </w:p>
          <w:p w14:paraId="7D0B7B96" w14:textId="77777777" w:rsidR="00616033" w:rsidRDefault="00616033" w:rsidP="0098125C">
            <w:pPr>
              <w:widowControl w:val="0"/>
              <w:spacing w:line="276" w:lineRule="auto"/>
              <w:ind w:right="-108"/>
              <w:rPr>
                <w:rFonts w:eastAsia="Times New Roman"/>
                <w:color w:val="000000"/>
                <w:sz w:val="18"/>
                <w:szCs w:val="18"/>
              </w:rPr>
            </w:pPr>
            <w:r>
              <w:rPr>
                <w:rFonts w:eastAsia="Times New Roman"/>
                <w:color w:val="000000"/>
                <w:sz w:val="18"/>
                <w:szCs w:val="18"/>
              </w:rPr>
              <w:t>- S</w:t>
            </w:r>
            <w:r w:rsidRPr="00D827CC">
              <w:rPr>
                <w:rFonts w:eastAsia="Times New Roman"/>
                <w:color w:val="000000"/>
                <w:sz w:val="18"/>
                <w:szCs w:val="18"/>
              </w:rPr>
              <w:t>tudies evaluating patients in clinical settings</w:t>
            </w:r>
          </w:p>
          <w:p w14:paraId="7C887D48" w14:textId="15D5FB8B" w:rsidR="00D801D6" w:rsidRDefault="00616033" w:rsidP="0098125C">
            <w:pPr>
              <w:widowControl w:val="0"/>
              <w:spacing w:line="276" w:lineRule="auto"/>
              <w:ind w:right="-108"/>
              <w:rPr>
                <w:rFonts w:eastAsia="Times New Roman"/>
                <w:color w:val="000000"/>
                <w:sz w:val="18"/>
                <w:szCs w:val="18"/>
              </w:rPr>
            </w:pPr>
            <w:r>
              <w:rPr>
                <w:rFonts w:eastAsia="Times New Roman"/>
                <w:color w:val="000000"/>
                <w:sz w:val="18"/>
                <w:szCs w:val="18"/>
              </w:rPr>
              <w:t>- C</w:t>
            </w:r>
            <w:r w:rsidRPr="00D827CC">
              <w:rPr>
                <w:rFonts w:eastAsia="Times New Roman"/>
                <w:color w:val="000000"/>
                <w:sz w:val="18"/>
                <w:szCs w:val="18"/>
              </w:rPr>
              <w:t>ase series, cross-sectional, case-control, cohort, clinical trial studies</w:t>
            </w:r>
          </w:p>
        </w:tc>
        <w:tc>
          <w:tcPr>
            <w:tcW w:w="2127" w:type="dxa"/>
          </w:tcPr>
          <w:p w14:paraId="1B3B2606" w14:textId="51C31187" w:rsidR="00D801D6" w:rsidRDefault="00B159D5" w:rsidP="0098125C">
            <w:pPr>
              <w:widowControl w:val="0"/>
              <w:spacing w:line="276" w:lineRule="auto"/>
              <w:ind w:right="-102"/>
              <w:rPr>
                <w:rFonts w:eastAsia="Times New Roman"/>
                <w:color w:val="000000"/>
                <w:sz w:val="18"/>
                <w:szCs w:val="18"/>
              </w:rPr>
            </w:pPr>
            <w:r w:rsidRPr="00D827CC">
              <w:rPr>
                <w:rFonts w:eastAsia="Times New Roman"/>
                <w:color w:val="000000"/>
                <w:sz w:val="18"/>
                <w:szCs w:val="18"/>
              </w:rPr>
              <w:t>Studies including data from national registries or unaudited databases</w:t>
            </w:r>
            <w:r>
              <w:rPr>
                <w:rFonts w:eastAsia="Times New Roman"/>
                <w:color w:val="000000"/>
                <w:sz w:val="18"/>
                <w:szCs w:val="18"/>
              </w:rPr>
              <w:t>.</w:t>
            </w:r>
          </w:p>
        </w:tc>
        <w:tc>
          <w:tcPr>
            <w:tcW w:w="992" w:type="dxa"/>
          </w:tcPr>
          <w:p w14:paraId="472E7930" w14:textId="200C25E5" w:rsidR="00D801D6" w:rsidRPr="00A839C4" w:rsidRDefault="00B159D5" w:rsidP="002669E3">
            <w:pPr>
              <w:widowControl w:val="0"/>
              <w:spacing w:line="276" w:lineRule="auto"/>
              <w:ind w:left="-24" w:right="-73"/>
              <w:rPr>
                <w:rFonts w:eastAsia="Times New Roman"/>
                <w:color w:val="000000"/>
                <w:sz w:val="18"/>
                <w:szCs w:val="18"/>
              </w:rPr>
            </w:pPr>
            <w:r w:rsidRPr="00D827CC">
              <w:rPr>
                <w:rFonts w:eastAsia="Times New Roman"/>
                <w:color w:val="000000"/>
                <w:sz w:val="18"/>
                <w:szCs w:val="18"/>
              </w:rPr>
              <w:t>40</w:t>
            </w:r>
          </w:p>
        </w:tc>
        <w:tc>
          <w:tcPr>
            <w:tcW w:w="2542" w:type="dxa"/>
          </w:tcPr>
          <w:p w14:paraId="6FF6B961" w14:textId="77777777" w:rsidR="00D801D6" w:rsidRDefault="00B159D5" w:rsidP="0098125C">
            <w:pPr>
              <w:widowControl w:val="0"/>
              <w:spacing w:line="276" w:lineRule="auto"/>
              <w:ind w:right="-107"/>
              <w:rPr>
                <w:rFonts w:eastAsia="Times New Roman"/>
                <w:color w:val="000000"/>
                <w:sz w:val="18"/>
                <w:szCs w:val="18"/>
              </w:rPr>
            </w:pPr>
            <w:r w:rsidRPr="00D827CC">
              <w:rPr>
                <w:rFonts w:eastAsia="Times New Roman"/>
                <w:color w:val="000000"/>
                <w:sz w:val="18"/>
                <w:szCs w:val="18"/>
              </w:rPr>
              <w:t>There is a summary of characteristics from 100 (sequential) clinic patients AND a systematic review. Data extracted from the reviewed papers only.</w:t>
            </w:r>
          </w:p>
          <w:p w14:paraId="5CEC0B70" w14:textId="6964A261" w:rsidR="00DF373E" w:rsidRDefault="00DF373E" w:rsidP="0098125C">
            <w:pPr>
              <w:widowControl w:val="0"/>
              <w:spacing w:line="276" w:lineRule="auto"/>
              <w:ind w:right="-107"/>
              <w:rPr>
                <w:rFonts w:eastAsia="Times New Roman"/>
                <w:color w:val="000000"/>
                <w:sz w:val="18"/>
                <w:szCs w:val="18"/>
              </w:rPr>
            </w:pPr>
            <w:r>
              <w:rPr>
                <w:rFonts w:eastAsia="Times New Roman"/>
                <w:color w:val="000000"/>
                <w:sz w:val="18"/>
                <w:szCs w:val="18"/>
              </w:rPr>
              <w:t>O</w:t>
            </w:r>
            <w:r w:rsidRPr="00D827CC">
              <w:rPr>
                <w:rFonts w:eastAsia="Times New Roman"/>
                <w:color w:val="000000"/>
                <w:sz w:val="18"/>
                <w:szCs w:val="18"/>
              </w:rPr>
              <w:t>nly 7 of the 40 papers reported follow up timing (mean ~3months)</w:t>
            </w:r>
            <w:r>
              <w:rPr>
                <w:rFonts w:eastAsia="Times New Roman"/>
                <w:color w:val="000000"/>
                <w:sz w:val="18"/>
                <w:szCs w:val="18"/>
              </w:rPr>
              <w:t>.</w:t>
            </w:r>
          </w:p>
        </w:tc>
      </w:tr>
    </w:tbl>
    <w:p w14:paraId="24DFF0D0" w14:textId="53B73038" w:rsidR="004509B3" w:rsidRDefault="004509B3" w:rsidP="004F1F2C">
      <w:pPr>
        <w:widowControl w:val="0"/>
        <w:pBdr>
          <w:top w:val="nil"/>
          <w:left w:val="nil"/>
          <w:right w:val="nil"/>
          <w:between w:val="nil"/>
        </w:pBdr>
        <w:spacing w:line="276" w:lineRule="auto"/>
        <w:ind w:right="-1440"/>
        <w:rPr>
          <w:rFonts w:ascii="Arial" w:eastAsia="Arial" w:hAnsi="Arial" w:cs="Arial"/>
          <w:sz w:val="10"/>
          <w:szCs w:val="10"/>
        </w:rPr>
      </w:pPr>
    </w:p>
    <w:p w14:paraId="35C1C9D5" w14:textId="6668C306" w:rsidR="004509B3" w:rsidRDefault="004509B3" w:rsidP="004F1F2C">
      <w:pPr>
        <w:widowControl w:val="0"/>
        <w:pBdr>
          <w:top w:val="nil"/>
          <w:left w:val="nil"/>
          <w:right w:val="nil"/>
          <w:between w:val="nil"/>
        </w:pBdr>
        <w:spacing w:line="276" w:lineRule="auto"/>
        <w:ind w:right="-1440"/>
        <w:rPr>
          <w:rFonts w:ascii="Arial" w:eastAsia="Arial" w:hAnsi="Arial" w:cs="Arial"/>
          <w:sz w:val="10"/>
          <w:szCs w:val="10"/>
        </w:rPr>
      </w:pPr>
    </w:p>
    <w:p w14:paraId="5C0EA46E" w14:textId="38C6F557" w:rsidR="004509B3" w:rsidRDefault="004509B3" w:rsidP="004F1F2C">
      <w:pPr>
        <w:widowControl w:val="0"/>
        <w:pBdr>
          <w:top w:val="nil"/>
          <w:left w:val="nil"/>
          <w:right w:val="nil"/>
          <w:between w:val="nil"/>
        </w:pBdr>
        <w:spacing w:line="276" w:lineRule="auto"/>
        <w:ind w:right="-1440"/>
        <w:rPr>
          <w:rFonts w:ascii="Arial" w:eastAsia="Arial" w:hAnsi="Arial" w:cs="Arial"/>
          <w:sz w:val="10"/>
          <w:szCs w:val="10"/>
        </w:rPr>
      </w:pPr>
    </w:p>
    <w:p w14:paraId="43BEDB3A" w14:textId="0BED2AFF" w:rsidR="004509B3" w:rsidRDefault="004509B3" w:rsidP="004F1F2C">
      <w:pPr>
        <w:widowControl w:val="0"/>
        <w:pBdr>
          <w:top w:val="nil"/>
          <w:left w:val="nil"/>
          <w:right w:val="nil"/>
          <w:between w:val="nil"/>
        </w:pBdr>
        <w:spacing w:line="276" w:lineRule="auto"/>
        <w:ind w:right="-1440"/>
        <w:rPr>
          <w:rFonts w:ascii="Arial" w:eastAsia="Arial" w:hAnsi="Arial" w:cs="Arial"/>
          <w:sz w:val="10"/>
          <w:szCs w:val="10"/>
        </w:rPr>
      </w:pPr>
    </w:p>
    <w:p w14:paraId="249733D5" w14:textId="57AC38E3" w:rsidR="004509B3" w:rsidRDefault="004509B3" w:rsidP="004F1F2C">
      <w:pPr>
        <w:widowControl w:val="0"/>
        <w:pBdr>
          <w:top w:val="nil"/>
          <w:left w:val="nil"/>
          <w:right w:val="nil"/>
          <w:between w:val="nil"/>
        </w:pBdr>
        <w:spacing w:line="276" w:lineRule="auto"/>
        <w:ind w:right="-1440"/>
        <w:rPr>
          <w:rFonts w:ascii="Arial" w:eastAsia="Arial" w:hAnsi="Arial" w:cs="Arial"/>
          <w:sz w:val="10"/>
          <w:szCs w:val="10"/>
        </w:rPr>
      </w:pPr>
    </w:p>
    <w:p w14:paraId="4755A461" w14:textId="77777777" w:rsidR="004509B3" w:rsidRDefault="004509B3" w:rsidP="004F1F2C">
      <w:pPr>
        <w:widowControl w:val="0"/>
        <w:pBdr>
          <w:top w:val="nil"/>
          <w:left w:val="nil"/>
          <w:right w:val="nil"/>
          <w:between w:val="nil"/>
        </w:pBdr>
        <w:spacing w:line="276" w:lineRule="auto"/>
        <w:ind w:right="-1440"/>
        <w:rPr>
          <w:rFonts w:ascii="Arial" w:eastAsia="Arial" w:hAnsi="Arial" w:cs="Arial"/>
          <w:sz w:val="10"/>
          <w:szCs w:val="10"/>
        </w:rPr>
        <w:sectPr w:rsidR="004509B3" w:rsidSect="00105068">
          <w:headerReference w:type="even" r:id="rId11"/>
          <w:headerReference w:type="default" r:id="rId12"/>
          <w:footerReference w:type="even" r:id="rId13"/>
          <w:footerReference w:type="default" r:id="rId14"/>
          <w:headerReference w:type="first" r:id="rId15"/>
          <w:footerReference w:type="first" r:id="rId16"/>
          <w:pgSz w:w="23803" w:h="16817" w:orient="landscape"/>
          <w:pgMar w:top="720" w:right="408" w:bottom="720" w:left="720" w:header="709" w:footer="709" w:gutter="0"/>
          <w:pgNumType w:start="1"/>
          <w:cols w:space="720"/>
          <w:docGrid w:linePitch="326"/>
        </w:sectPr>
      </w:pPr>
    </w:p>
    <w:p w14:paraId="050F3363" w14:textId="15C9329B" w:rsidR="000F08F9" w:rsidRDefault="000F08F9" w:rsidP="004F1F2C">
      <w:pPr>
        <w:widowControl w:val="0"/>
        <w:pBdr>
          <w:top w:val="nil"/>
          <w:left w:val="nil"/>
          <w:right w:val="nil"/>
          <w:between w:val="nil"/>
        </w:pBdr>
        <w:spacing w:line="276" w:lineRule="auto"/>
        <w:ind w:right="-1440"/>
        <w:rPr>
          <w:rFonts w:ascii="Arial" w:eastAsia="Arial" w:hAnsi="Arial" w:cs="Arial"/>
          <w:sz w:val="10"/>
          <w:szCs w:val="10"/>
        </w:rPr>
      </w:pPr>
    </w:p>
    <w:tbl>
      <w:tblPr>
        <w:tblStyle w:val="TableGrid"/>
        <w:tblW w:w="0" w:type="auto"/>
        <w:tblLayout w:type="fixed"/>
        <w:tblLook w:val="04A0" w:firstRow="1" w:lastRow="0" w:firstColumn="1" w:lastColumn="0" w:noHBand="0" w:noVBand="1"/>
      </w:tblPr>
      <w:tblGrid>
        <w:gridCol w:w="1042"/>
        <w:gridCol w:w="1505"/>
        <w:gridCol w:w="7740"/>
        <w:gridCol w:w="7741"/>
        <w:gridCol w:w="4637"/>
      </w:tblGrid>
      <w:tr w:rsidR="006A4C7D" w:rsidRPr="006A4C7D" w14:paraId="6CF3B9F8" w14:textId="77777777" w:rsidTr="001F7D01">
        <w:tc>
          <w:tcPr>
            <w:tcW w:w="1042" w:type="dxa"/>
          </w:tcPr>
          <w:p w14:paraId="04A999F9" w14:textId="77777777"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t>Salamanna</w:t>
            </w:r>
            <w:proofErr w:type="spellEnd"/>
          </w:p>
          <w:p w14:paraId="79849D80" w14:textId="77777777" w:rsidR="006A4C7D" w:rsidRPr="006A4C7D" w:rsidRDefault="006A4C7D" w:rsidP="006A4C7D">
            <w:pPr>
              <w:widowControl w:val="0"/>
              <w:spacing w:line="276" w:lineRule="auto"/>
              <w:ind w:right="-1479"/>
              <w:rPr>
                <w:rFonts w:asciiTheme="minorHAnsi" w:eastAsia="Arial" w:hAnsiTheme="minorHAnsi" w:cstheme="minorHAnsi"/>
                <w:sz w:val="18"/>
                <w:szCs w:val="18"/>
              </w:rPr>
            </w:pPr>
            <w:r w:rsidRPr="006A4C7D">
              <w:rPr>
                <w:rFonts w:eastAsia="Times New Roman"/>
                <w:b/>
                <w:color w:val="000000"/>
                <w:sz w:val="18"/>
                <w:szCs w:val="18"/>
              </w:rPr>
              <w:t>2021</w:t>
            </w:r>
          </w:p>
        </w:tc>
        <w:tc>
          <w:tcPr>
            <w:tcW w:w="1505" w:type="dxa"/>
          </w:tcPr>
          <w:p w14:paraId="6F9B329B" w14:textId="77777777" w:rsidR="006A4C7D" w:rsidRPr="006A4C7D" w:rsidRDefault="006A4C7D" w:rsidP="006A4C7D">
            <w:pPr>
              <w:widowControl w:val="0"/>
              <w:spacing w:line="276" w:lineRule="auto"/>
              <w:ind w:right="-53"/>
              <w:rPr>
                <w:rFonts w:asciiTheme="minorHAnsi" w:eastAsia="Arial" w:hAnsiTheme="minorHAnsi" w:cstheme="minorHAnsi"/>
                <w:sz w:val="18"/>
                <w:szCs w:val="18"/>
              </w:rPr>
            </w:pPr>
            <w:r w:rsidRPr="006A4C7D">
              <w:rPr>
                <w:rFonts w:eastAsia="Times New Roman"/>
                <w:i/>
                <w:color w:val="000000"/>
                <w:sz w:val="18"/>
                <w:szCs w:val="18"/>
              </w:rPr>
              <w:t>Post-COVID-19 Syndrome: The Persistent Symptoms at the Post-viral Stage of the Disease. A Systematic Review of the Current Data</w:t>
            </w:r>
          </w:p>
        </w:tc>
        <w:tc>
          <w:tcPr>
            <w:tcW w:w="7740" w:type="dxa"/>
          </w:tcPr>
          <w:p w14:paraId="2FF14EEF" w14:textId="77777777" w:rsidR="006A4C7D" w:rsidRPr="006A4C7D" w:rsidRDefault="006A4C7D" w:rsidP="006A4C7D">
            <w:pPr>
              <w:widowControl w:val="0"/>
              <w:spacing w:line="276" w:lineRule="auto"/>
              <w:rPr>
                <w:rFonts w:eastAsia="Times New Roman"/>
                <w:color w:val="000000"/>
                <w:sz w:val="18"/>
                <w:szCs w:val="18"/>
              </w:rPr>
            </w:pPr>
            <w:r w:rsidRPr="006A4C7D">
              <w:rPr>
                <w:rFonts w:eastAsia="Times New Roman"/>
                <w:color w:val="000000"/>
                <w:sz w:val="18"/>
                <w:szCs w:val="18"/>
              </w:rPr>
              <w:t>Persistent lung symptoms and dysfunctions by study design:</w:t>
            </w:r>
            <w:r w:rsidRPr="006A4C7D">
              <w:rPr>
                <w:rFonts w:eastAsia="Times New Roman"/>
                <w:color w:val="000000"/>
                <w:sz w:val="18"/>
                <w:szCs w:val="18"/>
              </w:rPr>
              <w:br/>
              <w:t>(a) Prospective cohort studies</w:t>
            </w:r>
            <w:r w:rsidRPr="006A4C7D">
              <w:rPr>
                <w:rFonts w:eastAsia="Times New Roman"/>
                <w:color w:val="000000"/>
                <w:sz w:val="18"/>
                <w:szCs w:val="18"/>
              </w:rPr>
              <w:br/>
              <w:t xml:space="preserve">- Reduced 6MWT, fatigue and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35.1% require home oxygen after hospital discharge</w:t>
            </w:r>
            <w:r w:rsidRPr="006A4C7D">
              <w:rPr>
                <w:rFonts w:eastAsia="Times New Roman"/>
                <w:color w:val="000000"/>
                <w:sz w:val="18"/>
                <w:szCs w:val="18"/>
              </w:rPr>
              <w:br/>
              <w:t>(b) Retrospective cohort studies</w:t>
            </w:r>
            <w:r w:rsidRPr="006A4C7D">
              <w:rPr>
                <w:rFonts w:eastAsia="Times New Roman"/>
                <w:color w:val="000000"/>
                <w:sz w:val="18"/>
                <w:szCs w:val="18"/>
              </w:rPr>
              <w:br/>
              <w:t xml:space="preserv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cough, fatigue, residual pulmonary disease, functional and QOL impairment, 65% with 6MWT below 80%; 52% free from exertional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according to </w:t>
            </w:r>
            <w:proofErr w:type="spellStart"/>
            <w:r w:rsidRPr="006A4C7D">
              <w:rPr>
                <w:rFonts w:eastAsia="Times New Roman"/>
                <w:color w:val="000000"/>
                <w:sz w:val="18"/>
                <w:szCs w:val="18"/>
              </w:rPr>
              <w:t>mMRC</w:t>
            </w:r>
            <w:proofErr w:type="spellEnd"/>
            <w:r w:rsidRPr="006A4C7D">
              <w:rPr>
                <w:rFonts w:eastAsia="Times New Roman"/>
                <w:color w:val="000000"/>
                <w:sz w:val="18"/>
                <w:szCs w:val="18"/>
              </w:rPr>
              <w:t xml:space="preserve"> scale</w:t>
            </w:r>
            <w:r w:rsidRPr="006A4C7D">
              <w:rPr>
                <w:rFonts w:eastAsia="Times New Roman"/>
                <w:color w:val="000000"/>
                <w:sz w:val="18"/>
                <w:szCs w:val="18"/>
              </w:rPr>
              <w:br/>
              <w:t>(c) Case report</w:t>
            </w:r>
            <w:r w:rsidRPr="006A4C7D">
              <w:rPr>
                <w:rFonts w:eastAsia="Times New Roman"/>
                <w:color w:val="000000"/>
                <w:sz w:val="18"/>
                <w:szCs w:val="18"/>
              </w:rPr>
              <w:br/>
              <w:t xml:space="preserve">- Abnormal airway function, cough, chest pain, chest tightness, shortness of breath, unstructured sleep </w:t>
            </w:r>
            <w:proofErr w:type="spellStart"/>
            <w:r w:rsidRPr="006A4C7D">
              <w:rPr>
                <w:rFonts w:eastAsia="Times New Roman"/>
                <w:color w:val="000000"/>
                <w:sz w:val="18"/>
                <w:szCs w:val="18"/>
              </w:rPr>
              <w:t>apnea</w:t>
            </w:r>
            <w:proofErr w:type="spellEnd"/>
            <w:r w:rsidRPr="006A4C7D">
              <w:rPr>
                <w:rFonts w:eastAsia="Times New Roman"/>
                <w:color w:val="000000"/>
                <w:sz w:val="18"/>
                <w:szCs w:val="18"/>
              </w:rPr>
              <w:t xml:space="preserve"> hypopnea syndrome, nocturnal sleep hypoxemia</w:t>
            </w:r>
          </w:p>
          <w:p w14:paraId="576DEC95" w14:textId="77777777" w:rsidR="006A4C7D" w:rsidRPr="006A4C7D" w:rsidRDefault="006A4C7D" w:rsidP="006A4C7D">
            <w:pPr>
              <w:widowControl w:val="0"/>
              <w:spacing w:before="60" w:line="276" w:lineRule="auto"/>
              <w:rPr>
                <w:rFonts w:eastAsia="Times New Roman"/>
                <w:color w:val="000000"/>
                <w:sz w:val="18"/>
                <w:szCs w:val="18"/>
              </w:rPr>
            </w:pPr>
            <w:r w:rsidRPr="006A4C7D">
              <w:rPr>
                <w:rFonts w:eastAsia="Times New Roman"/>
                <w:color w:val="000000"/>
                <w:sz w:val="18"/>
                <w:szCs w:val="18"/>
              </w:rPr>
              <w:t>Persistent neurological symptoms and olfactory dysfunctions by study design:</w:t>
            </w:r>
            <w:r w:rsidRPr="006A4C7D">
              <w:rPr>
                <w:rFonts w:eastAsia="Times New Roman"/>
                <w:color w:val="000000"/>
                <w:sz w:val="18"/>
                <w:szCs w:val="18"/>
              </w:rPr>
              <w:br/>
              <w:t>(a) Prospective cohort studies</w:t>
            </w:r>
            <w:r w:rsidRPr="006A4C7D">
              <w:rPr>
                <w:rFonts w:eastAsia="Times New Roman"/>
                <w:color w:val="000000"/>
                <w:sz w:val="18"/>
                <w:szCs w:val="18"/>
              </w:rPr>
              <w:br/>
              <w:t>- Altered sense of smell or taste/olfactory dysfunction, persistent headache, neurocognitive decline, psychiatric morbidity, poor QoL</w:t>
            </w:r>
            <w:r w:rsidRPr="006A4C7D">
              <w:rPr>
                <w:rFonts w:eastAsia="Times New Roman"/>
                <w:color w:val="000000"/>
                <w:sz w:val="18"/>
                <w:szCs w:val="18"/>
              </w:rPr>
              <w:br/>
              <w:t>(b) Retrospective cohort studies</w:t>
            </w:r>
            <w:r w:rsidRPr="006A4C7D">
              <w:rPr>
                <w:rFonts w:eastAsia="Times New Roman"/>
                <w:color w:val="000000"/>
                <w:sz w:val="18"/>
                <w:szCs w:val="18"/>
              </w:rPr>
              <w:br/>
              <w:t>- olfactory dysfunction; gustatory dysfunction, hearing loss, tinnitus, dizziness, spinning vertigo, dynamic imbalance, static imbalance, fatigue, memory/attention/cognitive deficits, sleep disorders, neurological abnormalities, hyposmia, postural tremor</w:t>
            </w:r>
            <w:r w:rsidRPr="006A4C7D">
              <w:rPr>
                <w:rFonts w:eastAsia="Times New Roman"/>
                <w:color w:val="000000"/>
                <w:sz w:val="18"/>
                <w:szCs w:val="18"/>
              </w:rPr>
              <w:br/>
              <w:t>(c) Case-control</w:t>
            </w:r>
            <w:r w:rsidRPr="006A4C7D">
              <w:rPr>
                <w:rFonts w:eastAsia="Times New Roman"/>
                <w:color w:val="000000"/>
                <w:sz w:val="18"/>
                <w:szCs w:val="18"/>
              </w:rPr>
              <w:br/>
              <w:t>- Resolution of anosmia or hyposmia in 85%</w:t>
            </w:r>
            <w:r w:rsidRPr="006A4C7D">
              <w:rPr>
                <w:rFonts w:eastAsia="Times New Roman"/>
                <w:color w:val="000000"/>
                <w:sz w:val="18"/>
                <w:szCs w:val="18"/>
              </w:rPr>
              <w:br/>
              <w:t>(d) Cross-sectional</w:t>
            </w:r>
            <w:r w:rsidRPr="006A4C7D">
              <w:rPr>
                <w:rFonts w:eastAsia="Times New Roman"/>
                <w:color w:val="000000"/>
                <w:sz w:val="18"/>
                <w:szCs w:val="18"/>
              </w:rPr>
              <w:br/>
              <w:t xml:space="preserve">- Myalgia, arthralgia, ADL restriction, sleeping troubles, nervousness and hopelessness, anorexia, chest pain, gastritis, cough,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chemosensory dysfunction</w:t>
            </w:r>
            <w:r w:rsidRPr="006A4C7D">
              <w:rPr>
                <w:rFonts w:eastAsia="Times New Roman"/>
                <w:color w:val="000000"/>
                <w:sz w:val="18"/>
                <w:szCs w:val="18"/>
              </w:rPr>
              <w:br/>
              <w:t>(e) Case series</w:t>
            </w:r>
            <w:r w:rsidRPr="006A4C7D">
              <w:rPr>
                <w:rFonts w:eastAsia="Times New Roman"/>
                <w:color w:val="000000"/>
                <w:sz w:val="18"/>
                <w:szCs w:val="18"/>
              </w:rPr>
              <w:br/>
              <w:t>- Orthostatic intolerance syndromes: orthostatic hypotension; vasovagal syncope; postural orthostatic tachycardia syndrome, general cognitive decay, specific decline in attention, memory, language, praxis abilities</w:t>
            </w:r>
            <w:r w:rsidRPr="006A4C7D">
              <w:rPr>
                <w:rFonts w:eastAsia="Times New Roman"/>
                <w:color w:val="000000"/>
                <w:sz w:val="18"/>
                <w:szCs w:val="18"/>
              </w:rPr>
              <w:br/>
              <w:t>(f) Case report</w:t>
            </w:r>
            <w:r w:rsidRPr="006A4C7D">
              <w:rPr>
                <w:rFonts w:eastAsia="Times New Roman"/>
                <w:color w:val="000000"/>
                <w:sz w:val="18"/>
                <w:szCs w:val="18"/>
              </w:rPr>
              <w:br/>
              <w:t xml:space="preserve">- Deficits in working memory and digit span backwards with high average attentional skills, word finding difficulties, inefficient learning, decreased organisation, persistent psychotic symptoms, probable orthostatic hypoperfusion syndrome, painful small </w:t>
            </w:r>
            <w:proofErr w:type="spellStart"/>
            <w:r w:rsidRPr="006A4C7D">
              <w:rPr>
                <w:rFonts w:eastAsia="Times New Roman"/>
                <w:color w:val="000000"/>
                <w:sz w:val="18"/>
                <w:szCs w:val="18"/>
              </w:rPr>
              <w:t>fiber</w:t>
            </w:r>
            <w:proofErr w:type="spellEnd"/>
            <w:r w:rsidRPr="006A4C7D">
              <w:rPr>
                <w:rFonts w:eastAsia="Times New Roman"/>
                <w:color w:val="000000"/>
                <w:sz w:val="18"/>
                <w:szCs w:val="18"/>
              </w:rPr>
              <w:t xml:space="preserve"> neuropathy, intermittent neuropathic pain and paraesthesia in distal limbs, persistent anosmia, headaches, delirium and hallucinations</w:t>
            </w:r>
          </w:p>
          <w:p w14:paraId="2F19EE17" w14:textId="77777777" w:rsidR="006A4C7D" w:rsidRPr="006A4C7D" w:rsidRDefault="006A4C7D" w:rsidP="006A4C7D">
            <w:pPr>
              <w:widowControl w:val="0"/>
              <w:spacing w:before="60" w:line="276" w:lineRule="auto"/>
              <w:rPr>
                <w:rFonts w:eastAsia="Times New Roman"/>
                <w:color w:val="000000"/>
                <w:sz w:val="18"/>
                <w:szCs w:val="18"/>
              </w:rPr>
            </w:pPr>
            <w:r w:rsidRPr="006A4C7D">
              <w:rPr>
                <w:rFonts w:eastAsia="Times New Roman"/>
                <w:color w:val="000000"/>
                <w:sz w:val="18"/>
                <w:szCs w:val="18"/>
              </w:rPr>
              <w:t>Widespread persistent symptoms by study design:</w:t>
            </w:r>
            <w:r w:rsidRPr="006A4C7D">
              <w:rPr>
                <w:rFonts w:eastAsia="Times New Roman"/>
                <w:color w:val="000000"/>
                <w:sz w:val="18"/>
                <w:szCs w:val="18"/>
              </w:rPr>
              <w:br/>
              <w:t>(a) Prospective cohort studies</w:t>
            </w:r>
            <w:r w:rsidRPr="006A4C7D">
              <w:rPr>
                <w:rFonts w:eastAsia="Times New Roman"/>
                <w:color w:val="000000"/>
                <w:sz w:val="18"/>
                <w:szCs w:val="18"/>
              </w:rPr>
              <w:br/>
              <w:t xml:space="preserve">- Breathlessness, fatigue, reduced </w:t>
            </w:r>
            <w:proofErr w:type="spellStart"/>
            <w:r w:rsidRPr="006A4C7D">
              <w:rPr>
                <w:rFonts w:eastAsia="Times New Roman"/>
                <w:color w:val="000000"/>
                <w:sz w:val="18"/>
                <w:szCs w:val="18"/>
              </w:rPr>
              <w:t>HRQoL</w:t>
            </w:r>
            <w:proofErr w:type="spellEnd"/>
            <w:r w:rsidRPr="006A4C7D">
              <w:rPr>
                <w:rFonts w:eastAsia="Times New Roman"/>
                <w:color w:val="000000"/>
                <w:sz w:val="18"/>
                <w:szCs w:val="18"/>
              </w:rPr>
              <w:t xml:space="preserve">, anosmia/ageusia, asthenia, difficulty concentrating, fatigue,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memory loss, confusion, headache, heart palpitations, chest pain, pain with deep breaths, dizziness, tachycardia, sleep </w:t>
            </w:r>
            <w:proofErr w:type="spellStart"/>
            <w:r w:rsidRPr="006A4C7D">
              <w:rPr>
                <w:rFonts w:eastAsia="Times New Roman"/>
                <w:color w:val="000000"/>
                <w:sz w:val="18"/>
                <w:szCs w:val="18"/>
              </w:rPr>
              <w:t>diificulties</w:t>
            </w:r>
            <w:proofErr w:type="spellEnd"/>
            <w:r w:rsidRPr="006A4C7D">
              <w:rPr>
                <w:rFonts w:eastAsia="Times New Roman"/>
                <w:color w:val="000000"/>
                <w:sz w:val="18"/>
                <w:szCs w:val="18"/>
              </w:rPr>
              <w:t>/disturbance, PTSD, anxiety, depression, slow 4MGS, poor STS test result, muscle weakness, myalgia, arthralgia, lower scores on general health, physical health,  mental health and social active role, impaired cognitive performance, reduced 6MWT distance</w:t>
            </w:r>
            <w:r w:rsidRPr="006A4C7D">
              <w:rPr>
                <w:rFonts w:eastAsia="Times New Roman"/>
                <w:color w:val="000000"/>
                <w:sz w:val="18"/>
                <w:szCs w:val="18"/>
              </w:rPr>
              <w:br/>
              <w:t>(b) Retrospective cohort studies</w:t>
            </w:r>
            <w:r w:rsidRPr="006A4C7D">
              <w:rPr>
                <w:rFonts w:eastAsia="Times New Roman"/>
                <w:color w:val="000000"/>
                <w:sz w:val="18"/>
                <w:szCs w:val="18"/>
              </w:rPr>
              <w:br/>
              <w:t xml:space="preserve">- Fatigue,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joint pain, chest pain, asthenia, anosmia, </w:t>
            </w:r>
            <w:proofErr w:type="spellStart"/>
            <w:r w:rsidRPr="006A4C7D">
              <w:rPr>
                <w:rFonts w:eastAsia="Times New Roman"/>
                <w:color w:val="000000"/>
                <w:sz w:val="18"/>
                <w:szCs w:val="18"/>
              </w:rPr>
              <w:t>aygeusia</w:t>
            </w:r>
            <w:proofErr w:type="spellEnd"/>
            <w:r w:rsidRPr="006A4C7D">
              <w:rPr>
                <w:rFonts w:eastAsia="Times New Roman"/>
                <w:color w:val="000000"/>
                <w:sz w:val="18"/>
                <w:szCs w:val="18"/>
              </w:rPr>
              <w:t>/dysgeusia, myalgia, ageusia, headache, microhaematuria, anxiety, low mood, sleep disturbance</w:t>
            </w:r>
            <w:r w:rsidRPr="006A4C7D">
              <w:rPr>
                <w:rFonts w:eastAsia="Times New Roman"/>
                <w:color w:val="000000"/>
                <w:sz w:val="18"/>
                <w:szCs w:val="18"/>
              </w:rPr>
              <w:br/>
              <w:t>(c) Case-control</w:t>
            </w:r>
            <w:r w:rsidRPr="006A4C7D">
              <w:rPr>
                <w:rFonts w:eastAsia="Times New Roman"/>
                <w:color w:val="000000"/>
                <w:sz w:val="18"/>
                <w:szCs w:val="18"/>
              </w:rPr>
              <w:br/>
              <w:t xml:space="preserve">- Chills,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anosmia, dysgeusia, nausea, vomiting, cough, red eyes </w:t>
            </w:r>
            <w:r w:rsidRPr="006A4C7D">
              <w:rPr>
                <w:rFonts w:eastAsia="Times New Roman"/>
                <w:color w:val="000000"/>
                <w:sz w:val="18"/>
                <w:szCs w:val="18"/>
              </w:rPr>
              <w:br/>
              <w:t>(d) Cross-sectional</w:t>
            </w:r>
            <w:r w:rsidRPr="006A4C7D">
              <w:rPr>
                <w:rFonts w:eastAsia="Times New Roman"/>
                <w:color w:val="000000"/>
                <w:sz w:val="18"/>
                <w:szCs w:val="18"/>
              </w:rPr>
              <w:br/>
              <w:t xml:space="preserve">- Fatigue, muscle/joint pain, headache, insomnia, respiratory problems, palpitations, poor </w:t>
            </w:r>
            <w:proofErr w:type="spellStart"/>
            <w:r w:rsidRPr="006A4C7D">
              <w:rPr>
                <w:rFonts w:eastAsia="Times New Roman"/>
                <w:color w:val="000000"/>
                <w:sz w:val="18"/>
                <w:szCs w:val="18"/>
              </w:rPr>
              <w:t>HRQoL</w:t>
            </w:r>
            <w:proofErr w:type="spellEnd"/>
            <w:r w:rsidRPr="006A4C7D">
              <w:rPr>
                <w:rFonts w:eastAsia="Times New Roman"/>
                <w:color w:val="000000"/>
                <w:sz w:val="18"/>
                <w:szCs w:val="18"/>
              </w:rPr>
              <w:t xml:space="preserve">, poor sleep quality, anxiety;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joint pain, sense of fever, anorexia, diarrhoea, loss of taste and smell, cough, depression, non-return to full health</w:t>
            </w:r>
            <w:r w:rsidRPr="006A4C7D">
              <w:rPr>
                <w:rFonts w:eastAsia="Times New Roman"/>
                <w:color w:val="000000"/>
                <w:sz w:val="18"/>
                <w:szCs w:val="18"/>
              </w:rPr>
              <w:br/>
              <w:t>(e) Case series</w:t>
            </w:r>
            <w:r w:rsidRPr="006A4C7D">
              <w:rPr>
                <w:rFonts w:eastAsia="Times New Roman"/>
                <w:color w:val="000000"/>
                <w:sz w:val="18"/>
                <w:szCs w:val="18"/>
              </w:rPr>
              <w:br/>
              <w:t>- Dry cough, headache, severe sweating, shivering, loss of smell, mild on/off fever, diarrhoea, weight loss</w:t>
            </w:r>
            <w:r w:rsidRPr="006A4C7D">
              <w:rPr>
                <w:rFonts w:eastAsia="Times New Roman"/>
                <w:color w:val="000000"/>
                <w:sz w:val="18"/>
                <w:szCs w:val="18"/>
              </w:rPr>
              <w:br/>
              <w:t>(f) Case report</w:t>
            </w:r>
            <w:r w:rsidRPr="006A4C7D">
              <w:rPr>
                <w:rFonts w:eastAsia="Times New Roman"/>
                <w:color w:val="000000"/>
                <w:sz w:val="18"/>
                <w:szCs w:val="18"/>
              </w:rPr>
              <w:br/>
            </w:r>
            <w:r w:rsidRPr="006A4C7D">
              <w:rPr>
                <w:rFonts w:eastAsia="Times New Roman"/>
                <w:color w:val="000000"/>
                <w:sz w:val="18"/>
                <w:szCs w:val="18"/>
              </w:rPr>
              <w:lastRenderedPageBreak/>
              <w:t>- Chest pain, dyspnoea, fatigue, intercostal neuralgia, dysphonia, heart palpitations, chest pain, headache, difficulty concentrating, muscle weakness, dizziness, sore throat, hair shedding</w:t>
            </w:r>
          </w:p>
        </w:tc>
        <w:tc>
          <w:tcPr>
            <w:tcW w:w="7741" w:type="dxa"/>
          </w:tcPr>
          <w:p w14:paraId="10CFB9A8" w14:textId="77777777" w:rsidR="006A4C7D" w:rsidRPr="006A4C7D" w:rsidRDefault="006A4C7D" w:rsidP="006A4C7D">
            <w:pPr>
              <w:widowControl w:val="0"/>
              <w:numPr>
                <w:ilvl w:val="0"/>
                <w:numId w:val="2"/>
              </w:numPr>
              <w:spacing w:line="276" w:lineRule="auto"/>
              <w:ind w:left="105" w:right="-73" w:hanging="142"/>
              <w:contextualSpacing/>
              <w:rPr>
                <w:rFonts w:asciiTheme="minorHAnsi" w:eastAsia="Arial" w:hAnsiTheme="minorHAnsi" w:cstheme="minorHAnsi"/>
                <w:sz w:val="18"/>
                <w:szCs w:val="18"/>
              </w:rPr>
            </w:pPr>
            <w:r w:rsidRPr="006A4C7D">
              <w:rPr>
                <w:rFonts w:eastAsia="Times New Roman"/>
                <w:color w:val="000000"/>
                <w:sz w:val="18"/>
                <w:szCs w:val="18"/>
              </w:rPr>
              <w:lastRenderedPageBreak/>
              <w:t>"Chun et al., evaluating 61 non-critical COVID-19 patients, highlighted higher levels of Lipocalin 2, suggesting that COVID-19 patients may have an ongoing neutrophil activation that could be amenable to targeted therapy."</w:t>
            </w:r>
          </w:p>
          <w:p w14:paraId="0C121895" w14:textId="77777777" w:rsidR="006A4C7D" w:rsidRPr="006A4C7D" w:rsidRDefault="006A4C7D" w:rsidP="006A4C7D">
            <w:pPr>
              <w:widowControl w:val="0"/>
              <w:numPr>
                <w:ilvl w:val="0"/>
                <w:numId w:val="2"/>
              </w:numPr>
              <w:spacing w:line="276" w:lineRule="auto"/>
              <w:ind w:left="105" w:right="-73" w:hanging="142"/>
              <w:contextualSpacing/>
              <w:rPr>
                <w:rFonts w:asciiTheme="minorHAnsi" w:eastAsia="Arial" w:hAnsiTheme="minorHAnsi" w:cstheme="minorHAnsi"/>
                <w:sz w:val="18"/>
                <w:szCs w:val="18"/>
              </w:rPr>
            </w:pPr>
            <w:r w:rsidRPr="006A4C7D">
              <w:rPr>
                <w:rFonts w:eastAsia="Times New Roman"/>
                <w:color w:val="000000"/>
                <w:sz w:val="18"/>
                <w:szCs w:val="18"/>
              </w:rPr>
              <w:t>Potential mechanisms for lung symptoms and dysfunctions:</w:t>
            </w:r>
            <w:r w:rsidRPr="006A4C7D">
              <w:rPr>
                <w:rFonts w:eastAsia="Times New Roman"/>
                <w:color w:val="000000"/>
                <w:sz w:val="18"/>
                <w:szCs w:val="18"/>
              </w:rPr>
              <w:br/>
              <w:t>- Reduced DLCO</w:t>
            </w:r>
          </w:p>
          <w:p w14:paraId="2D45C899"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Lung fibrotic-like change, residual ground-glass opacification, crazy-paving pattern, consolidation and linear opacities interstitial thickening, diffuse alveolar damage, extensive desquamation of proliferative type II alveolar epithelial cells, exudative monocytes and macrophages</w:t>
            </w:r>
          </w:p>
          <w:p w14:paraId="692D5F76"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xml:space="preserve">- Pulmonary function abnormalities including reduced total lung capacity, reduced diffusion capacity </w:t>
            </w:r>
          </w:p>
          <w:p w14:paraId="0CB40F75"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Chest imaging abnormalities</w:t>
            </w:r>
            <w:r w:rsidRPr="006A4C7D">
              <w:rPr>
                <w:rFonts w:eastAsia="Times New Roman"/>
                <w:color w:val="000000"/>
                <w:sz w:val="18"/>
                <w:szCs w:val="18"/>
              </w:rPr>
              <w:br/>
              <w:t xml:space="preserve">- Iron deficiency, </w:t>
            </w:r>
            <w:proofErr w:type="spellStart"/>
            <w:r w:rsidRPr="006A4C7D">
              <w:rPr>
                <w:rFonts w:eastAsia="Times New Roman"/>
                <w:color w:val="000000"/>
                <w:sz w:val="18"/>
                <w:szCs w:val="18"/>
              </w:rPr>
              <w:t>anemia</w:t>
            </w:r>
            <w:proofErr w:type="spellEnd"/>
          </w:p>
          <w:p w14:paraId="72C1A9F5"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xml:space="preserve">- Increased IL-6 and C-reactive protein </w:t>
            </w:r>
          </w:p>
          <w:p w14:paraId="0AA20D86"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xml:space="preserve">- </w:t>
            </w:r>
            <w:proofErr w:type="spellStart"/>
            <w:r w:rsidRPr="006A4C7D">
              <w:rPr>
                <w:rFonts w:eastAsia="Times New Roman"/>
                <w:color w:val="000000"/>
                <w:sz w:val="18"/>
                <w:szCs w:val="18"/>
              </w:rPr>
              <w:t>Hyperferritinernia</w:t>
            </w:r>
            <w:proofErr w:type="spellEnd"/>
            <w:r w:rsidRPr="006A4C7D">
              <w:rPr>
                <w:rFonts w:eastAsia="Times New Roman"/>
                <w:color w:val="000000"/>
                <w:sz w:val="18"/>
                <w:szCs w:val="18"/>
              </w:rPr>
              <w:t xml:space="preserve"> patients with severe lung pathologies</w:t>
            </w:r>
            <w:r w:rsidRPr="006A4C7D">
              <w:rPr>
                <w:rFonts w:eastAsia="Times New Roman"/>
                <w:color w:val="000000"/>
                <w:sz w:val="18"/>
                <w:szCs w:val="18"/>
              </w:rPr>
              <w:br/>
              <w:t xml:space="preserve">- LCN2, MMP-7, HGF higher in ICU subjects and inversely correlated with pulmonary function </w:t>
            </w:r>
          </w:p>
          <w:p w14:paraId="05ED885A"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Cardiorespiratory cause of breathlessness, i.e. persistent parenchymal abnormality pulmonary embolism, cardiac complications</w:t>
            </w:r>
            <w:r w:rsidRPr="006A4C7D">
              <w:rPr>
                <w:rFonts w:eastAsia="Times New Roman"/>
                <w:color w:val="000000"/>
                <w:sz w:val="18"/>
                <w:szCs w:val="18"/>
              </w:rPr>
              <w:br/>
              <w:t xml:space="preserve">- Higher D-dimer level at admission predict impaired DLCO 3 months after </w:t>
            </w:r>
          </w:p>
          <w:p w14:paraId="0494A0CB"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Non-inflammatory tracheal hypersecretion</w:t>
            </w:r>
          </w:p>
          <w:p w14:paraId="54E932C8" w14:textId="77777777" w:rsidR="006A4C7D" w:rsidRPr="006A4C7D" w:rsidRDefault="006A4C7D" w:rsidP="006A4C7D">
            <w:pPr>
              <w:widowControl w:val="0"/>
              <w:numPr>
                <w:ilvl w:val="0"/>
                <w:numId w:val="2"/>
              </w:numPr>
              <w:spacing w:line="276" w:lineRule="auto"/>
              <w:ind w:left="105" w:right="-73" w:hanging="142"/>
              <w:contextualSpacing/>
              <w:rPr>
                <w:rFonts w:asciiTheme="minorHAnsi" w:eastAsia="Arial" w:hAnsiTheme="minorHAnsi" w:cstheme="minorHAnsi"/>
                <w:sz w:val="18"/>
                <w:szCs w:val="18"/>
              </w:rPr>
            </w:pPr>
            <w:r w:rsidRPr="006A4C7D">
              <w:rPr>
                <w:rFonts w:eastAsia="Times New Roman"/>
                <w:color w:val="000000"/>
                <w:sz w:val="18"/>
                <w:szCs w:val="18"/>
              </w:rPr>
              <w:t>Potential mechanisms for neurological symptoms and olfactory dysfunctions:</w:t>
            </w:r>
            <w:r w:rsidRPr="006A4C7D">
              <w:rPr>
                <w:rFonts w:eastAsia="Times New Roman"/>
                <w:color w:val="000000"/>
                <w:sz w:val="18"/>
                <w:szCs w:val="18"/>
              </w:rPr>
              <w:br/>
              <w:t xml:space="preserve">- Disruption to micro-structural and functional brain integrity </w:t>
            </w:r>
          </w:p>
          <w:p w14:paraId="114E14DA" w14:textId="3F0987D6"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xml:space="preserve">- General cognitive decay associated with ICU length of stay </w:t>
            </w:r>
            <w:r w:rsidRPr="006A4C7D">
              <w:rPr>
                <w:rFonts w:eastAsia="Times New Roman"/>
                <w:color w:val="000000"/>
                <w:sz w:val="18"/>
                <w:szCs w:val="18"/>
              </w:rPr>
              <w:br/>
              <w:t xml:space="preserve">- Hypometabolism of the olfactory/rectus gyrus in two cases </w:t>
            </w:r>
          </w:p>
          <w:p w14:paraId="7B829BC6" w14:textId="77777777" w:rsidR="006A4C7D" w:rsidRPr="006A4C7D" w:rsidRDefault="006A4C7D" w:rsidP="006A4C7D">
            <w:pPr>
              <w:widowControl w:val="0"/>
              <w:numPr>
                <w:ilvl w:val="0"/>
                <w:numId w:val="2"/>
              </w:numPr>
              <w:spacing w:line="276" w:lineRule="auto"/>
              <w:ind w:left="105" w:right="-73" w:hanging="105"/>
              <w:contextualSpacing/>
              <w:rPr>
                <w:rFonts w:asciiTheme="minorHAnsi" w:eastAsia="Arial" w:hAnsiTheme="minorHAnsi" w:cstheme="minorHAnsi"/>
                <w:sz w:val="18"/>
                <w:szCs w:val="18"/>
              </w:rPr>
            </w:pPr>
            <w:r w:rsidRPr="006A4C7D">
              <w:rPr>
                <w:rFonts w:eastAsia="Times New Roman"/>
                <w:color w:val="000000"/>
                <w:sz w:val="18"/>
                <w:szCs w:val="18"/>
              </w:rPr>
              <w:t>Potential mechanisms for widespread symptoms:</w:t>
            </w:r>
            <w:r w:rsidRPr="006A4C7D">
              <w:rPr>
                <w:rFonts w:eastAsia="Times New Roman"/>
                <w:color w:val="000000"/>
                <w:sz w:val="18"/>
                <w:szCs w:val="18"/>
              </w:rPr>
              <w:br/>
              <w:t xml:space="preserve">- Persistent symptoms at 60-day follow-up significantly associated with age 40-60, hospital admission, and abnormal auscultation at symptom onset hyperfiltration had high blood pressure at diagnosis and still had prehypertension at 6-month follow-up </w:t>
            </w:r>
            <w:r w:rsidRPr="006A4C7D">
              <w:rPr>
                <w:rFonts w:eastAsia="Times New Roman"/>
                <w:color w:val="000000"/>
                <w:sz w:val="18"/>
                <w:szCs w:val="18"/>
              </w:rPr>
              <w:br/>
              <w:t>- MRI abnormalities in lung, heart, liver and kidney</w:t>
            </w:r>
          </w:p>
          <w:p w14:paraId="5C9EFE0E"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xml:space="preserve">- Persistent neuropsychiatric, pulmonary, metabolic, and coagulopathic phenotypes </w:t>
            </w:r>
          </w:p>
          <w:p w14:paraId="5A853421"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No association between fatigue and Covid severity</w:t>
            </w:r>
          </w:p>
          <w:p w14:paraId="432DB60C"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Lymphopenia</w:t>
            </w:r>
          </w:p>
          <w:p w14:paraId="4BADBEF4"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Elevated D-dimer, elevated C-reactive protein</w:t>
            </w:r>
          </w:p>
          <w:p w14:paraId="63837340"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xml:space="preserve">- Abnormal x-rays of persistent infiltrate or atelectasis </w:t>
            </w:r>
          </w:p>
          <w:p w14:paraId="44E94B92" w14:textId="77777777" w:rsidR="006A4C7D" w:rsidRPr="006A4C7D" w:rsidRDefault="006A4C7D" w:rsidP="006A4C7D">
            <w:pPr>
              <w:widowControl w:val="0"/>
              <w:spacing w:line="276" w:lineRule="auto"/>
              <w:ind w:left="105" w:right="-73"/>
              <w:contextualSpacing/>
              <w:rPr>
                <w:rFonts w:eastAsia="Times New Roman"/>
                <w:color w:val="000000"/>
                <w:sz w:val="18"/>
                <w:szCs w:val="18"/>
              </w:rPr>
            </w:pPr>
            <w:r w:rsidRPr="006A4C7D">
              <w:rPr>
                <w:rFonts w:eastAsia="Times New Roman"/>
                <w:color w:val="000000"/>
                <w:sz w:val="18"/>
                <w:szCs w:val="18"/>
              </w:rPr>
              <w:t>- Extremely low outlier ratio of total protein, albumin, and globulin</w:t>
            </w:r>
          </w:p>
          <w:p w14:paraId="4504FA67" w14:textId="6AF9BB1D" w:rsidR="006A4C7D" w:rsidRPr="006A4C7D" w:rsidRDefault="006A4C7D" w:rsidP="006A4C7D">
            <w:pPr>
              <w:widowControl w:val="0"/>
              <w:spacing w:line="276" w:lineRule="auto"/>
              <w:ind w:left="105" w:right="-73"/>
              <w:contextualSpacing/>
              <w:rPr>
                <w:rFonts w:asciiTheme="minorHAnsi" w:eastAsia="Arial" w:hAnsiTheme="minorHAnsi" w:cstheme="minorHAnsi"/>
                <w:sz w:val="18"/>
                <w:szCs w:val="18"/>
              </w:rPr>
            </w:pPr>
            <w:r w:rsidRPr="006A4C7D">
              <w:rPr>
                <w:rFonts w:eastAsia="Times New Roman"/>
                <w:color w:val="000000"/>
                <w:sz w:val="18"/>
                <w:szCs w:val="18"/>
              </w:rPr>
              <w:t>- Persistent advanced atrioventricular block</w:t>
            </w:r>
          </w:p>
        </w:tc>
        <w:tc>
          <w:tcPr>
            <w:tcW w:w="4637" w:type="dxa"/>
          </w:tcPr>
          <w:p w14:paraId="6B071D81" w14:textId="77777777" w:rsidR="006A4C7D" w:rsidRPr="006A4C7D" w:rsidRDefault="006A4C7D" w:rsidP="006A4C7D">
            <w:pPr>
              <w:widowControl w:val="0"/>
              <w:spacing w:line="276" w:lineRule="auto"/>
              <w:ind w:right="-61"/>
              <w:rPr>
                <w:rFonts w:eastAsia="Times New Roman"/>
                <w:b/>
                <w:i/>
                <w:color w:val="000000"/>
                <w:sz w:val="18"/>
                <w:szCs w:val="18"/>
              </w:rPr>
            </w:pPr>
            <w:r w:rsidRPr="006A4C7D">
              <w:rPr>
                <w:rFonts w:eastAsia="Times New Roman"/>
                <w:b/>
                <w:color w:val="000000"/>
                <w:sz w:val="18"/>
                <w:szCs w:val="18"/>
              </w:rPr>
              <w:t>Included studies vary by design and duration since COVID-19 onset, hence difficult to compare prevalence and longevity of symptoms/mechanisms.</w:t>
            </w:r>
            <w:r w:rsidRPr="006A4C7D">
              <w:rPr>
                <w:rFonts w:eastAsia="Times New Roman"/>
                <w:b/>
                <w:color w:val="000000"/>
                <w:sz w:val="18"/>
                <w:szCs w:val="18"/>
              </w:rPr>
              <w:br/>
              <w:t>Conjectures on mechanisms:</w:t>
            </w:r>
            <w:r w:rsidRPr="006A4C7D">
              <w:rPr>
                <w:rFonts w:eastAsia="Times New Roman"/>
                <w:b/>
                <w:color w:val="000000"/>
                <w:sz w:val="18"/>
                <w:szCs w:val="18"/>
              </w:rPr>
              <w:br/>
              <w:t xml:space="preserve">(1) </w:t>
            </w:r>
            <w:r w:rsidRPr="006A4C7D">
              <w:rPr>
                <w:rFonts w:eastAsia="Times New Roman"/>
                <w:b/>
                <w:i/>
                <w:color w:val="000000"/>
                <w:sz w:val="18"/>
                <w:szCs w:val="18"/>
              </w:rPr>
              <w:t>Most researchers and clinicians agree that the long-term COVID-19 symptoms are associated with the coronavirus ability to trigger a massive inflammatory response. Thus, it will be mandatory to analyse cytokine networks in patients who recover from COVID-19 to evaluate whether the ‚ cytokine storm present during the disease persists and contributes to these long-term complications.</w:t>
            </w:r>
          </w:p>
          <w:p w14:paraId="0B03C0C6" w14:textId="77777777" w:rsidR="006A4C7D" w:rsidRPr="006A4C7D" w:rsidRDefault="006A4C7D" w:rsidP="006A4C7D">
            <w:pPr>
              <w:widowControl w:val="0"/>
              <w:spacing w:line="276" w:lineRule="auto"/>
              <w:ind w:right="-61"/>
              <w:rPr>
                <w:rFonts w:eastAsia="Times New Roman"/>
                <w:b/>
                <w:i/>
                <w:color w:val="000000"/>
                <w:sz w:val="18"/>
                <w:szCs w:val="18"/>
              </w:rPr>
            </w:pPr>
            <w:r w:rsidRPr="006A4C7D">
              <w:rPr>
                <w:rFonts w:eastAsia="Times New Roman"/>
                <w:b/>
                <w:color w:val="000000"/>
                <w:sz w:val="18"/>
                <w:szCs w:val="18"/>
              </w:rPr>
              <w:t xml:space="preserve">(2) </w:t>
            </w:r>
            <w:r w:rsidRPr="006A4C7D">
              <w:rPr>
                <w:rFonts w:eastAsia="Times New Roman"/>
                <w:b/>
                <w:i/>
                <w:color w:val="000000"/>
                <w:sz w:val="18"/>
                <w:szCs w:val="18"/>
              </w:rPr>
              <w:t xml:space="preserve">Potential association between viral shedding and long-term COVID-19: some evidence that ongoing viral shedding in SARS-CoV-2 may be prolonged [beyond 12-20 days] in the </w:t>
            </w:r>
            <w:proofErr w:type="spellStart"/>
            <w:r w:rsidRPr="006A4C7D">
              <w:rPr>
                <w:rFonts w:eastAsia="Times New Roman"/>
                <w:b/>
                <w:i/>
                <w:color w:val="000000"/>
                <w:sz w:val="18"/>
                <w:szCs w:val="18"/>
              </w:rPr>
              <w:t>feces</w:t>
            </w:r>
            <w:proofErr w:type="spellEnd"/>
            <w:r w:rsidRPr="006A4C7D">
              <w:rPr>
                <w:rFonts w:eastAsia="Times New Roman"/>
                <w:b/>
                <w:i/>
                <w:color w:val="000000"/>
                <w:sz w:val="18"/>
                <w:szCs w:val="18"/>
              </w:rPr>
              <w:t xml:space="preserve"> compared to respiratory secretions The persistent fragments of viral genes, though not infectious, may still be triggering a violent immune overreaction that could explain the symptoms persistence in COVID-19-free patients.</w:t>
            </w:r>
            <w:r w:rsidRPr="006A4C7D">
              <w:rPr>
                <w:rFonts w:eastAsia="Times New Roman"/>
                <w:b/>
                <w:color w:val="000000"/>
                <w:sz w:val="18"/>
                <w:szCs w:val="18"/>
              </w:rPr>
              <w:br/>
              <w:t>(3</w:t>
            </w:r>
            <w:r w:rsidRPr="006A4C7D">
              <w:rPr>
                <w:rFonts w:eastAsia="Times New Roman"/>
                <w:b/>
                <w:i/>
                <w:color w:val="000000"/>
                <w:sz w:val="18"/>
                <w:szCs w:val="18"/>
              </w:rPr>
              <w:t>) Even if the virus is cleared, the immune system could continue to be overactive or perturbed, analogous to the long-term debilitation after glandular fever.</w:t>
            </w:r>
          </w:p>
          <w:p w14:paraId="2A07166A" w14:textId="77777777" w:rsidR="006A4C7D" w:rsidRPr="006A4C7D" w:rsidRDefault="006A4C7D" w:rsidP="006A4C7D">
            <w:pPr>
              <w:widowControl w:val="0"/>
              <w:spacing w:before="120" w:line="276" w:lineRule="auto"/>
              <w:ind w:right="-61"/>
              <w:rPr>
                <w:rFonts w:asciiTheme="minorHAnsi" w:eastAsia="Arial" w:hAnsiTheme="minorHAnsi" w:cstheme="minorHAnsi"/>
                <w:sz w:val="18"/>
                <w:szCs w:val="18"/>
              </w:rPr>
            </w:pPr>
            <w:r w:rsidRPr="006A4C7D">
              <w:rPr>
                <w:rFonts w:eastAsia="Times New Roman"/>
                <w:b/>
                <w:i/>
                <w:color w:val="000000"/>
                <w:sz w:val="18"/>
                <w:szCs w:val="18"/>
              </w:rPr>
              <w:t xml:space="preserve">"What emerges from this review is that the most common reported symptoms after COVID-19 are abnormal lung functions prevalently with persistent </w:t>
            </w:r>
            <w:proofErr w:type="spellStart"/>
            <w:r w:rsidRPr="006A4C7D">
              <w:rPr>
                <w:rFonts w:eastAsia="Times New Roman"/>
                <w:b/>
                <w:i/>
                <w:color w:val="000000"/>
                <w:sz w:val="18"/>
                <w:szCs w:val="18"/>
              </w:rPr>
              <w:t>dyspnea</w:t>
            </w:r>
            <w:proofErr w:type="spellEnd"/>
            <w:r w:rsidRPr="006A4C7D">
              <w:rPr>
                <w:rFonts w:eastAsia="Times New Roman"/>
                <w:b/>
                <w:i/>
                <w:color w:val="000000"/>
                <w:sz w:val="18"/>
                <w:szCs w:val="18"/>
              </w:rPr>
              <w:t>, general neurological decay, smell and taste disturbances, and chronic fatigue."</w:t>
            </w:r>
          </w:p>
        </w:tc>
      </w:tr>
      <w:tr w:rsidR="006A4C7D" w:rsidRPr="006A4C7D" w14:paraId="754DC31A" w14:textId="77777777" w:rsidTr="00CF417E">
        <w:trPr>
          <w:trHeight w:val="2515"/>
        </w:trPr>
        <w:tc>
          <w:tcPr>
            <w:tcW w:w="1042" w:type="dxa"/>
          </w:tcPr>
          <w:p w14:paraId="5D325AA6" w14:textId="77777777" w:rsidR="006A4C7D" w:rsidRPr="006A4C7D" w:rsidRDefault="006A4C7D" w:rsidP="006A4C7D">
            <w:pPr>
              <w:widowControl w:val="0"/>
              <w:spacing w:line="276" w:lineRule="auto"/>
              <w:ind w:right="-1440"/>
              <w:rPr>
                <w:rFonts w:asciiTheme="minorHAnsi" w:eastAsia="Arial" w:hAnsiTheme="minorHAnsi" w:cstheme="minorHAnsi"/>
                <w:b/>
                <w:sz w:val="18"/>
                <w:szCs w:val="18"/>
              </w:rPr>
            </w:pPr>
            <w:r w:rsidRPr="006A4C7D">
              <w:rPr>
                <w:rFonts w:eastAsia="Times New Roman"/>
                <w:b/>
                <w:color w:val="000000"/>
                <w:sz w:val="18"/>
                <w:szCs w:val="18"/>
              </w:rPr>
              <w:t>Garg 2021</w:t>
            </w:r>
          </w:p>
        </w:tc>
        <w:tc>
          <w:tcPr>
            <w:tcW w:w="1505" w:type="dxa"/>
          </w:tcPr>
          <w:p w14:paraId="6FCC805F" w14:textId="77777777" w:rsidR="006A4C7D" w:rsidRPr="006A4C7D" w:rsidRDefault="006A4C7D" w:rsidP="006A4C7D">
            <w:pPr>
              <w:widowControl w:val="0"/>
              <w:spacing w:line="276" w:lineRule="auto"/>
              <w:ind w:right="-109"/>
              <w:rPr>
                <w:rFonts w:asciiTheme="minorHAnsi" w:eastAsia="Arial" w:hAnsiTheme="minorHAnsi" w:cstheme="minorHAnsi"/>
                <w:sz w:val="18"/>
                <w:szCs w:val="18"/>
              </w:rPr>
            </w:pPr>
            <w:r w:rsidRPr="006A4C7D">
              <w:rPr>
                <w:rFonts w:eastAsia="Times New Roman"/>
                <w:i/>
                <w:color w:val="000000"/>
                <w:sz w:val="18"/>
                <w:szCs w:val="18"/>
              </w:rPr>
              <w:t>The Conundrum of Long-COVID-19: A Narrative Review</w:t>
            </w:r>
          </w:p>
        </w:tc>
        <w:tc>
          <w:tcPr>
            <w:tcW w:w="7740" w:type="dxa"/>
          </w:tcPr>
          <w:p w14:paraId="1365B633" w14:textId="77777777" w:rsidR="006A4C7D" w:rsidRPr="006A4C7D" w:rsidRDefault="006A4C7D" w:rsidP="006A4C7D">
            <w:pPr>
              <w:widowControl w:val="0"/>
              <w:spacing w:line="276" w:lineRule="auto"/>
              <w:ind w:right="-109"/>
              <w:rPr>
                <w:rFonts w:asciiTheme="minorHAnsi" w:eastAsia="Arial" w:hAnsiTheme="minorHAnsi" w:cstheme="minorHAnsi"/>
                <w:sz w:val="18"/>
                <w:szCs w:val="18"/>
              </w:rPr>
            </w:pPr>
            <w:r w:rsidRPr="006A4C7D">
              <w:rPr>
                <w:rFonts w:eastAsia="Times New Roman"/>
                <w:color w:val="000000"/>
                <w:sz w:val="18"/>
                <w:szCs w:val="18"/>
              </w:rPr>
              <w:t>- Neuro-psychiatric: Flare-up of the neuropsychiatric symptoms or appearance of new psychiatric symptoms especially those who had critical illness or ICU admission, Impaired Cognition attention, Impaired concentration, Sleep disturbance</w:t>
            </w:r>
            <w:r w:rsidRPr="006A4C7D">
              <w:rPr>
                <w:rFonts w:eastAsia="Times New Roman"/>
                <w:color w:val="000000"/>
                <w:sz w:val="18"/>
                <w:szCs w:val="18"/>
              </w:rPr>
              <w:br/>
              <w:t>- Neurological: Brain Fog, Persistent loss of Smell/ Taste, Encephalopathy, Stroke</w:t>
            </w:r>
            <w:r w:rsidRPr="006A4C7D">
              <w:rPr>
                <w:rFonts w:eastAsia="Times New Roman"/>
                <w:color w:val="000000"/>
                <w:sz w:val="18"/>
                <w:szCs w:val="18"/>
              </w:rPr>
              <w:br/>
              <w:t>- Pulmonary: Breathlessness, Cough, Chest pain, ILD</w:t>
            </w:r>
            <w:r w:rsidRPr="006A4C7D">
              <w:rPr>
                <w:rFonts w:eastAsia="Times New Roman"/>
                <w:color w:val="000000"/>
                <w:sz w:val="18"/>
                <w:szCs w:val="18"/>
              </w:rPr>
              <w:br/>
              <w:t>- Psychiatric: Depression, Anxiety, PTSD, Social Isolation</w:t>
            </w:r>
            <w:r w:rsidRPr="006A4C7D">
              <w:rPr>
                <w:rFonts w:eastAsia="Times New Roman"/>
                <w:color w:val="000000"/>
                <w:sz w:val="18"/>
                <w:szCs w:val="18"/>
              </w:rPr>
              <w:br/>
              <w:t>CVD: Palpitations, Myocarditis/ Pericarditis, Heart Failure</w:t>
            </w:r>
            <w:r w:rsidRPr="006A4C7D">
              <w:rPr>
                <w:rFonts w:eastAsia="Times New Roman"/>
                <w:color w:val="000000"/>
                <w:sz w:val="18"/>
                <w:szCs w:val="18"/>
              </w:rPr>
              <w:br/>
              <w:t>- Cutaneous: Erythematous Rash, Urticarial Rash, COVID Toes</w:t>
            </w:r>
            <w:r w:rsidRPr="006A4C7D">
              <w:rPr>
                <w:rFonts w:eastAsia="Times New Roman"/>
                <w:color w:val="000000"/>
                <w:sz w:val="18"/>
                <w:szCs w:val="18"/>
              </w:rPr>
              <w:br/>
              <w:t>- General manifestations: Joint Pains, Peripheral Neuropathy, Peripheral Limb Ischemia</w:t>
            </w:r>
          </w:p>
        </w:tc>
        <w:tc>
          <w:tcPr>
            <w:tcW w:w="7741" w:type="dxa"/>
          </w:tcPr>
          <w:p w14:paraId="400B7567" w14:textId="77777777" w:rsidR="006A4C7D" w:rsidRPr="006A4C7D" w:rsidRDefault="006A4C7D" w:rsidP="006A4C7D">
            <w:pPr>
              <w:widowControl w:val="0"/>
              <w:numPr>
                <w:ilvl w:val="0"/>
                <w:numId w:val="2"/>
              </w:numPr>
              <w:spacing w:line="276" w:lineRule="auto"/>
              <w:ind w:left="105" w:right="-112" w:hanging="142"/>
              <w:contextualSpacing/>
              <w:rPr>
                <w:rFonts w:eastAsia="Times New Roman"/>
                <w:color w:val="000000"/>
                <w:sz w:val="18"/>
                <w:szCs w:val="18"/>
              </w:rPr>
            </w:pPr>
            <w:r w:rsidRPr="006A4C7D">
              <w:rPr>
                <w:rFonts w:eastAsia="Times New Roman"/>
                <w:color w:val="000000"/>
                <w:sz w:val="18"/>
                <w:szCs w:val="18"/>
              </w:rPr>
              <w:t>Injury to the olfactory bulb demonstrated on MRI.</w:t>
            </w:r>
          </w:p>
          <w:p w14:paraId="12A3D713" w14:textId="77777777" w:rsidR="006A4C7D" w:rsidRPr="006A4C7D" w:rsidRDefault="006A4C7D" w:rsidP="006A4C7D">
            <w:pPr>
              <w:widowControl w:val="0"/>
              <w:numPr>
                <w:ilvl w:val="0"/>
                <w:numId w:val="2"/>
              </w:numPr>
              <w:spacing w:line="276" w:lineRule="auto"/>
              <w:ind w:left="105" w:right="-112" w:hanging="142"/>
              <w:contextualSpacing/>
              <w:rPr>
                <w:rFonts w:eastAsia="Times New Roman"/>
                <w:color w:val="000000"/>
                <w:sz w:val="18"/>
                <w:szCs w:val="18"/>
              </w:rPr>
            </w:pPr>
            <w:r w:rsidRPr="006A4C7D">
              <w:rPr>
                <w:rFonts w:eastAsia="Times New Roman"/>
                <w:color w:val="000000"/>
                <w:sz w:val="18"/>
                <w:szCs w:val="18"/>
              </w:rPr>
              <w:t xml:space="preserve">The virus primarily affects the respiratory system, and after reaching the lung alveoli, it attaches and penetrates the host cell, particularly type II pneumocytes, and starts damaging the alveoli. It erodes into the capillary endothelium, causing </w:t>
            </w:r>
            <w:proofErr w:type="spellStart"/>
            <w:r w:rsidRPr="006A4C7D">
              <w:rPr>
                <w:rFonts w:eastAsia="Times New Roman"/>
                <w:color w:val="000000"/>
                <w:sz w:val="18"/>
                <w:szCs w:val="18"/>
              </w:rPr>
              <w:t>endotheliitis</w:t>
            </w:r>
            <w:proofErr w:type="spellEnd"/>
            <w:r w:rsidRPr="006A4C7D">
              <w:rPr>
                <w:rFonts w:eastAsia="Times New Roman"/>
                <w:color w:val="000000"/>
                <w:sz w:val="18"/>
                <w:szCs w:val="18"/>
              </w:rPr>
              <w:t xml:space="preserve"> and leads to the formation of microthrombi; then enters the blood vessels and may disseminate in the whole body. </w:t>
            </w:r>
          </w:p>
          <w:p w14:paraId="327EA189" w14:textId="77777777" w:rsidR="006A4C7D" w:rsidRPr="006A4C7D" w:rsidRDefault="006A4C7D" w:rsidP="006A4C7D">
            <w:pPr>
              <w:widowControl w:val="0"/>
              <w:numPr>
                <w:ilvl w:val="0"/>
                <w:numId w:val="2"/>
              </w:numPr>
              <w:spacing w:line="276" w:lineRule="auto"/>
              <w:ind w:left="105" w:right="-112" w:hanging="142"/>
              <w:contextualSpacing/>
              <w:rPr>
                <w:rFonts w:eastAsia="Times New Roman"/>
                <w:color w:val="000000"/>
                <w:sz w:val="18"/>
                <w:szCs w:val="18"/>
              </w:rPr>
            </w:pPr>
            <w:r w:rsidRPr="006A4C7D">
              <w:rPr>
                <w:rFonts w:eastAsia="Times New Roman"/>
                <w:color w:val="000000"/>
                <w:sz w:val="18"/>
                <w:szCs w:val="18"/>
              </w:rPr>
              <w:t>The virus also stimulates the inflammatory milieu in the body, causing significant release of cytokines and chemokines leading to cytokine storm in severe cases.</w:t>
            </w:r>
          </w:p>
          <w:p w14:paraId="3F07CFFF" w14:textId="77777777" w:rsidR="006A4C7D" w:rsidRPr="006A4C7D" w:rsidRDefault="006A4C7D" w:rsidP="006A4C7D">
            <w:pPr>
              <w:widowControl w:val="0"/>
              <w:numPr>
                <w:ilvl w:val="0"/>
                <w:numId w:val="2"/>
              </w:numPr>
              <w:spacing w:line="276" w:lineRule="auto"/>
              <w:ind w:left="105" w:right="-112" w:hanging="142"/>
              <w:contextualSpacing/>
              <w:rPr>
                <w:rFonts w:eastAsia="Times New Roman"/>
                <w:color w:val="000000"/>
                <w:sz w:val="18"/>
                <w:szCs w:val="18"/>
              </w:rPr>
            </w:pPr>
            <w:r w:rsidRPr="006A4C7D">
              <w:rPr>
                <w:rFonts w:eastAsia="Times New Roman"/>
                <w:color w:val="000000"/>
                <w:sz w:val="18"/>
                <w:szCs w:val="18"/>
              </w:rPr>
              <w:t>Another important mechanism of extrapulmonary manifestations in COVID-19 is the formation of antigen-antibody complexes by the second or third week when the humoral immunity gets activated.</w:t>
            </w:r>
          </w:p>
          <w:p w14:paraId="29C35190" w14:textId="77777777" w:rsidR="006A4C7D" w:rsidRPr="006A4C7D" w:rsidRDefault="006A4C7D" w:rsidP="006A4C7D">
            <w:pPr>
              <w:widowControl w:val="0"/>
              <w:numPr>
                <w:ilvl w:val="0"/>
                <w:numId w:val="2"/>
              </w:numPr>
              <w:spacing w:line="276" w:lineRule="auto"/>
              <w:ind w:left="105" w:right="-112" w:hanging="142"/>
              <w:contextualSpacing/>
              <w:rPr>
                <w:rFonts w:eastAsia="Times New Roman"/>
                <w:color w:val="000000"/>
                <w:sz w:val="18"/>
                <w:szCs w:val="18"/>
              </w:rPr>
            </w:pPr>
            <w:r w:rsidRPr="006A4C7D">
              <w:rPr>
                <w:rFonts w:eastAsia="Times New Roman"/>
                <w:color w:val="000000"/>
                <w:sz w:val="18"/>
                <w:szCs w:val="18"/>
              </w:rPr>
              <w:t>Antigen-antibody reactions might be responsible for pulmonary fibrosis, and other long-term post-COVID consequences occurring in a few patients.</w:t>
            </w:r>
          </w:p>
          <w:p w14:paraId="451CD8AE" w14:textId="77777777" w:rsidR="006A4C7D" w:rsidRPr="006A4C7D" w:rsidRDefault="006A4C7D" w:rsidP="006A4C7D">
            <w:pPr>
              <w:widowControl w:val="0"/>
              <w:numPr>
                <w:ilvl w:val="0"/>
                <w:numId w:val="2"/>
              </w:numPr>
              <w:spacing w:line="276" w:lineRule="auto"/>
              <w:ind w:left="105" w:right="-112" w:hanging="142"/>
              <w:contextualSpacing/>
              <w:rPr>
                <w:rFonts w:eastAsia="Times New Roman"/>
                <w:color w:val="000000"/>
                <w:sz w:val="18"/>
                <w:szCs w:val="18"/>
              </w:rPr>
            </w:pPr>
            <w:r w:rsidRPr="006A4C7D">
              <w:rPr>
                <w:rFonts w:eastAsia="Times New Roman"/>
                <w:color w:val="000000"/>
                <w:sz w:val="18"/>
                <w:szCs w:val="18"/>
              </w:rPr>
              <w:t xml:space="preserve">The exact </w:t>
            </w:r>
            <w:proofErr w:type="spellStart"/>
            <w:r w:rsidRPr="006A4C7D">
              <w:rPr>
                <w:rFonts w:eastAsia="Times New Roman"/>
                <w:color w:val="000000"/>
                <w:sz w:val="18"/>
                <w:szCs w:val="18"/>
              </w:rPr>
              <w:t>etiology</w:t>
            </w:r>
            <w:proofErr w:type="spellEnd"/>
            <w:r w:rsidRPr="006A4C7D">
              <w:rPr>
                <w:rFonts w:eastAsia="Times New Roman"/>
                <w:color w:val="000000"/>
                <w:sz w:val="18"/>
                <w:szCs w:val="18"/>
              </w:rPr>
              <w:t xml:space="preserve"> of Long-COVID-19 is unclear, it appears secondary to </w:t>
            </w:r>
            <w:proofErr w:type="spellStart"/>
            <w:r w:rsidRPr="006A4C7D">
              <w:rPr>
                <w:rFonts w:eastAsia="Times New Roman"/>
                <w:color w:val="000000"/>
                <w:sz w:val="18"/>
                <w:szCs w:val="18"/>
              </w:rPr>
              <w:t>endotheliopathy</w:t>
            </w:r>
            <w:proofErr w:type="spellEnd"/>
            <w:r w:rsidRPr="006A4C7D">
              <w:rPr>
                <w:rFonts w:eastAsia="Times New Roman"/>
                <w:color w:val="000000"/>
                <w:sz w:val="18"/>
                <w:szCs w:val="18"/>
              </w:rPr>
              <w:t>, hypoxemic injuries, antigen-antibody reactions, or aberrant immune response.</w:t>
            </w:r>
          </w:p>
        </w:tc>
        <w:tc>
          <w:tcPr>
            <w:tcW w:w="4637" w:type="dxa"/>
            <w:shd w:val="clear" w:color="auto" w:fill="auto"/>
          </w:tcPr>
          <w:p w14:paraId="7EB15D1B" w14:textId="2D9CD60C" w:rsidR="006A4C7D" w:rsidRPr="006A4C7D" w:rsidRDefault="00C46D19" w:rsidP="006A4C7D">
            <w:pPr>
              <w:widowControl w:val="0"/>
              <w:spacing w:line="276" w:lineRule="auto"/>
              <w:ind w:right="-89"/>
              <w:rPr>
                <w:rFonts w:asciiTheme="minorHAnsi" w:eastAsia="Arial" w:hAnsiTheme="minorHAnsi" w:cstheme="minorHAnsi"/>
                <w:b/>
                <w:bCs/>
                <w:sz w:val="18"/>
                <w:szCs w:val="18"/>
                <w:highlight w:val="yellow"/>
              </w:rPr>
            </w:pPr>
            <w:r w:rsidRPr="00CF417E">
              <w:rPr>
                <w:rFonts w:asciiTheme="minorHAnsi" w:eastAsia="Arial" w:hAnsiTheme="minorHAnsi" w:cstheme="minorHAnsi"/>
                <w:b/>
                <w:bCs/>
                <w:sz w:val="18"/>
                <w:szCs w:val="18"/>
              </w:rPr>
              <w:t xml:space="preserve">This review highlights the importance to be aware of its protean clinical manifestations, risk predictors, and holistic management strategies. Further research is needed focusing on </w:t>
            </w:r>
            <w:proofErr w:type="spellStart"/>
            <w:r w:rsidRPr="00CF417E">
              <w:rPr>
                <w:rFonts w:asciiTheme="minorHAnsi" w:eastAsia="Arial" w:hAnsiTheme="minorHAnsi" w:cstheme="minorHAnsi"/>
                <w:b/>
                <w:bCs/>
                <w:sz w:val="18"/>
                <w:szCs w:val="18"/>
              </w:rPr>
              <w:t>cataloging</w:t>
            </w:r>
            <w:proofErr w:type="spellEnd"/>
            <w:r w:rsidRPr="00CF417E">
              <w:rPr>
                <w:rFonts w:asciiTheme="minorHAnsi" w:eastAsia="Arial" w:hAnsiTheme="minorHAnsi" w:cstheme="minorHAnsi"/>
                <w:b/>
                <w:bCs/>
                <w:sz w:val="18"/>
                <w:szCs w:val="18"/>
              </w:rPr>
              <w:t xml:space="preserve"> of symptoms, longer-ranging observational studies, and clinical trials to evaluate the long-term consequences of COVID-19. As well as setting-up of dedicated, post-COVID care, multi-disciplinary clinics, and rehabilitation </w:t>
            </w:r>
            <w:proofErr w:type="spellStart"/>
            <w:r w:rsidRPr="00CF417E">
              <w:rPr>
                <w:rFonts w:asciiTheme="minorHAnsi" w:eastAsia="Arial" w:hAnsiTheme="minorHAnsi" w:cstheme="minorHAnsi"/>
                <w:b/>
                <w:bCs/>
                <w:sz w:val="18"/>
                <w:szCs w:val="18"/>
              </w:rPr>
              <w:t>centers</w:t>
            </w:r>
            <w:proofErr w:type="spellEnd"/>
          </w:p>
        </w:tc>
      </w:tr>
      <w:tr w:rsidR="006A4C7D" w:rsidRPr="006A4C7D" w14:paraId="0C471B25" w14:textId="77777777" w:rsidTr="005B6A90">
        <w:tc>
          <w:tcPr>
            <w:tcW w:w="1042" w:type="dxa"/>
          </w:tcPr>
          <w:p w14:paraId="4342A4AC" w14:textId="77777777" w:rsidR="006A4C7D" w:rsidRPr="006A4C7D" w:rsidRDefault="006A4C7D" w:rsidP="006A4C7D">
            <w:pPr>
              <w:widowControl w:val="0"/>
              <w:spacing w:line="276" w:lineRule="auto"/>
              <w:ind w:right="-47"/>
              <w:rPr>
                <w:rFonts w:asciiTheme="minorHAnsi" w:eastAsia="Arial" w:hAnsiTheme="minorHAnsi" w:cstheme="minorHAnsi"/>
                <w:sz w:val="18"/>
                <w:szCs w:val="18"/>
              </w:rPr>
            </w:pPr>
            <w:proofErr w:type="spellStart"/>
            <w:r w:rsidRPr="006A4C7D">
              <w:rPr>
                <w:rFonts w:eastAsia="Times New Roman"/>
                <w:b/>
                <w:color w:val="000000"/>
                <w:sz w:val="18"/>
                <w:szCs w:val="18"/>
              </w:rPr>
              <w:t>Joshee</w:t>
            </w:r>
            <w:proofErr w:type="spellEnd"/>
            <w:r w:rsidRPr="006A4C7D">
              <w:rPr>
                <w:rFonts w:eastAsia="Times New Roman"/>
                <w:b/>
                <w:color w:val="000000"/>
                <w:sz w:val="18"/>
                <w:szCs w:val="18"/>
              </w:rPr>
              <w:t xml:space="preserve"> 2022</w:t>
            </w:r>
          </w:p>
        </w:tc>
        <w:tc>
          <w:tcPr>
            <w:tcW w:w="1505" w:type="dxa"/>
          </w:tcPr>
          <w:p w14:paraId="6EB4276F" w14:textId="77777777" w:rsidR="006A4C7D" w:rsidRPr="006A4C7D" w:rsidRDefault="006A4C7D" w:rsidP="006A4C7D">
            <w:pPr>
              <w:widowControl w:val="0"/>
              <w:spacing w:line="276" w:lineRule="auto"/>
              <w:ind w:right="-109"/>
              <w:rPr>
                <w:rFonts w:asciiTheme="minorHAnsi" w:eastAsia="Arial" w:hAnsiTheme="minorHAnsi" w:cstheme="minorHAnsi"/>
                <w:sz w:val="18"/>
                <w:szCs w:val="18"/>
              </w:rPr>
            </w:pPr>
            <w:r w:rsidRPr="006A4C7D">
              <w:rPr>
                <w:rFonts w:eastAsia="Times New Roman"/>
                <w:i/>
                <w:color w:val="000000"/>
                <w:sz w:val="18"/>
                <w:szCs w:val="18"/>
              </w:rPr>
              <w:t>Long-Term Effects of COVID-19</w:t>
            </w:r>
          </w:p>
        </w:tc>
        <w:tc>
          <w:tcPr>
            <w:tcW w:w="7740" w:type="dxa"/>
          </w:tcPr>
          <w:p w14:paraId="1059BC12" w14:textId="77777777" w:rsidR="006A4C7D" w:rsidRPr="006A4C7D" w:rsidRDefault="006A4C7D" w:rsidP="006A4C7D">
            <w:pPr>
              <w:widowControl w:val="0"/>
              <w:spacing w:line="276" w:lineRule="auto"/>
              <w:ind w:right="-39"/>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 xml:space="preserve">Most common symptoms of long-term pulmonary sequelae include: fatigue, </w:t>
            </w:r>
            <w:proofErr w:type="spellStart"/>
            <w:r w:rsidRPr="006A4C7D">
              <w:rPr>
                <w:rFonts w:eastAsia="Times New Roman"/>
                <w:color w:val="000000" w:themeColor="text1"/>
                <w:sz w:val="18"/>
                <w:szCs w:val="18"/>
              </w:rPr>
              <w:t>dyspnea</w:t>
            </w:r>
            <w:proofErr w:type="spellEnd"/>
            <w:r w:rsidRPr="006A4C7D">
              <w:rPr>
                <w:rFonts w:eastAsia="Times New Roman"/>
                <w:color w:val="000000" w:themeColor="text1"/>
                <w:sz w:val="18"/>
                <w:szCs w:val="18"/>
              </w:rPr>
              <w:t>, and/or cough</w:t>
            </w:r>
          </w:p>
        </w:tc>
        <w:tc>
          <w:tcPr>
            <w:tcW w:w="7741" w:type="dxa"/>
          </w:tcPr>
          <w:p w14:paraId="5D90C3FF"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Presence of autoreactive antibodies</w:t>
            </w:r>
          </w:p>
          <w:p w14:paraId="15BBF617"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Inflammatory and metabolic changes to parenchyma, and supporting structures during initial infection</w:t>
            </w:r>
          </w:p>
          <w:p w14:paraId="66DC8BC6"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Sequelae mediated by hospitalization interventions</w:t>
            </w:r>
          </w:p>
          <w:p w14:paraId="35EB0658"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Immune-mediated damage to BBB &amp; thromboembolism</w:t>
            </w:r>
          </w:p>
          <w:p w14:paraId="145F2887"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Viral mediated hypoxia and damage to PNS leading to neuropsychiatric, cognitive and peripheral nerve pathologies</w:t>
            </w:r>
          </w:p>
          <w:p w14:paraId="21A26C41"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Inflammatory markers increase leakage and allow leukocyte infiltration and basement membrane modification</w:t>
            </w:r>
          </w:p>
          <w:p w14:paraId="6F1FCFB4"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Megakaryocytes in the parenchyma of alveolar tissue which may travel into the brain tissue due to endothelial disruption</w:t>
            </w:r>
          </w:p>
          <w:p w14:paraId="32702148"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 xml:space="preserve">Hypoxia due to hypercoagulable state leading to HIF - </w:t>
            </w:r>
            <w:r w:rsidRPr="006A4C7D">
              <w:rPr>
                <w:rFonts w:eastAsia="Times New Roman"/>
                <w:color w:val="000000" w:themeColor="text1"/>
                <w:sz w:val="18"/>
                <w:szCs w:val="18"/>
                <w:highlight w:val="yellow"/>
              </w:rPr>
              <w:t>I</w:t>
            </w:r>
            <w:r w:rsidRPr="006A4C7D">
              <w:rPr>
                <w:rFonts w:eastAsia="Times New Roman"/>
                <w:color w:val="000000" w:themeColor="text1"/>
                <w:sz w:val="18"/>
                <w:szCs w:val="18"/>
              </w:rPr>
              <w:t xml:space="preserve"> increase leading to increase in BBB permeability and prolonged cytokine release</w:t>
            </w:r>
          </w:p>
          <w:p w14:paraId="12B9886C"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Viral mediated parenchyma damage</w:t>
            </w:r>
          </w:p>
          <w:p w14:paraId="72B352BA"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 xml:space="preserve">Immune mediated microvascular damage leading to </w:t>
            </w:r>
            <w:proofErr w:type="spellStart"/>
            <w:r w:rsidRPr="006A4C7D">
              <w:rPr>
                <w:rFonts w:eastAsia="Times New Roman"/>
                <w:color w:val="000000" w:themeColor="text1"/>
                <w:sz w:val="18"/>
                <w:szCs w:val="18"/>
              </w:rPr>
              <w:t>dyspnea</w:t>
            </w:r>
            <w:proofErr w:type="spellEnd"/>
            <w:r w:rsidRPr="006A4C7D">
              <w:rPr>
                <w:rFonts w:eastAsia="Times New Roman"/>
                <w:color w:val="000000" w:themeColor="text1"/>
                <w:sz w:val="18"/>
                <w:szCs w:val="18"/>
              </w:rPr>
              <w:t>, hypoxia, fatigue, ground glass opacities and pulmonary fibrosis</w:t>
            </w:r>
            <w:r w:rsidRPr="006A4C7D">
              <w:rPr>
                <w:rFonts w:eastAsia="Times New Roman"/>
                <w:color w:val="000000" w:themeColor="text1"/>
                <w:sz w:val="18"/>
                <w:szCs w:val="18"/>
              </w:rPr>
              <w:br/>
              <w:t>a) Virus binds to ACE2- cells release DAMPs/PAMPs</w:t>
            </w:r>
            <w:r w:rsidRPr="006A4C7D">
              <w:rPr>
                <w:rFonts w:eastAsia="Times New Roman"/>
                <w:color w:val="000000" w:themeColor="text1"/>
                <w:sz w:val="18"/>
                <w:szCs w:val="18"/>
              </w:rPr>
              <w:br/>
              <w:t>b) Macrophages release ILI and TNF-alpha - neutrophils attracted to side</w:t>
            </w:r>
            <w:r w:rsidRPr="006A4C7D">
              <w:rPr>
                <w:rFonts w:eastAsia="Times New Roman"/>
                <w:color w:val="000000" w:themeColor="text1"/>
                <w:sz w:val="18"/>
                <w:szCs w:val="18"/>
              </w:rPr>
              <w:br/>
              <w:t>c) Neutrophils release chemokines, increasing vascular permeability  Differentiation of fibroblasts into myofibroblasts</w:t>
            </w:r>
            <w:r w:rsidRPr="006A4C7D">
              <w:rPr>
                <w:rFonts w:eastAsia="Times New Roman"/>
                <w:color w:val="000000" w:themeColor="text1"/>
                <w:sz w:val="18"/>
                <w:szCs w:val="18"/>
              </w:rPr>
              <w:br/>
              <w:t xml:space="preserve">d) Release of protein-rich exudate to interstitial space </w:t>
            </w:r>
            <w:r w:rsidRPr="006A4C7D">
              <w:rPr>
                <w:rFonts w:eastAsia="Times New Roman"/>
                <w:color w:val="000000" w:themeColor="text1"/>
                <w:sz w:val="18"/>
                <w:szCs w:val="18"/>
              </w:rPr>
              <w:br/>
              <w:t>e) Myofibroblasts release collagen, fibronectin and ECM in response to TGF-BETA</w:t>
            </w:r>
          </w:p>
          <w:p w14:paraId="64798BF3"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Immune mediated endothelial dysfunction leading to venous, arterial, pulmonary thromboembolisms</w:t>
            </w:r>
          </w:p>
          <w:p w14:paraId="25FAD626" w14:textId="77777777" w:rsidR="006A4C7D" w:rsidRPr="006A4C7D" w:rsidRDefault="006A4C7D" w:rsidP="006A4C7D">
            <w:pPr>
              <w:widowControl w:val="0"/>
              <w:numPr>
                <w:ilvl w:val="0"/>
                <w:numId w:val="3"/>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Innate immune system activation of type 1 interferon fuels pro-inflammatory and pro-</w:t>
            </w:r>
            <w:proofErr w:type="spellStart"/>
            <w:r w:rsidRPr="006A4C7D">
              <w:rPr>
                <w:rFonts w:eastAsia="Times New Roman"/>
                <w:color w:val="000000" w:themeColor="text1"/>
                <w:sz w:val="18"/>
                <w:szCs w:val="18"/>
              </w:rPr>
              <w:t>coagulartion</w:t>
            </w:r>
            <w:proofErr w:type="spellEnd"/>
            <w:r w:rsidRPr="006A4C7D">
              <w:rPr>
                <w:rFonts w:eastAsia="Times New Roman"/>
                <w:color w:val="000000" w:themeColor="text1"/>
                <w:sz w:val="18"/>
                <w:szCs w:val="18"/>
              </w:rPr>
              <w:t xml:space="preserve"> processes through endothelial cell dysfunction, </w:t>
            </w:r>
            <w:proofErr w:type="spellStart"/>
            <w:r w:rsidRPr="006A4C7D">
              <w:rPr>
                <w:rFonts w:eastAsia="Times New Roman"/>
                <w:color w:val="000000" w:themeColor="text1"/>
                <w:sz w:val="18"/>
                <w:szCs w:val="18"/>
              </w:rPr>
              <w:t>endothelialitis</w:t>
            </w:r>
            <w:proofErr w:type="spellEnd"/>
            <w:r w:rsidRPr="006A4C7D">
              <w:rPr>
                <w:rFonts w:eastAsia="Times New Roman"/>
                <w:color w:val="000000" w:themeColor="text1"/>
                <w:sz w:val="18"/>
                <w:szCs w:val="18"/>
              </w:rPr>
              <w:t>, capillary leakage</w:t>
            </w:r>
          </w:p>
          <w:p w14:paraId="22F646B9" w14:textId="77777777" w:rsidR="006A4C7D" w:rsidRPr="006A4C7D" w:rsidRDefault="006A4C7D" w:rsidP="006A4C7D">
            <w:pPr>
              <w:widowControl w:val="0"/>
              <w:spacing w:line="276" w:lineRule="auto"/>
              <w:ind w:left="-37" w:right="-112"/>
              <w:rPr>
                <w:rFonts w:eastAsia="Times New Roman"/>
                <w:color w:val="000000" w:themeColor="text1"/>
                <w:sz w:val="18"/>
                <w:szCs w:val="18"/>
              </w:rPr>
            </w:pPr>
            <w:r w:rsidRPr="006A4C7D">
              <w:rPr>
                <w:rFonts w:eastAsia="Times New Roman"/>
                <w:color w:val="000000" w:themeColor="text1"/>
                <w:sz w:val="18"/>
                <w:szCs w:val="18"/>
              </w:rPr>
              <w:t xml:space="preserve">Viral mediated parenchyma </w:t>
            </w:r>
            <w:proofErr w:type="gramStart"/>
            <w:r w:rsidRPr="006A4C7D">
              <w:rPr>
                <w:rFonts w:eastAsia="Times New Roman"/>
                <w:color w:val="000000" w:themeColor="text1"/>
                <w:sz w:val="18"/>
                <w:szCs w:val="18"/>
              </w:rPr>
              <w:t>damage;</w:t>
            </w:r>
            <w:proofErr w:type="gramEnd"/>
            <w:r w:rsidRPr="006A4C7D">
              <w:rPr>
                <w:rFonts w:eastAsia="Times New Roman"/>
                <w:color w:val="000000" w:themeColor="text1"/>
                <w:sz w:val="18"/>
                <w:szCs w:val="18"/>
              </w:rPr>
              <w:t xml:space="preserve"> immune mediated microvascular damage leading to AKI, glomerular and tubular diseases</w:t>
            </w:r>
            <w:r w:rsidRPr="006A4C7D">
              <w:rPr>
                <w:rFonts w:eastAsia="Times New Roman"/>
                <w:color w:val="000000" w:themeColor="text1"/>
                <w:sz w:val="18"/>
                <w:szCs w:val="18"/>
              </w:rPr>
              <w:br/>
              <w:t>a) ACE2 receptors in the proximal tubule apical brush border and podocytes</w:t>
            </w:r>
            <w:r w:rsidRPr="006A4C7D">
              <w:rPr>
                <w:rFonts w:eastAsia="Times New Roman"/>
                <w:color w:val="000000" w:themeColor="text1"/>
                <w:sz w:val="18"/>
                <w:szCs w:val="18"/>
              </w:rPr>
              <w:br/>
              <w:t>b) “second-hit phenomenon”  where black patients with the high risk APOLI variant who also had COVID-19 are at an increased risk of collapsed glomerulopathy</w:t>
            </w:r>
            <w:r w:rsidRPr="006A4C7D">
              <w:rPr>
                <w:rFonts w:eastAsia="Times New Roman"/>
                <w:color w:val="000000" w:themeColor="text1"/>
                <w:sz w:val="18"/>
                <w:szCs w:val="18"/>
              </w:rPr>
              <w:br/>
              <w:t>c) Indirect mechanisms such as fluid imbalance, mechanical ventilation and organ crosstalk</w:t>
            </w:r>
          </w:p>
          <w:p w14:paraId="5D03F5A8" w14:textId="77777777" w:rsidR="006A4C7D" w:rsidRPr="006A4C7D" w:rsidRDefault="006A4C7D" w:rsidP="006A4C7D">
            <w:pPr>
              <w:widowControl w:val="0"/>
              <w:numPr>
                <w:ilvl w:val="0"/>
                <w:numId w:val="4"/>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Viral mediated insulin decreases and resistance</w:t>
            </w:r>
          </w:p>
          <w:p w14:paraId="7BF40EAF" w14:textId="77777777" w:rsidR="006A4C7D" w:rsidRPr="006A4C7D" w:rsidRDefault="006A4C7D" w:rsidP="006A4C7D">
            <w:pPr>
              <w:widowControl w:val="0"/>
              <w:numPr>
                <w:ilvl w:val="0"/>
                <w:numId w:val="4"/>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Immune-mediated endocrine parenchymal destruction leading to new-onset diabetes, worsening pre-existing diabetes, DKA, subacute thyroiditis, graves thyrotoxicosis</w:t>
            </w:r>
            <w:r w:rsidRPr="006A4C7D">
              <w:rPr>
                <w:rFonts w:eastAsia="Times New Roman"/>
                <w:color w:val="000000" w:themeColor="text1"/>
                <w:sz w:val="18"/>
                <w:szCs w:val="18"/>
              </w:rPr>
              <w:br/>
              <w:t>a) DKA development via downregulation of ACE2 receptors and damage of beta-islet during viral entry</w:t>
            </w:r>
            <w:r w:rsidRPr="006A4C7D">
              <w:rPr>
                <w:rFonts w:eastAsia="Times New Roman"/>
                <w:color w:val="000000" w:themeColor="text1"/>
                <w:sz w:val="18"/>
                <w:szCs w:val="18"/>
              </w:rPr>
              <w:br/>
              <w:t>b) ACE2 absence leads to unopposed angiotensin2 effects which impedes insulin secretion</w:t>
            </w:r>
            <w:r w:rsidRPr="006A4C7D">
              <w:rPr>
                <w:rFonts w:eastAsia="Times New Roman"/>
                <w:color w:val="000000" w:themeColor="text1"/>
                <w:sz w:val="18"/>
                <w:szCs w:val="18"/>
              </w:rPr>
              <w:br/>
              <w:t>c) Viral infections also induce insulin resistance to promote anti-viral effector CD8+ T-cells</w:t>
            </w:r>
            <w:r w:rsidRPr="006A4C7D">
              <w:rPr>
                <w:rFonts w:eastAsia="Times New Roman"/>
                <w:color w:val="000000" w:themeColor="text1"/>
                <w:sz w:val="18"/>
                <w:szCs w:val="18"/>
              </w:rPr>
              <w:br/>
              <w:t xml:space="preserve">d) Thyroid effects due to ACE/TMPSSR2 expression, secondary to HPA </w:t>
            </w:r>
            <w:proofErr w:type="spellStart"/>
            <w:r w:rsidRPr="006A4C7D">
              <w:rPr>
                <w:rFonts w:eastAsia="Times New Roman"/>
                <w:color w:val="000000" w:themeColor="text1"/>
                <w:sz w:val="18"/>
                <w:szCs w:val="18"/>
              </w:rPr>
              <w:t>axs</w:t>
            </w:r>
            <w:proofErr w:type="spellEnd"/>
            <w:r w:rsidRPr="006A4C7D">
              <w:rPr>
                <w:rFonts w:eastAsia="Times New Roman"/>
                <w:color w:val="000000" w:themeColor="text1"/>
                <w:sz w:val="18"/>
                <w:szCs w:val="18"/>
              </w:rPr>
              <w:t xml:space="preserve"> insult, or host inflammatory </w:t>
            </w:r>
            <w:r w:rsidRPr="006A4C7D">
              <w:rPr>
                <w:rFonts w:eastAsia="Times New Roman"/>
                <w:color w:val="000000" w:themeColor="text1"/>
                <w:sz w:val="18"/>
                <w:szCs w:val="18"/>
              </w:rPr>
              <w:lastRenderedPageBreak/>
              <w:t>cytokine storm</w:t>
            </w:r>
          </w:p>
          <w:p w14:paraId="5CE45BEA" w14:textId="77777777" w:rsidR="006A4C7D" w:rsidRPr="006A4C7D" w:rsidRDefault="006A4C7D" w:rsidP="006A4C7D">
            <w:pPr>
              <w:widowControl w:val="0"/>
              <w:numPr>
                <w:ilvl w:val="0"/>
                <w:numId w:val="4"/>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Immune-mediated myocardial and microvascular destruction leading to chest pain, palpitations, pericarditis, myocarditis, fibrosis, arrythmias/death</w:t>
            </w:r>
            <w:r w:rsidRPr="006A4C7D">
              <w:rPr>
                <w:rFonts w:eastAsia="Times New Roman"/>
                <w:color w:val="000000" w:themeColor="text1"/>
                <w:sz w:val="18"/>
                <w:szCs w:val="18"/>
              </w:rPr>
              <w:br/>
              <w:t>a) Endothelial cell disruption similar to pulmonary</w:t>
            </w:r>
            <w:r w:rsidRPr="006A4C7D">
              <w:rPr>
                <w:rFonts w:eastAsia="Times New Roman"/>
                <w:color w:val="000000" w:themeColor="text1"/>
                <w:sz w:val="18"/>
                <w:szCs w:val="18"/>
              </w:rPr>
              <w:br/>
              <w:t>b) Increased cardiometabolic demand leading to myocardial injury via hypoxia and overuse</w:t>
            </w:r>
            <w:r w:rsidRPr="006A4C7D">
              <w:rPr>
                <w:rFonts w:eastAsia="Times New Roman"/>
                <w:color w:val="000000" w:themeColor="text1"/>
                <w:sz w:val="18"/>
                <w:szCs w:val="18"/>
              </w:rPr>
              <w:br/>
              <w:t>c) Chronic myocarditis and IL6 leads to fibrofatty replacement</w:t>
            </w:r>
            <w:r w:rsidRPr="006A4C7D">
              <w:rPr>
                <w:rFonts w:eastAsia="Times New Roman"/>
                <w:color w:val="000000" w:themeColor="text1"/>
                <w:sz w:val="18"/>
                <w:szCs w:val="18"/>
              </w:rPr>
              <w:br/>
              <w:t xml:space="preserve">d) Fibrofatty replacement leads to </w:t>
            </w:r>
            <w:proofErr w:type="spellStart"/>
            <w:r w:rsidRPr="006A4C7D">
              <w:rPr>
                <w:rFonts w:eastAsia="Times New Roman"/>
                <w:color w:val="000000" w:themeColor="text1"/>
                <w:sz w:val="18"/>
                <w:szCs w:val="18"/>
              </w:rPr>
              <w:t>reentrant</w:t>
            </w:r>
            <w:proofErr w:type="spellEnd"/>
            <w:r w:rsidRPr="006A4C7D">
              <w:rPr>
                <w:rFonts w:eastAsia="Times New Roman"/>
                <w:color w:val="000000" w:themeColor="text1"/>
                <w:sz w:val="18"/>
                <w:szCs w:val="18"/>
              </w:rPr>
              <w:t xml:space="preserve"> arrythmias and sudden cardiac arrest and death</w:t>
            </w:r>
            <w:r w:rsidRPr="006A4C7D">
              <w:rPr>
                <w:rFonts w:eastAsia="Times New Roman"/>
                <w:color w:val="000000" w:themeColor="text1"/>
                <w:sz w:val="18"/>
                <w:szCs w:val="18"/>
              </w:rPr>
              <w:br/>
              <w:t>e) Medications also induce cardiotoxicity and electrolyte imbalances</w:t>
            </w:r>
          </w:p>
          <w:p w14:paraId="3FA70217" w14:textId="77777777" w:rsidR="006A4C7D" w:rsidRPr="006A4C7D" w:rsidRDefault="006A4C7D" w:rsidP="006A4C7D">
            <w:pPr>
              <w:widowControl w:val="0"/>
              <w:numPr>
                <w:ilvl w:val="0"/>
                <w:numId w:val="4"/>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 xml:space="preserve">Viral mediated alterations in </w:t>
            </w:r>
            <w:proofErr w:type="spellStart"/>
            <w:r w:rsidRPr="006A4C7D">
              <w:rPr>
                <w:rFonts w:eastAsia="Times New Roman"/>
                <w:color w:val="000000" w:themeColor="text1"/>
                <w:sz w:val="18"/>
                <w:szCs w:val="18"/>
              </w:rPr>
              <w:t>fecal</w:t>
            </w:r>
            <w:proofErr w:type="spellEnd"/>
            <w:r w:rsidRPr="006A4C7D">
              <w:rPr>
                <w:rFonts w:eastAsia="Times New Roman"/>
                <w:color w:val="000000" w:themeColor="text1"/>
                <w:sz w:val="18"/>
                <w:szCs w:val="18"/>
              </w:rPr>
              <w:t xml:space="preserve"> microbiota - mechanism is unknown. </w:t>
            </w:r>
          </w:p>
          <w:p w14:paraId="0507FD48" w14:textId="77777777" w:rsidR="006A4C7D" w:rsidRPr="006A4C7D" w:rsidRDefault="006A4C7D" w:rsidP="006A4C7D">
            <w:pPr>
              <w:widowControl w:val="0"/>
              <w:numPr>
                <w:ilvl w:val="0"/>
                <w:numId w:val="4"/>
              </w:numPr>
              <w:spacing w:line="276" w:lineRule="auto"/>
              <w:ind w:left="105" w:right="-112" w:hanging="142"/>
              <w:contextualSpacing/>
              <w:rPr>
                <w:rFonts w:asciiTheme="minorHAnsi" w:eastAsia="Arial" w:hAnsiTheme="minorHAnsi" w:cstheme="minorHAnsi"/>
                <w:color w:val="000000" w:themeColor="text1"/>
                <w:sz w:val="18"/>
                <w:szCs w:val="18"/>
              </w:rPr>
            </w:pPr>
            <w:r w:rsidRPr="006A4C7D">
              <w:rPr>
                <w:rFonts w:eastAsia="Times New Roman"/>
                <w:color w:val="000000" w:themeColor="text1"/>
                <w:sz w:val="18"/>
                <w:szCs w:val="18"/>
              </w:rPr>
              <w:t>Immune-mediated microvascular dysfunction leading to hair loss, skin rash, urticarial lesions, angioedema</w:t>
            </w:r>
            <w:r w:rsidRPr="006A4C7D">
              <w:rPr>
                <w:rFonts w:eastAsia="Times New Roman"/>
                <w:color w:val="000000" w:themeColor="text1"/>
                <w:sz w:val="18"/>
                <w:szCs w:val="18"/>
              </w:rPr>
              <w:br/>
              <w:t xml:space="preserve">a) Microvascular vasculitis from complement system activation, protein deposition in dermal capillaries, or direct viral effects </w:t>
            </w:r>
            <w:r w:rsidRPr="006A4C7D">
              <w:rPr>
                <w:rFonts w:eastAsia="Times New Roman"/>
                <w:color w:val="000000" w:themeColor="text1"/>
                <w:sz w:val="18"/>
                <w:szCs w:val="18"/>
              </w:rPr>
              <w:br/>
              <w:t>b) Hair loss due to COVID-19 has been attributed to telogen effluvium</w:t>
            </w:r>
            <w:r w:rsidRPr="006A4C7D">
              <w:rPr>
                <w:rFonts w:eastAsia="Times New Roman"/>
                <w:color w:val="000000" w:themeColor="text1"/>
                <w:sz w:val="18"/>
                <w:szCs w:val="18"/>
              </w:rPr>
              <w:br/>
              <w:t>c) Urticaria or angioedema may include a combination of post infectious immune dysregulation, adverse drug reactions, interruptions in urticaria therapy (omalizumab or oral antihistamine) or pandemic related stress. CD8+ T-cells ACE/TMPSSR2 inflammatory cytokine storm inflammatory Immune-mediated microvascular dysfunction; viral mediated effects unknown; stress</w:t>
            </w:r>
          </w:p>
        </w:tc>
        <w:tc>
          <w:tcPr>
            <w:tcW w:w="4637" w:type="dxa"/>
          </w:tcPr>
          <w:p w14:paraId="1E8C6D3A" w14:textId="77777777" w:rsidR="006A4C7D" w:rsidRPr="006A4C7D" w:rsidRDefault="006A4C7D" w:rsidP="006A4C7D">
            <w:pPr>
              <w:widowControl w:val="0"/>
              <w:spacing w:line="276" w:lineRule="auto"/>
              <w:ind w:right="-89"/>
              <w:rPr>
                <w:rFonts w:asciiTheme="minorHAnsi" w:eastAsia="Arial" w:hAnsiTheme="minorHAnsi" w:cstheme="minorHAnsi"/>
                <w:b/>
                <w:sz w:val="18"/>
                <w:szCs w:val="18"/>
              </w:rPr>
            </w:pPr>
            <w:r w:rsidRPr="006A4C7D">
              <w:rPr>
                <w:rFonts w:eastAsia="Times New Roman"/>
                <w:b/>
                <w:color w:val="000000"/>
                <w:sz w:val="18"/>
                <w:szCs w:val="18"/>
              </w:rPr>
              <w:lastRenderedPageBreak/>
              <w:t>Recommendation of interdisciplinary monitoring required for all patients to detect post-acute covid-19 symptoms before long term systemic damage occurs.</w:t>
            </w:r>
          </w:p>
        </w:tc>
      </w:tr>
      <w:tr w:rsidR="006A4C7D" w:rsidRPr="006A4C7D" w14:paraId="01776346" w14:textId="77777777" w:rsidTr="005B6A90">
        <w:tc>
          <w:tcPr>
            <w:tcW w:w="1042" w:type="dxa"/>
          </w:tcPr>
          <w:p w14:paraId="1EE92273" w14:textId="77777777"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t>Tesarz</w:t>
            </w:r>
            <w:proofErr w:type="spellEnd"/>
            <w:r w:rsidRPr="006A4C7D">
              <w:rPr>
                <w:rFonts w:eastAsia="Times New Roman"/>
                <w:b/>
                <w:color w:val="000000"/>
                <w:sz w:val="18"/>
                <w:szCs w:val="18"/>
              </w:rPr>
              <w:t xml:space="preserve"> 2022</w:t>
            </w:r>
          </w:p>
        </w:tc>
        <w:tc>
          <w:tcPr>
            <w:tcW w:w="1505" w:type="dxa"/>
          </w:tcPr>
          <w:p w14:paraId="70DB5E9B"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Pain, the brain, and SARS-CoV-2: evidence for pain-specific alterations in brain-related structure-function properties</w:t>
            </w:r>
          </w:p>
        </w:tc>
        <w:tc>
          <w:tcPr>
            <w:tcW w:w="7740" w:type="dxa"/>
          </w:tcPr>
          <w:p w14:paraId="2AC94F6E" w14:textId="77777777" w:rsidR="006A4C7D" w:rsidRPr="006A4C7D" w:rsidRDefault="006A4C7D" w:rsidP="006A4C7D">
            <w:pPr>
              <w:widowControl w:val="0"/>
              <w:spacing w:line="276" w:lineRule="auto"/>
              <w:ind w:right="-39"/>
              <w:rPr>
                <w:rFonts w:eastAsia="Times New Roman"/>
                <w:color w:val="000000" w:themeColor="text1"/>
                <w:sz w:val="18"/>
                <w:szCs w:val="18"/>
              </w:rPr>
            </w:pPr>
            <w:r w:rsidRPr="006A4C7D">
              <w:rPr>
                <w:rFonts w:eastAsia="Times New Roman"/>
                <w:color w:val="000000"/>
                <w:sz w:val="18"/>
                <w:szCs w:val="18"/>
              </w:rPr>
              <w:t>Persistent headache and musculoskeletal pain - time trend analyses indicate a biphasic course with a decrease in pain symptoms at the end of the first month after the initial COVID infection, a renewed increase after the end of the 2nd month, and with a second decrease more than six months after the acute disease phase. 15-20% of those with critical COVID subsequently develop chronic pain conditions.</w:t>
            </w:r>
          </w:p>
        </w:tc>
        <w:tc>
          <w:tcPr>
            <w:tcW w:w="7741" w:type="dxa"/>
          </w:tcPr>
          <w:p w14:paraId="07F8F0D4" w14:textId="77777777" w:rsidR="006A4C7D" w:rsidRPr="006A4C7D" w:rsidRDefault="006A4C7D" w:rsidP="006A4C7D">
            <w:pPr>
              <w:widowControl w:val="0"/>
              <w:spacing w:line="276" w:lineRule="auto"/>
              <w:ind w:right="-112"/>
              <w:rPr>
                <w:rFonts w:eastAsia="Times New Roman"/>
                <w:color w:val="000000" w:themeColor="text1"/>
                <w:sz w:val="18"/>
                <w:szCs w:val="18"/>
              </w:rPr>
            </w:pPr>
            <w:r w:rsidRPr="006A4C7D">
              <w:rPr>
                <w:rFonts w:eastAsia="Times New Roman"/>
                <w:color w:val="000000"/>
                <w:sz w:val="18"/>
                <w:szCs w:val="18"/>
              </w:rPr>
              <w:t>Manifest structural damage in the context of acute COVID-19:</w:t>
            </w:r>
          </w:p>
          <w:p w14:paraId="743B9B87"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Leukoencephalopathy and cerebral microbleeds are the most common MRI findings in the literature in patients with COVID-19 who have severe disease and a long duration of ventilation. </w:t>
            </w:r>
          </w:p>
          <w:p w14:paraId="2DCA71D2"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Nonspecific white matter changes, preferentially localized in the frontal, parietal and temporal lobes  and with a clustered localization in the subcortical white matter as well as in the corpus callosum and </w:t>
            </w:r>
            <w:proofErr w:type="gramStart"/>
            <w:r w:rsidRPr="006A4C7D">
              <w:rPr>
                <w:rFonts w:eastAsia="Times New Roman"/>
                <w:color w:val="000000"/>
                <w:sz w:val="18"/>
                <w:szCs w:val="18"/>
              </w:rPr>
              <w:t>thalami</w:t>
            </w:r>
            <w:proofErr w:type="gramEnd"/>
          </w:p>
          <w:p w14:paraId="4A7D4ECB"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Hypoxemia </w:t>
            </w:r>
          </w:p>
          <w:p w14:paraId="4444A2DA"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Abnormalities of the corpus callosum due to COVID-19 may affect brain networks crucial for pain, which could, in the long run, increase the vulnerability for pain problems. </w:t>
            </w:r>
          </w:p>
          <w:p w14:paraId="18286E9F"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More widespread decrease in cerebral blood flow in the subcortical nuclei (mainly located in the striatum and amygdala) compared to less severe patients. These regions of the insula perform a variety of functions, ranging from sensory and affective processing to high-level cognition, including pain processing. </w:t>
            </w:r>
          </w:p>
          <w:p w14:paraId="6228930A" w14:textId="77777777" w:rsidR="006A4C7D" w:rsidRPr="006A4C7D" w:rsidRDefault="006A4C7D" w:rsidP="006A4C7D">
            <w:pPr>
              <w:widowControl w:val="0"/>
              <w:spacing w:line="276" w:lineRule="auto"/>
              <w:ind w:right="-112"/>
              <w:rPr>
                <w:rFonts w:eastAsia="Times New Roman"/>
                <w:color w:val="000000" w:themeColor="text1"/>
                <w:sz w:val="18"/>
                <w:szCs w:val="18"/>
              </w:rPr>
            </w:pPr>
            <w:r w:rsidRPr="006A4C7D">
              <w:rPr>
                <w:rFonts w:eastAsia="Times New Roman"/>
                <w:color w:val="000000"/>
                <w:sz w:val="18"/>
                <w:szCs w:val="18"/>
              </w:rPr>
              <w:t xml:space="preserve">Histopathological brain studies of COVID-19 fatalities: </w:t>
            </w:r>
          </w:p>
          <w:p w14:paraId="499DD933"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proofErr w:type="spellStart"/>
            <w:r w:rsidRPr="006A4C7D">
              <w:rPr>
                <w:rFonts w:eastAsia="Times New Roman"/>
                <w:color w:val="000000"/>
                <w:sz w:val="18"/>
                <w:szCs w:val="18"/>
              </w:rPr>
              <w:t>Cascular</w:t>
            </w:r>
            <w:proofErr w:type="spellEnd"/>
            <w:r w:rsidRPr="006A4C7D">
              <w:rPr>
                <w:rFonts w:eastAsia="Times New Roman"/>
                <w:color w:val="000000"/>
                <w:sz w:val="18"/>
                <w:szCs w:val="18"/>
              </w:rPr>
              <w:t xml:space="preserve"> changes</w:t>
            </w:r>
          </w:p>
          <w:p w14:paraId="47A248F4"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proofErr w:type="spellStart"/>
            <w:r w:rsidRPr="006A4C7D">
              <w:rPr>
                <w:rFonts w:eastAsia="Times New Roman"/>
                <w:color w:val="000000"/>
                <w:sz w:val="18"/>
                <w:szCs w:val="18"/>
              </w:rPr>
              <w:t>Hyperemia</w:t>
            </w:r>
            <w:proofErr w:type="spellEnd"/>
            <w:r w:rsidRPr="006A4C7D">
              <w:rPr>
                <w:rFonts w:eastAsia="Times New Roman"/>
                <w:color w:val="000000"/>
                <w:sz w:val="18"/>
                <w:szCs w:val="18"/>
              </w:rPr>
              <w:t xml:space="preserve"> of the meninges</w:t>
            </w:r>
          </w:p>
          <w:p w14:paraId="37D580CC"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Perivascular inflammation in brain parenchyma with hypoxic neuronal damage</w:t>
            </w:r>
          </w:p>
          <w:p w14:paraId="14BAE8E1"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Perivascular haemorrhage</w:t>
            </w:r>
          </w:p>
          <w:p w14:paraId="6184C040"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Gray matter disruption</w:t>
            </w:r>
          </w:p>
          <w:p w14:paraId="3CD04026"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Blood-brain barrier damage. </w:t>
            </w:r>
          </w:p>
          <w:p w14:paraId="1C39D709"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Brain changes caused by COVID-19 have been termed cerebral COVID-19 angiopathy with diffuse inflammation; such inflammatory changes concentrated in cerebral cortex, cerebellum, basal nuclei, and brainstem. Increased vascular permeability may be due to cytokine storm triggering </w:t>
            </w:r>
            <w:proofErr w:type="spellStart"/>
            <w:r w:rsidRPr="006A4C7D">
              <w:rPr>
                <w:rFonts w:eastAsia="Times New Roman"/>
                <w:color w:val="000000"/>
                <w:sz w:val="18"/>
                <w:szCs w:val="18"/>
              </w:rPr>
              <w:t>endothelitis</w:t>
            </w:r>
            <w:proofErr w:type="spellEnd"/>
            <w:r w:rsidRPr="006A4C7D">
              <w:rPr>
                <w:rFonts w:eastAsia="Times New Roman"/>
                <w:color w:val="000000"/>
                <w:sz w:val="18"/>
                <w:szCs w:val="18"/>
              </w:rPr>
              <w:t xml:space="preserve"> and general </w:t>
            </w:r>
            <w:proofErr w:type="spellStart"/>
            <w:r w:rsidRPr="006A4C7D">
              <w:rPr>
                <w:rFonts w:eastAsia="Times New Roman"/>
                <w:color w:val="000000"/>
                <w:sz w:val="18"/>
                <w:szCs w:val="18"/>
              </w:rPr>
              <w:t>vasculopathic</w:t>
            </w:r>
            <w:proofErr w:type="spellEnd"/>
            <w:r w:rsidRPr="006A4C7D">
              <w:rPr>
                <w:rFonts w:eastAsia="Times New Roman"/>
                <w:color w:val="000000"/>
                <w:sz w:val="18"/>
                <w:szCs w:val="18"/>
              </w:rPr>
              <w:t xml:space="preserve"> changes. </w:t>
            </w:r>
          </w:p>
          <w:p w14:paraId="71FB36F4" w14:textId="77777777" w:rsidR="006A4C7D" w:rsidRPr="006A4C7D" w:rsidRDefault="006A4C7D" w:rsidP="006A4C7D">
            <w:pPr>
              <w:widowControl w:val="0"/>
              <w:spacing w:line="276" w:lineRule="auto"/>
              <w:ind w:right="-112"/>
              <w:rPr>
                <w:rFonts w:eastAsia="Times New Roman"/>
                <w:color w:val="000000" w:themeColor="text1"/>
                <w:sz w:val="18"/>
                <w:szCs w:val="18"/>
              </w:rPr>
            </w:pPr>
            <w:r w:rsidRPr="006A4C7D">
              <w:rPr>
                <w:rFonts w:eastAsia="Times New Roman"/>
                <w:color w:val="000000"/>
                <w:sz w:val="18"/>
                <w:szCs w:val="18"/>
              </w:rPr>
              <w:t xml:space="preserve">EEG findings: </w:t>
            </w:r>
          </w:p>
          <w:p w14:paraId="4D7821CE"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Abnormal background activity</w:t>
            </w:r>
          </w:p>
          <w:p w14:paraId="14B5BCB9"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Slow frontal waves associated with metabolic and toxic encephalopathies</w:t>
            </w:r>
          </w:p>
          <w:p w14:paraId="1B15B35E"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No evidence of COVID-19 increasing neuronal excitability. No specific association with persistent headache or other pain disorders identified.</w:t>
            </w:r>
          </w:p>
          <w:p w14:paraId="2A8ECC6E" w14:textId="77777777" w:rsidR="006A4C7D" w:rsidRPr="006A4C7D" w:rsidRDefault="006A4C7D" w:rsidP="006A4C7D">
            <w:pPr>
              <w:widowControl w:val="0"/>
              <w:spacing w:line="276" w:lineRule="auto"/>
              <w:ind w:right="-112"/>
              <w:rPr>
                <w:rFonts w:eastAsia="Times New Roman"/>
                <w:color w:val="000000" w:themeColor="text1"/>
                <w:sz w:val="18"/>
                <w:szCs w:val="18"/>
              </w:rPr>
            </w:pPr>
            <w:r w:rsidRPr="006A4C7D">
              <w:rPr>
                <w:rFonts w:eastAsia="Times New Roman"/>
                <w:color w:val="000000"/>
                <w:sz w:val="18"/>
                <w:szCs w:val="18"/>
              </w:rPr>
              <w:t>Persistent hypometabolism in PET imaging:</w:t>
            </w:r>
          </w:p>
          <w:p w14:paraId="4345630A"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 PET scans of 7 patients with COVID-19 related encephalopathy indicated impairment in cerebral glucose metabolism 6 months after disease</w:t>
            </w:r>
          </w:p>
          <w:p w14:paraId="57F5509F"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PET analyses consistently show pattern of cerebral hypometabolism which appears to be associated with persistent pain</w:t>
            </w:r>
          </w:p>
          <w:p w14:paraId="7922C35E"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lastRenderedPageBreak/>
              <w:t>Consistent pattern of hypometabolism after 6 months in frontal cortex, anterior cingulate, insula, and caudate nucleus (</w:t>
            </w:r>
          </w:p>
          <w:p w14:paraId="45ADE4A9"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One study of two-thirds of patients with persistent pain identified four regional hypometabolic clusters: (</w:t>
            </w:r>
            <w:proofErr w:type="spellStart"/>
            <w:r w:rsidRPr="006A4C7D">
              <w:rPr>
                <w:rFonts w:eastAsia="Times New Roman"/>
                <w:color w:val="000000"/>
                <w:sz w:val="18"/>
                <w:szCs w:val="18"/>
              </w:rPr>
              <w:t>i</w:t>
            </w:r>
            <w:proofErr w:type="spellEnd"/>
            <w:r w:rsidRPr="006A4C7D">
              <w:rPr>
                <w:rFonts w:eastAsia="Times New Roman"/>
                <w:color w:val="000000"/>
                <w:sz w:val="18"/>
                <w:szCs w:val="18"/>
              </w:rPr>
              <w:t xml:space="preserve">) frontal cluster - bilateral rectal/orbital gyrus, including the olfactory gyrus; (ii) right temporal cluster - right temporal lobe, including the amygdala and hippocampus, extending to the right thalamus; (iii) brainstem cluster - bilateral pons/medulla </w:t>
            </w:r>
            <w:proofErr w:type="spellStart"/>
            <w:r w:rsidRPr="006A4C7D">
              <w:rPr>
                <w:rFonts w:eastAsia="Times New Roman"/>
                <w:color w:val="000000"/>
                <w:sz w:val="18"/>
                <w:szCs w:val="18"/>
              </w:rPr>
              <w:t>brainstemregion</w:t>
            </w:r>
            <w:proofErr w:type="spellEnd"/>
            <w:r w:rsidRPr="006A4C7D">
              <w:rPr>
                <w:rFonts w:eastAsia="Times New Roman"/>
                <w:color w:val="000000"/>
                <w:sz w:val="18"/>
                <w:szCs w:val="18"/>
              </w:rPr>
              <w:t>; (iv) cerebellar cluster - bilateral cerebellum.</w:t>
            </w:r>
          </w:p>
          <w:p w14:paraId="3B29F672"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Persistent pain associated with lower metabolic values in all four clusters. </w:t>
            </w:r>
          </w:p>
          <w:p w14:paraId="53E03F17" w14:textId="77777777" w:rsidR="006A4C7D" w:rsidRPr="006A4C7D" w:rsidRDefault="006A4C7D" w:rsidP="006A4C7D">
            <w:pPr>
              <w:widowControl w:val="0"/>
              <w:spacing w:line="276" w:lineRule="auto"/>
              <w:ind w:right="-112"/>
              <w:rPr>
                <w:rFonts w:eastAsia="Times New Roman"/>
                <w:color w:val="000000" w:themeColor="text1"/>
                <w:sz w:val="18"/>
                <w:szCs w:val="18"/>
              </w:rPr>
            </w:pPr>
            <w:r w:rsidRPr="006A4C7D">
              <w:rPr>
                <w:rFonts w:eastAsia="Times New Roman"/>
                <w:color w:val="000000"/>
                <w:sz w:val="18"/>
                <w:szCs w:val="18"/>
              </w:rPr>
              <w:t xml:space="preserve">Cerebral </w:t>
            </w:r>
            <w:proofErr w:type="spellStart"/>
            <w:r w:rsidRPr="006A4C7D">
              <w:rPr>
                <w:rFonts w:eastAsia="Times New Roman"/>
                <w:color w:val="000000"/>
                <w:sz w:val="18"/>
                <w:szCs w:val="18"/>
              </w:rPr>
              <w:t>hemodynamics</w:t>
            </w:r>
            <w:proofErr w:type="spellEnd"/>
            <w:r w:rsidRPr="006A4C7D">
              <w:rPr>
                <w:rFonts w:eastAsia="Times New Roman"/>
                <w:color w:val="000000"/>
                <w:sz w:val="18"/>
                <w:szCs w:val="18"/>
              </w:rPr>
              <w:t xml:space="preserve"> and endothelial dysfunction: </w:t>
            </w:r>
          </w:p>
          <w:p w14:paraId="5CE140BA"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Increase in baseline cerebral blood velocity and a decrease in vasomotor reactivity in COVID-19 patients, which are hypothesised as consequences of endothelial dysfunction in the vascular structures of the central nervous system. </w:t>
            </w:r>
          </w:p>
          <w:p w14:paraId="487D0493"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Disturbances in vasomotor reactivity have been related to migraine-associated headaches. </w:t>
            </w:r>
          </w:p>
          <w:p w14:paraId="7F254F8B" w14:textId="77777777" w:rsidR="006A4C7D" w:rsidRPr="006A4C7D" w:rsidRDefault="006A4C7D" w:rsidP="006A4C7D">
            <w:pPr>
              <w:widowControl w:val="0"/>
              <w:spacing w:line="276" w:lineRule="auto"/>
              <w:ind w:right="-112"/>
              <w:rPr>
                <w:rFonts w:eastAsia="Times New Roman"/>
                <w:color w:val="000000" w:themeColor="text1"/>
                <w:sz w:val="18"/>
                <w:szCs w:val="18"/>
              </w:rPr>
            </w:pPr>
            <w:r w:rsidRPr="006A4C7D">
              <w:rPr>
                <w:rFonts w:eastAsia="Times New Roman"/>
                <w:color w:val="000000"/>
                <w:sz w:val="18"/>
                <w:szCs w:val="18"/>
              </w:rPr>
              <w:t xml:space="preserve">Spatial-structural remodelling over the post-acute COVID: </w:t>
            </w:r>
          </w:p>
          <w:p w14:paraId="55698706"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One study correlated post-COVID psychopathology with specific brain functional markers in COVID-19 survivors several weeks after illness resolution: correlation between severity of depressive psychopathology and decrease in </w:t>
            </w:r>
            <w:proofErr w:type="spellStart"/>
            <w:r w:rsidRPr="006A4C7D">
              <w:rPr>
                <w:rFonts w:eastAsia="Times New Roman"/>
                <w:color w:val="000000"/>
                <w:sz w:val="18"/>
                <w:szCs w:val="18"/>
              </w:rPr>
              <w:t>gray</w:t>
            </w:r>
            <w:proofErr w:type="spellEnd"/>
            <w:r w:rsidRPr="006A4C7D">
              <w:rPr>
                <w:rFonts w:eastAsia="Times New Roman"/>
                <w:color w:val="000000"/>
                <w:sz w:val="18"/>
                <w:szCs w:val="18"/>
              </w:rPr>
              <w:t xml:space="preserve"> matter volume in anterior cingulate cortex (ACC); between post-traumatic symptoms and decrease in </w:t>
            </w:r>
            <w:proofErr w:type="spellStart"/>
            <w:r w:rsidRPr="006A4C7D">
              <w:rPr>
                <w:rFonts w:eastAsia="Times New Roman"/>
                <w:color w:val="000000"/>
                <w:sz w:val="18"/>
                <w:szCs w:val="18"/>
              </w:rPr>
              <w:t>gray</w:t>
            </w:r>
            <w:proofErr w:type="spellEnd"/>
            <w:r w:rsidRPr="006A4C7D">
              <w:rPr>
                <w:rFonts w:eastAsia="Times New Roman"/>
                <w:color w:val="000000"/>
                <w:sz w:val="18"/>
                <w:szCs w:val="18"/>
              </w:rPr>
              <w:t xml:space="preserve"> matter volume in ACC and bilateral insular cortex; between severity of the initial inflammatory response in the acute stage and subsequent white matter microstructure changes and functional connectivity - increased connectivity within salience and sensorimotor networks has been associated with persistent physical pain. </w:t>
            </w:r>
          </w:p>
          <w:p w14:paraId="4C6DD103"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Lower the </w:t>
            </w:r>
            <w:proofErr w:type="spellStart"/>
            <w:r w:rsidRPr="006A4C7D">
              <w:rPr>
                <w:rFonts w:eastAsia="Times New Roman"/>
                <w:color w:val="000000"/>
                <w:sz w:val="18"/>
                <w:szCs w:val="18"/>
              </w:rPr>
              <w:t>gray</w:t>
            </w:r>
            <w:proofErr w:type="spellEnd"/>
            <w:r w:rsidRPr="006A4C7D">
              <w:rPr>
                <w:rFonts w:eastAsia="Times New Roman"/>
                <w:color w:val="000000"/>
                <w:sz w:val="18"/>
                <w:szCs w:val="18"/>
              </w:rPr>
              <w:t xml:space="preserve"> matter volume in the superior, medial, and middle frontal gyri, the higher the degree of cognitive impairment. </w:t>
            </w:r>
          </w:p>
          <w:p w14:paraId="2BF84625"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One study found 2/3 of patients had multiple white matter lesions with a frontal and parietal distribution, particularly located in the cerebral hemispheres near the </w:t>
            </w:r>
            <w:proofErr w:type="spellStart"/>
            <w:r w:rsidRPr="006A4C7D">
              <w:rPr>
                <w:rFonts w:eastAsia="Times New Roman"/>
                <w:color w:val="000000"/>
                <w:sz w:val="18"/>
                <w:szCs w:val="18"/>
              </w:rPr>
              <w:t>gray</w:t>
            </w:r>
            <w:proofErr w:type="spellEnd"/>
            <w:r w:rsidRPr="006A4C7D">
              <w:rPr>
                <w:rFonts w:eastAsia="Times New Roman"/>
                <w:color w:val="000000"/>
                <w:sz w:val="18"/>
                <w:szCs w:val="18"/>
              </w:rPr>
              <w:t>-white matter boundary;</w:t>
            </w:r>
          </w:p>
          <w:p w14:paraId="6EA7BC0D"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MRI abnormalities in patients who did not require intensive care </w:t>
            </w:r>
          </w:p>
          <w:p w14:paraId="33E62AEC"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Frontal networks represent a core region for long-term brain involvement in COVID-19 beyond the presence of specific (focal) damage associated with clinical manifestations (e.g., stroke)</w:t>
            </w:r>
          </w:p>
          <w:p w14:paraId="20095E4D"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Study of COVID-19 patients with persistent nonspecific neurological symptoms (and control group) showed that mild-moderate severity patients had small, punctuate, newly formed hyperintense lesions on T2 and FLAIR sequences; number and severity of lesions correlated significantly with headache intensity</w:t>
            </w:r>
          </w:p>
          <w:p w14:paraId="22737D27"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Structural changes in the central olfactory system </w:t>
            </w:r>
          </w:p>
          <w:p w14:paraId="4394F817" w14:textId="77777777" w:rsidR="006A4C7D" w:rsidRPr="006A4C7D" w:rsidRDefault="006A4C7D" w:rsidP="006A4C7D">
            <w:pPr>
              <w:widowControl w:val="0"/>
              <w:numPr>
                <w:ilvl w:val="0"/>
                <w:numId w:val="5"/>
              </w:numPr>
              <w:spacing w:line="276" w:lineRule="auto"/>
              <w:ind w:left="146" w:right="-112" w:hanging="146"/>
              <w:contextualSpacing/>
              <w:rPr>
                <w:rFonts w:eastAsia="Times New Roman"/>
                <w:color w:val="000000" w:themeColor="text1"/>
                <w:sz w:val="18"/>
                <w:szCs w:val="18"/>
              </w:rPr>
            </w:pPr>
            <w:r w:rsidRPr="006A4C7D">
              <w:rPr>
                <w:rFonts w:eastAsia="Times New Roman"/>
                <w:color w:val="000000"/>
                <w:sz w:val="18"/>
                <w:szCs w:val="18"/>
              </w:rPr>
              <w:t xml:space="preserve">Patients with initially severe COVID-19 showed greater </w:t>
            </w:r>
            <w:proofErr w:type="spellStart"/>
            <w:r w:rsidRPr="006A4C7D">
              <w:rPr>
                <w:rFonts w:eastAsia="Times New Roman"/>
                <w:color w:val="000000"/>
                <w:sz w:val="18"/>
                <w:szCs w:val="18"/>
              </w:rPr>
              <w:t>gray</w:t>
            </w:r>
            <w:proofErr w:type="spellEnd"/>
            <w:r w:rsidRPr="006A4C7D">
              <w:rPr>
                <w:rFonts w:eastAsia="Times New Roman"/>
                <w:color w:val="000000"/>
                <w:sz w:val="18"/>
                <w:szCs w:val="18"/>
              </w:rPr>
              <w:t xml:space="preserve"> matter atrophy in limbic system components (left insula, left hippocampus, left superior temporal gyrus) than milder patients; structural changes correlated strongly with initial inflammatory marker levels </w:t>
            </w:r>
          </w:p>
        </w:tc>
        <w:tc>
          <w:tcPr>
            <w:tcW w:w="4637" w:type="dxa"/>
          </w:tcPr>
          <w:p w14:paraId="44FE69AA"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 xml:space="preserve">The underlying pathophysiology for persistent pain following SARS-CoV-2 is still not understood, but central nervous processes seem to be of leading importance. </w:t>
            </w:r>
          </w:p>
          <w:p w14:paraId="6F287A64"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The infection may affect the central nervous pain system both via non-specific effects in the context of severe disease courses and the associated inflammatory processes and neurological complications and via specific effects, which may also occur in mild disease courses. </w:t>
            </w:r>
          </w:p>
          <w:p w14:paraId="7EEC5426"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These lead to a hypometabolic metabolic state of the brain in specific brain regions, which include wide areas of the pain processing structures. The limbic structures, the frontal cortex, as well as thalamic and corpus callosum changes seem to be of critical importance here. </w:t>
            </w:r>
          </w:p>
          <w:p w14:paraId="4B651F87"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Furthermore, the frontal control networks, which are also important for pain processing, as well as the dorsal attention and attentional networks, and their connectivity to the sensorimotor network appear to be affected.</w:t>
            </w:r>
          </w:p>
        </w:tc>
      </w:tr>
      <w:tr w:rsidR="006A4C7D" w:rsidRPr="006A4C7D" w14:paraId="0946C802" w14:textId="77777777" w:rsidTr="005B6A90">
        <w:tc>
          <w:tcPr>
            <w:tcW w:w="1042" w:type="dxa"/>
          </w:tcPr>
          <w:p w14:paraId="5C28371D" w14:textId="77777777"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t>Houben</w:t>
            </w:r>
            <w:proofErr w:type="spellEnd"/>
            <w:r w:rsidRPr="006A4C7D">
              <w:rPr>
                <w:rFonts w:eastAsia="Times New Roman"/>
                <w:b/>
                <w:color w:val="000000"/>
                <w:sz w:val="18"/>
                <w:szCs w:val="18"/>
              </w:rPr>
              <w:t xml:space="preserve"> 2022</w:t>
            </w:r>
          </w:p>
        </w:tc>
        <w:tc>
          <w:tcPr>
            <w:tcW w:w="1505" w:type="dxa"/>
          </w:tcPr>
          <w:p w14:paraId="0DD746B4"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The Impact of COVID-19 Infection on Cognitive Function and the Implication for Rehabilitation: A Systematic Review and Meta-Analysis</w:t>
            </w:r>
          </w:p>
        </w:tc>
        <w:tc>
          <w:tcPr>
            <w:tcW w:w="7740" w:type="dxa"/>
          </w:tcPr>
          <w:p w14:paraId="16C02D4D"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Paper focuses on cognitive assessments:</w:t>
            </w:r>
            <w:r w:rsidRPr="006A4C7D">
              <w:rPr>
                <w:rFonts w:eastAsia="Times New Roman"/>
                <w:color w:val="000000"/>
                <w:sz w:val="18"/>
                <w:szCs w:val="18"/>
              </w:rPr>
              <w:br/>
              <w:t>- Attention</w:t>
            </w:r>
            <w:r w:rsidRPr="006A4C7D">
              <w:rPr>
                <w:rFonts w:eastAsia="Times New Roman"/>
                <w:color w:val="000000"/>
                <w:sz w:val="18"/>
                <w:szCs w:val="18"/>
              </w:rPr>
              <w:br/>
              <w:t>- Executive Functions</w:t>
            </w:r>
            <w:r w:rsidRPr="006A4C7D">
              <w:rPr>
                <w:rFonts w:eastAsia="Times New Roman"/>
                <w:color w:val="000000"/>
                <w:sz w:val="18"/>
                <w:szCs w:val="18"/>
              </w:rPr>
              <w:br/>
              <w:t>- Fluency</w:t>
            </w:r>
            <w:r w:rsidRPr="006A4C7D">
              <w:rPr>
                <w:rFonts w:eastAsia="Times New Roman"/>
                <w:color w:val="000000"/>
                <w:sz w:val="18"/>
                <w:szCs w:val="18"/>
              </w:rPr>
              <w:br/>
              <w:t>- Processing Speed</w:t>
            </w:r>
            <w:r w:rsidRPr="006A4C7D">
              <w:rPr>
                <w:rFonts w:eastAsia="Times New Roman"/>
                <w:color w:val="000000"/>
                <w:sz w:val="18"/>
                <w:szCs w:val="18"/>
              </w:rPr>
              <w:br/>
              <w:t>- Verbal Memory</w:t>
            </w:r>
            <w:r w:rsidRPr="006A4C7D">
              <w:rPr>
                <w:rFonts w:eastAsia="Times New Roman"/>
                <w:color w:val="000000"/>
                <w:sz w:val="18"/>
                <w:szCs w:val="18"/>
              </w:rPr>
              <w:br/>
              <w:t>- Visuospatial Ability</w:t>
            </w:r>
            <w:r w:rsidRPr="006A4C7D">
              <w:rPr>
                <w:rFonts w:eastAsia="Times New Roman"/>
                <w:color w:val="000000"/>
                <w:sz w:val="18"/>
                <w:szCs w:val="18"/>
              </w:rPr>
              <w:br/>
              <w:t>- Working Memory</w:t>
            </w:r>
            <w:r w:rsidRPr="006A4C7D">
              <w:rPr>
                <w:rFonts w:eastAsia="Times New Roman"/>
                <w:color w:val="000000"/>
                <w:sz w:val="18"/>
                <w:szCs w:val="18"/>
              </w:rPr>
              <w:br/>
              <w:t>All studies report deficits in cognitive functions after COVID-19.</w:t>
            </w:r>
          </w:p>
        </w:tc>
        <w:tc>
          <w:tcPr>
            <w:tcW w:w="7741" w:type="dxa"/>
          </w:tcPr>
          <w:p w14:paraId="6596A881" w14:textId="77777777" w:rsidR="006A4C7D" w:rsidRPr="006A4C7D" w:rsidRDefault="006A4C7D" w:rsidP="006A4C7D">
            <w:pPr>
              <w:widowControl w:val="0"/>
              <w:spacing w:line="276" w:lineRule="auto"/>
              <w:ind w:right="-112"/>
              <w:rPr>
                <w:rFonts w:eastAsia="Times New Roman"/>
                <w:color w:val="000000"/>
                <w:sz w:val="18"/>
                <w:szCs w:val="18"/>
              </w:rPr>
            </w:pPr>
            <w:r w:rsidRPr="006A4C7D">
              <w:rPr>
                <w:rFonts w:eastAsia="Times New Roman"/>
                <w:color w:val="000000"/>
                <w:sz w:val="18"/>
                <w:szCs w:val="18"/>
              </w:rPr>
              <w:t>Evidence suggests a highly multifactorial component including:</w:t>
            </w:r>
          </w:p>
          <w:p w14:paraId="5FCB4C48"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Direct infection by SARS-CoV-2</w:t>
            </w:r>
          </w:p>
          <w:p w14:paraId="153A43D2"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Consequence of prolonged-time spent in intensive care units</w:t>
            </w:r>
          </w:p>
          <w:p w14:paraId="774884B6"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Persistent inflammation</w:t>
            </w:r>
          </w:p>
          <w:p w14:paraId="34182783"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 xml:space="preserve">Brain hypoxia </w:t>
            </w:r>
          </w:p>
          <w:p w14:paraId="1DB0ADED"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Ventilation mechanisms used</w:t>
            </w:r>
          </w:p>
          <w:p w14:paraId="1E0D0EB4"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Drugs</w:t>
            </w:r>
          </w:p>
          <w:p w14:paraId="75F9CC4E"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Prior cognitive troubles</w:t>
            </w:r>
          </w:p>
          <w:p w14:paraId="0B1FC007"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 xml:space="preserve">Peripheral organ dysfunction. </w:t>
            </w:r>
          </w:p>
          <w:p w14:paraId="5C169167"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Uncontrolled inflammatory response (cytokine storm) &amp; disruption of the blood brain barrier may contribute to severity but not alone as cytokine storm only observable in severe cases &amp; cognitive deficits seen in those with mild or severe COVID-19</w:t>
            </w:r>
          </w:p>
          <w:p w14:paraId="68D4F37C"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 xml:space="preserve">High levels of IL-6, IL-8, and TNF-found in serum </w:t>
            </w:r>
          </w:p>
          <w:p w14:paraId="4C8DB86F"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 xml:space="preserve">Sustained inflammatory response could contribute to psychiatric sequelae after COVID-19 </w:t>
            </w:r>
          </w:p>
          <w:p w14:paraId="73E952BD" w14:textId="77777777" w:rsidR="006A4C7D" w:rsidRPr="006A4C7D" w:rsidRDefault="006A4C7D" w:rsidP="006A4C7D">
            <w:pPr>
              <w:widowControl w:val="0"/>
              <w:numPr>
                <w:ilvl w:val="0"/>
                <w:numId w:val="7"/>
              </w:numPr>
              <w:spacing w:line="276" w:lineRule="auto"/>
              <w:ind w:left="183" w:right="-112" w:hanging="183"/>
              <w:contextualSpacing/>
              <w:rPr>
                <w:rFonts w:eastAsia="Times New Roman"/>
                <w:color w:val="000000"/>
                <w:sz w:val="18"/>
                <w:szCs w:val="18"/>
              </w:rPr>
            </w:pPr>
            <w:r w:rsidRPr="006A4C7D">
              <w:rPr>
                <w:rFonts w:eastAsia="Times New Roman"/>
                <w:color w:val="000000"/>
                <w:sz w:val="18"/>
                <w:szCs w:val="18"/>
              </w:rPr>
              <w:t xml:space="preserve">As with other coronaviruses, SARS-CoV-2 shows a neurotropism.  The virus could enter into neurons and glial cells with the SPIKE protein, which binds to ACE2 receptors (angiotensin-converting enzyme </w:t>
            </w:r>
            <w:r w:rsidRPr="006A4C7D">
              <w:rPr>
                <w:rFonts w:eastAsia="Times New Roman"/>
                <w:color w:val="000000"/>
                <w:sz w:val="18"/>
                <w:szCs w:val="18"/>
              </w:rPr>
              <w:lastRenderedPageBreak/>
              <w:t>2), which would result in neuronal death, causing cognitive deficits</w:t>
            </w:r>
          </w:p>
        </w:tc>
        <w:tc>
          <w:tcPr>
            <w:tcW w:w="4637" w:type="dxa"/>
          </w:tcPr>
          <w:p w14:paraId="59180363"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 xml:space="preserve">People infected by SARS-CoV-2 show significant cognitive disorders independently from pathology and age. </w:t>
            </w:r>
            <w:r w:rsidRPr="006A4C7D">
              <w:rPr>
                <w:rFonts w:eastAsia="Times New Roman"/>
                <w:b/>
                <w:color w:val="000000"/>
                <w:sz w:val="18"/>
                <w:szCs w:val="18"/>
              </w:rPr>
              <w:br/>
              <w:t>No clear link between the severity of infection and degree of neurocognitive deficit.</w:t>
            </w:r>
            <w:r w:rsidRPr="006A4C7D">
              <w:rPr>
                <w:rFonts w:eastAsia="Times New Roman"/>
                <w:b/>
                <w:color w:val="000000"/>
                <w:sz w:val="18"/>
                <w:szCs w:val="18"/>
              </w:rPr>
              <w:br/>
              <w:t>Possible mechanisms include:</w:t>
            </w:r>
            <w:r w:rsidRPr="006A4C7D">
              <w:rPr>
                <w:rFonts w:eastAsia="Times New Roman"/>
                <w:b/>
                <w:color w:val="000000"/>
                <w:sz w:val="18"/>
                <w:szCs w:val="18"/>
              </w:rPr>
              <w:br/>
              <w:t>- Persistent inflammation/'Cytokine storm'</w:t>
            </w:r>
            <w:r w:rsidRPr="006A4C7D">
              <w:rPr>
                <w:rFonts w:eastAsia="Times New Roman"/>
                <w:b/>
                <w:color w:val="000000"/>
                <w:sz w:val="18"/>
                <w:szCs w:val="18"/>
              </w:rPr>
              <w:br/>
              <w:t>- Brain hypoxia</w:t>
            </w:r>
            <w:r w:rsidRPr="006A4C7D">
              <w:rPr>
                <w:rFonts w:eastAsia="Times New Roman"/>
                <w:b/>
                <w:color w:val="000000"/>
                <w:sz w:val="18"/>
                <w:szCs w:val="18"/>
              </w:rPr>
              <w:br/>
              <w:t>- Organ dysfunction</w:t>
            </w:r>
            <w:r w:rsidRPr="006A4C7D">
              <w:rPr>
                <w:rFonts w:eastAsia="Times New Roman"/>
                <w:b/>
                <w:color w:val="000000"/>
                <w:sz w:val="18"/>
                <w:szCs w:val="18"/>
              </w:rPr>
              <w:br/>
              <w:t>- Neurotropism</w:t>
            </w:r>
          </w:p>
        </w:tc>
      </w:tr>
      <w:tr w:rsidR="006A4C7D" w:rsidRPr="006A4C7D" w14:paraId="3F95F8B3" w14:textId="77777777" w:rsidTr="005B6A90">
        <w:tc>
          <w:tcPr>
            <w:tcW w:w="1042" w:type="dxa"/>
          </w:tcPr>
          <w:p w14:paraId="7B739C6F"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Pierce 2022</w:t>
            </w:r>
          </w:p>
        </w:tc>
        <w:tc>
          <w:tcPr>
            <w:tcW w:w="1505" w:type="dxa"/>
          </w:tcPr>
          <w:p w14:paraId="1D4558DE"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Post-COVID-19 Syndrome</w:t>
            </w:r>
          </w:p>
        </w:tc>
        <w:tc>
          <w:tcPr>
            <w:tcW w:w="7740" w:type="dxa"/>
          </w:tcPr>
          <w:p w14:paraId="086F10F2"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Top ten symptoms: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fatigue, loss of olfactory/gustatory function, tightness of the chest, chills or sweats, muscle or body aches, dry cough, sore throat, fever, headache or brain fog.</w:t>
            </w:r>
          </w:p>
          <w:p w14:paraId="27E9D4A7"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Prevalence: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(70%), fatigue (60%).</w:t>
            </w:r>
            <w:r w:rsidRPr="006A4C7D">
              <w:rPr>
                <w:rFonts w:eastAsia="Times New Roman"/>
                <w:color w:val="000000"/>
                <w:sz w:val="18"/>
                <w:szCs w:val="18"/>
              </w:rPr>
              <w:br/>
              <w:t>- 47% of patients not on mechanical ventilation had significant persistent abnormal pulmonary function, whereas 90% of those who underwent invasive mechanical ventilation still had pulmonary problems at 100 days (Miwa et al., 2021) - possible indication of complication from therapeutic intervention.</w:t>
            </w:r>
            <w:r w:rsidRPr="006A4C7D">
              <w:rPr>
                <w:rFonts w:eastAsia="Times New Roman"/>
                <w:color w:val="000000"/>
                <w:sz w:val="18"/>
                <w:szCs w:val="18"/>
              </w:rPr>
              <w:br/>
              <w:t>- 15.1% of those discharged from hospitals were readmitted to hospital for post-COVID-19 complications at 60-day follow-up (Chopra et al., 2021). Of the post-COVID-19 patients, 32% still had persistent COVID-19 symptoms and 18.9% had new or deteriorating symptoms (Chopra et al., 2021).</w:t>
            </w:r>
            <w:r w:rsidRPr="006A4C7D">
              <w:rPr>
                <w:rFonts w:eastAsia="Times New Roman"/>
                <w:color w:val="000000"/>
                <w:sz w:val="18"/>
                <w:szCs w:val="18"/>
              </w:rPr>
              <w:br/>
              <w:t>- 70% of persons with post-COVID-19 symptoms who were physically fit before the illness now sedentary because of symptom severity (</w:t>
            </w:r>
            <w:proofErr w:type="spellStart"/>
            <w:r w:rsidRPr="006A4C7D">
              <w:rPr>
                <w:rFonts w:eastAsia="Times New Roman"/>
                <w:color w:val="000000"/>
                <w:sz w:val="18"/>
                <w:szCs w:val="18"/>
              </w:rPr>
              <w:t>Carfi</w:t>
            </w:r>
            <w:proofErr w:type="spellEnd"/>
            <w:r w:rsidRPr="006A4C7D">
              <w:rPr>
                <w:rFonts w:eastAsia="Times New Roman"/>
                <w:color w:val="000000"/>
                <w:sz w:val="18"/>
                <w:szCs w:val="18"/>
              </w:rPr>
              <w:t xml:space="preserve"> et al., 2020).  </w:t>
            </w:r>
          </w:p>
        </w:tc>
        <w:tc>
          <w:tcPr>
            <w:tcW w:w="7741" w:type="dxa"/>
          </w:tcPr>
          <w:p w14:paraId="508FE21C" w14:textId="77777777" w:rsidR="006A4C7D" w:rsidRPr="006A4C7D" w:rsidRDefault="006A4C7D" w:rsidP="006A4C7D">
            <w:pPr>
              <w:widowControl w:val="0"/>
              <w:numPr>
                <w:ilvl w:val="0"/>
                <w:numId w:val="9"/>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Virus-specific pathophysiological variations: </w:t>
            </w:r>
          </w:p>
          <w:p w14:paraId="3AE2250A" w14:textId="77777777" w:rsidR="006A4C7D" w:rsidRPr="006A4C7D" w:rsidRDefault="006A4C7D" w:rsidP="006A4C7D">
            <w:pPr>
              <w:widowControl w:val="0"/>
              <w:spacing w:line="276" w:lineRule="auto"/>
              <w:ind w:left="232" w:right="-112"/>
              <w:contextualSpacing/>
              <w:rPr>
                <w:rFonts w:eastAsia="Times New Roman"/>
                <w:color w:val="000000"/>
                <w:sz w:val="18"/>
                <w:szCs w:val="18"/>
              </w:rPr>
            </w:pPr>
            <w:r w:rsidRPr="006A4C7D">
              <w:rPr>
                <w:rFonts w:eastAsia="Times New Roman"/>
                <w:color w:val="000000"/>
                <w:sz w:val="18"/>
                <w:szCs w:val="18"/>
              </w:rPr>
              <w:t xml:space="preserve">- Direct viral injury. SARS-CoV-2 causes cellular damage by inflammatory cytokines, maladaptation of the ACE2 pathway, </w:t>
            </w:r>
            <w:proofErr w:type="spellStart"/>
            <w:r w:rsidRPr="006A4C7D">
              <w:rPr>
                <w:rFonts w:eastAsia="Times New Roman"/>
                <w:color w:val="000000"/>
                <w:sz w:val="18"/>
                <w:szCs w:val="18"/>
              </w:rPr>
              <w:t>procoagulation</w:t>
            </w:r>
            <w:proofErr w:type="spellEnd"/>
            <w:r w:rsidRPr="006A4C7D">
              <w:rPr>
                <w:rFonts w:eastAsia="Times New Roman"/>
                <w:color w:val="000000"/>
                <w:sz w:val="18"/>
                <w:szCs w:val="18"/>
              </w:rPr>
              <w:t>, and other immune abnormalities. Viral toxicity contributes to sequelae seen in post-COVID-19 syndrome. The pathological condition resulting from SARS-CoV-2 or its sequelae leads to multiple organ dysfunction and infections. With the invasion of alveolar epithelial and endothelial cells by SARS-CoV-2, a cascade of neutrophils, monocytes, and immune cells leads to alveolar damage. In turn, numerous mechanisms and pathways are activated, causing sequelae such as heart failure, neuropsychiatric dysfunction, thromboembolism, renal injury, dermatological disorders, diabetic ketoacidosis, sensory defects, and irritable bowel syndrome.</w:t>
            </w:r>
          </w:p>
          <w:p w14:paraId="10B3B472" w14:textId="77777777" w:rsidR="006A4C7D" w:rsidRPr="006A4C7D" w:rsidRDefault="006A4C7D" w:rsidP="006A4C7D">
            <w:pPr>
              <w:widowControl w:val="0"/>
              <w:numPr>
                <w:ilvl w:val="0"/>
                <w:numId w:val="9"/>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Oxidative stress:</w:t>
            </w:r>
          </w:p>
          <w:p w14:paraId="591E3BA6" w14:textId="77777777" w:rsidR="006A4C7D" w:rsidRPr="006A4C7D" w:rsidRDefault="006A4C7D" w:rsidP="006A4C7D">
            <w:pPr>
              <w:widowControl w:val="0"/>
              <w:spacing w:line="276" w:lineRule="auto"/>
              <w:ind w:left="232" w:right="-112"/>
              <w:contextualSpacing/>
              <w:rPr>
                <w:rFonts w:eastAsia="Times New Roman"/>
                <w:color w:val="000000"/>
                <w:sz w:val="18"/>
                <w:szCs w:val="18"/>
              </w:rPr>
            </w:pPr>
            <w:r w:rsidRPr="006A4C7D">
              <w:rPr>
                <w:rFonts w:eastAsia="Times New Roman"/>
                <w:color w:val="000000"/>
                <w:sz w:val="18"/>
                <w:szCs w:val="18"/>
              </w:rPr>
              <w:t xml:space="preserve">SARS-CoV-2 can stimulate overactivation of the immune system. If SARS-CoV-2 causes severe pneumonia by infecting Type II pneumocytes, the mitochondria synthesising acetyl-CoA are damaged. The ability of mitochondria to produce antioxidants is also reduced. The latter induces imbalance between cellular reactive oxygen species (ROS) accumulation and antioxidant defences. It also leads to mitochondrial DNA mutations, injury to mitochondrial respiratory chain, modifications of membrane permeability, and activation of the mitochondrial </w:t>
            </w:r>
            <w:proofErr w:type="spellStart"/>
            <w:r w:rsidRPr="006A4C7D">
              <w:rPr>
                <w:rFonts w:eastAsia="Times New Roman"/>
                <w:color w:val="000000"/>
                <w:sz w:val="18"/>
                <w:szCs w:val="18"/>
              </w:rPr>
              <w:t>defense</w:t>
            </w:r>
            <w:proofErr w:type="spellEnd"/>
            <w:r w:rsidRPr="006A4C7D">
              <w:rPr>
                <w:rFonts w:eastAsia="Times New Roman"/>
                <w:color w:val="000000"/>
                <w:sz w:val="18"/>
                <w:szCs w:val="18"/>
              </w:rPr>
              <w:t xml:space="preserve"> systems. Moreover, oxygen supplementation can induce excess ROS generation in mitochondria. This damages the mitochondrial complexes and reduces oxidative phosphorylation leading to decreased adenosine triphosphate and increased cellular apoptosis. Mitochondrial ROS excess from hyperoxia can also affect immune and </w:t>
            </w:r>
            <w:proofErr w:type="spellStart"/>
            <w:r w:rsidRPr="006A4C7D">
              <w:rPr>
                <w:rFonts w:eastAsia="Times New Roman"/>
                <w:color w:val="000000"/>
                <w:sz w:val="18"/>
                <w:szCs w:val="18"/>
              </w:rPr>
              <w:t>defense</w:t>
            </w:r>
            <w:proofErr w:type="spellEnd"/>
            <w:r w:rsidRPr="006A4C7D">
              <w:rPr>
                <w:rFonts w:eastAsia="Times New Roman"/>
                <w:color w:val="000000"/>
                <w:sz w:val="18"/>
                <w:szCs w:val="18"/>
              </w:rPr>
              <w:t xml:space="preserve"> responses against virus. Administering antioxidants can decrease viral load and assist with recovery in post-COVID-19 syndrome: e.g., adding N-acetylcysteine and </w:t>
            </w:r>
            <w:proofErr w:type="spellStart"/>
            <w:r w:rsidRPr="006A4C7D">
              <w:rPr>
                <w:rFonts w:eastAsia="Times New Roman"/>
                <w:color w:val="000000"/>
                <w:sz w:val="18"/>
                <w:szCs w:val="18"/>
              </w:rPr>
              <w:t>MitoQ</w:t>
            </w:r>
            <w:proofErr w:type="spellEnd"/>
            <w:r w:rsidRPr="006A4C7D">
              <w:rPr>
                <w:rFonts w:eastAsia="Times New Roman"/>
                <w:color w:val="000000"/>
                <w:sz w:val="18"/>
                <w:szCs w:val="18"/>
              </w:rPr>
              <w:t xml:space="preserve"> to cells when peripheral blood monocytes were exposed to SARS-CoV-2 decreased viral replication.</w:t>
            </w:r>
          </w:p>
          <w:p w14:paraId="77E33F05" w14:textId="77777777" w:rsidR="006A4C7D" w:rsidRPr="006A4C7D" w:rsidRDefault="006A4C7D" w:rsidP="006A4C7D">
            <w:pPr>
              <w:widowControl w:val="0"/>
              <w:numPr>
                <w:ilvl w:val="0"/>
                <w:numId w:val="9"/>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Immunologic abnormalities:</w:t>
            </w:r>
          </w:p>
          <w:p w14:paraId="63F59C59" w14:textId="77777777" w:rsidR="006A4C7D" w:rsidRPr="006A4C7D" w:rsidRDefault="006A4C7D" w:rsidP="006A4C7D">
            <w:pPr>
              <w:widowControl w:val="0"/>
              <w:spacing w:line="276" w:lineRule="auto"/>
              <w:ind w:left="232" w:right="-112"/>
              <w:contextualSpacing/>
              <w:rPr>
                <w:rFonts w:eastAsia="Times New Roman"/>
                <w:color w:val="000000"/>
                <w:sz w:val="18"/>
                <w:szCs w:val="18"/>
              </w:rPr>
            </w:pPr>
            <w:r w:rsidRPr="006A4C7D">
              <w:rPr>
                <w:rFonts w:eastAsia="Times New Roman"/>
                <w:color w:val="000000"/>
                <w:sz w:val="18"/>
                <w:szCs w:val="18"/>
              </w:rPr>
              <w:t xml:space="preserve">Acute COVID-19 patients with severe pneumonia or ARDS show a decrease in the lymphocyte counts and increased cytokines, particularly </w:t>
            </w:r>
            <w:proofErr w:type="spellStart"/>
            <w:r w:rsidRPr="006A4C7D">
              <w:rPr>
                <w:rFonts w:eastAsia="Times New Roman"/>
                <w:color w:val="000000"/>
                <w:sz w:val="18"/>
                <w:szCs w:val="18"/>
              </w:rPr>
              <w:t>tumor</w:t>
            </w:r>
            <w:proofErr w:type="spellEnd"/>
            <w:r w:rsidRPr="006A4C7D">
              <w:rPr>
                <w:rFonts w:eastAsia="Times New Roman"/>
                <w:color w:val="000000"/>
                <w:sz w:val="18"/>
                <w:szCs w:val="18"/>
              </w:rPr>
              <w:t xml:space="preserve"> necrosis factor and inflammatory cytokines, interleukins. Pulmonary injury or fibrosis due to cytokine storm induce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and chronic dry cough. Cytokine storm can also cause myocardial injury, leading to hypertrophy and fibrosis of the left ventricular wall. This hypertrophy decreases myocardial contractility and impairs cardiac function. The major cytokine for this damage is transforming growth factor-beta 1. </w:t>
            </w:r>
          </w:p>
          <w:p w14:paraId="607BF425" w14:textId="77777777" w:rsidR="006A4C7D" w:rsidRPr="006A4C7D" w:rsidRDefault="006A4C7D" w:rsidP="006A4C7D">
            <w:pPr>
              <w:widowControl w:val="0"/>
              <w:numPr>
                <w:ilvl w:val="0"/>
                <w:numId w:val="9"/>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Inflammatory damage:</w:t>
            </w:r>
          </w:p>
          <w:p w14:paraId="0E522C46" w14:textId="77777777" w:rsidR="006A4C7D" w:rsidRPr="006A4C7D" w:rsidRDefault="006A4C7D" w:rsidP="006A4C7D">
            <w:pPr>
              <w:widowControl w:val="0"/>
              <w:spacing w:line="276" w:lineRule="auto"/>
              <w:ind w:left="232" w:right="-112"/>
              <w:contextualSpacing/>
              <w:rPr>
                <w:rFonts w:eastAsia="Times New Roman"/>
                <w:color w:val="000000"/>
                <w:sz w:val="18"/>
                <w:szCs w:val="18"/>
              </w:rPr>
            </w:pPr>
            <w:r w:rsidRPr="006A4C7D">
              <w:rPr>
                <w:rFonts w:eastAsia="Times New Roman"/>
                <w:color w:val="000000"/>
                <w:sz w:val="18"/>
                <w:szCs w:val="18"/>
              </w:rPr>
              <w:t xml:space="preserve">In COVID-19 patients with both IFN-αβ and IFN-gamma, there was inflammatory cell infiltration involving </w:t>
            </w:r>
            <w:proofErr w:type="spellStart"/>
            <w:r w:rsidRPr="006A4C7D">
              <w:rPr>
                <w:rFonts w:eastAsia="Times New Roman"/>
                <w:color w:val="000000"/>
                <w:sz w:val="18"/>
                <w:szCs w:val="18"/>
              </w:rPr>
              <w:t>Fas-Fas</w:t>
            </w:r>
            <w:proofErr w:type="spellEnd"/>
            <w:r w:rsidRPr="006A4C7D">
              <w:rPr>
                <w:rFonts w:eastAsia="Times New Roman"/>
                <w:color w:val="000000"/>
                <w:sz w:val="18"/>
                <w:szCs w:val="18"/>
              </w:rPr>
              <w:t xml:space="preserve"> ligand or TRAIL-death receptor 5 that cause airway and alveolar epithelial apoptosis. This inflammatory pathway leads to alveolar </w:t>
            </w:r>
            <w:proofErr w:type="spellStart"/>
            <w:r w:rsidRPr="006A4C7D">
              <w:rPr>
                <w:rFonts w:eastAsia="Times New Roman"/>
                <w:color w:val="000000"/>
                <w:sz w:val="18"/>
                <w:szCs w:val="18"/>
              </w:rPr>
              <w:t>edema</w:t>
            </w:r>
            <w:proofErr w:type="spellEnd"/>
            <w:r w:rsidRPr="006A4C7D">
              <w:rPr>
                <w:rFonts w:eastAsia="Times New Roman"/>
                <w:color w:val="000000"/>
                <w:sz w:val="18"/>
                <w:szCs w:val="18"/>
              </w:rPr>
              <w:t xml:space="preserve">, hypoxia, and increased disease severity in other organs, such as heart failure. Multisystem inflammatory syndrome can cause many symptoms such as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fatigue, pain, fever, nonspecific inflammation, and </w:t>
            </w:r>
            <w:proofErr w:type="spellStart"/>
            <w:r w:rsidRPr="006A4C7D">
              <w:rPr>
                <w:rFonts w:eastAsia="Times New Roman"/>
                <w:color w:val="000000"/>
                <w:sz w:val="18"/>
                <w:szCs w:val="18"/>
              </w:rPr>
              <w:t>postviral</w:t>
            </w:r>
            <w:proofErr w:type="spellEnd"/>
            <w:r w:rsidRPr="006A4C7D">
              <w:rPr>
                <w:rFonts w:eastAsia="Times New Roman"/>
                <w:color w:val="000000"/>
                <w:sz w:val="18"/>
                <w:szCs w:val="18"/>
              </w:rPr>
              <w:t xml:space="preserve"> arthritis. </w:t>
            </w:r>
          </w:p>
          <w:p w14:paraId="01794470" w14:textId="77777777" w:rsidR="006A4C7D" w:rsidRPr="006A4C7D" w:rsidRDefault="006A4C7D" w:rsidP="006A4C7D">
            <w:pPr>
              <w:widowControl w:val="0"/>
              <w:numPr>
                <w:ilvl w:val="0"/>
                <w:numId w:val="9"/>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The multitude of symptoms experienced by persons with post-COVID-19 syndrome that persist for more than 4 weeks are often due to damage to the respiratory, cardiovascular, neurological, gastrointestinal, and other systems.  </w:t>
            </w:r>
          </w:p>
        </w:tc>
        <w:tc>
          <w:tcPr>
            <w:tcW w:w="4637" w:type="dxa"/>
          </w:tcPr>
          <w:p w14:paraId="24432959"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There is growing evidence that this is a complex and multifactorial syndrome involving virus-specific pathophysiological variations that affect many mechanisms but specifically oxidative stress, immune function, and inflammation. </w:t>
            </w:r>
            <w:r w:rsidRPr="006A4C7D">
              <w:rPr>
                <w:rFonts w:eastAsia="Times New Roman"/>
                <w:b/>
                <w:color w:val="000000"/>
                <w:sz w:val="18"/>
                <w:szCs w:val="18"/>
              </w:rPr>
              <w:br/>
              <w:t xml:space="preserve">Five studies found prolonged immunocompromise in people with post-COVID-19 symptoms. </w:t>
            </w:r>
            <w:r w:rsidRPr="006A4C7D">
              <w:rPr>
                <w:rFonts w:eastAsia="Times New Roman"/>
                <w:b/>
                <w:color w:val="000000"/>
                <w:sz w:val="18"/>
                <w:szCs w:val="18"/>
              </w:rPr>
              <w:br/>
              <w:t xml:space="preserve">Those with prolonged symptoms have augmented SARS-CoV-2-specific immune responses, particularly immune dysregulation. </w:t>
            </w:r>
            <w:r w:rsidRPr="006A4C7D">
              <w:rPr>
                <w:rFonts w:eastAsia="Times New Roman"/>
                <w:b/>
                <w:color w:val="000000"/>
                <w:sz w:val="18"/>
                <w:szCs w:val="18"/>
              </w:rPr>
              <w:br/>
              <w:t xml:space="preserve">Therapeutic treatments for persons who have post-COVID-19 syndrome should be based on the molecular and integrative physiological pathways that are damaged or dysfunctional. </w:t>
            </w:r>
          </w:p>
        </w:tc>
      </w:tr>
      <w:tr w:rsidR="006A4C7D" w:rsidRPr="006A4C7D" w14:paraId="7227920B" w14:textId="77777777" w:rsidTr="005B6A90">
        <w:tc>
          <w:tcPr>
            <w:tcW w:w="1042" w:type="dxa"/>
          </w:tcPr>
          <w:p w14:paraId="7772C74C"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Piri 2021</w:t>
            </w:r>
          </w:p>
        </w:tc>
        <w:tc>
          <w:tcPr>
            <w:tcW w:w="1505" w:type="dxa"/>
          </w:tcPr>
          <w:p w14:paraId="0954B615"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A systematic review on the recurrence of SARS-CoV-2 virus: frequency, risk factors, and possible explanations</w:t>
            </w:r>
          </w:p>
        </w:tc>
        <w:tc>
          <w:tcPr>
            <w:tcW w:w="7740" w:type="dxa"/>
          </w:tcPr>
          <w:p w14:paraId="11DA06B1"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Recurrence of SARS-CoV-2: 2.3% and 21.4% incidence in cohort studies; mean 20 days (range 1-140 days) after discharge; 7.3% severe or critical; 97.3% decreased or remained the same in severity compared to first infection. In most studies, the duration of being positive was shorter for recurrence than first infection.</w:t>
            </w:r>
            <w:r w:rsidRPr="006A4C7D">
              <w:rPr>
                <w:rFonts w:eastAsia="Times New Roman"/>
                <w:color w:val="000000"/>
                <w:sz w:val="18"/>
                <w:szCs w:val="18"/>
              </w:rPr>
              <w:br/>
              <w:t>- Potential reasons for recurrence: false-negative result at discharge; persistent shedding of virus; reinfection. Recurrence due to false-negative or reinfection cannot be seen as Long Covid symptom? - -- Proportions of recurrence cases due to above reasons unclear.</w:t>
            </w:r>
            <w:r w:rsidRPr="006A4C7D">
              <w:rPr>
                <w:rFonts w:eastAsia="Times New Roman"/>
                <w:color w:val="000000"/>
                <w:sz w:val="18"/>
                <w:szCs w:val="18"/>
              </w:rPr>
              <w:br/>
              <w:t>One found that all recurrent patients were non-severe cases, which suggests greater likelihood of virus persistence after discharge in non-severe cases due to their faster reach of the discharge criteria and shorter hospital stays, but two further studies found no association between disease severity and recurrence susceptibility.</w:t>
            </w:r>
          </w:p>
        </w:tc>
        <w:tc>
          <w:tcPr>
            <w:tcW w:w="7741" w:type="dxa"/>
          </w:tcPr>
          <w:p w14:paraId="743F7D94" w14:textId="77777777" w:rsidR="006A4C7D" w:rsidRPr="006A4C7D" w:rsidRDefault="006A4C7D" w:rsidP="006A4C7D">
            <w:pPr>
              <w:widowControl w:val="0"/>
              <w:spacing w:line="276" w:lineRule="auto"/>
              <w:ind w:right="-112"/>
              <w:rPr>
                <w:rFonts w:eastAsia="Times New Roman"/>
                <w:color w:val="000000"/>
                <w:sz w:val="18"/>
                <w:szCs w:val="18"/>
              </w:rPr>
            </w:pPr>
            <w:r w:rsidRPr="006A4C7D">
              <w:rPr>
                <w:rFonts w:eastAsia="Times New Roman"/>
                <w:color w:val="000000"/>
                <w:sz w:val="18"/>
                <w:szCs w:val="18"/>
              </w:rPr>
              <w:t>Biomarkers in recurrent patients:</w:t>
            </w:r>
          </w:p>
          <w:p w14:paraId="42C18955"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Increased serum IL-6, increased lymphocyte counts and CT imaging features of lung consolidation during hospitalisation; concentrations of alanine aminotransferase (ALT) and aspartate aminotransferase (AST) noticeably increased in re-positive patients</w:t>
            </w:r>
          </w:p>
          <w:p w14:paraId="15BE5161"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In one study, the possible association between the number of initial symptoms, fatigue, and creatine kinase levels with a re-positive RT-PCR test has been reported</w:t>
            </w:r>
          </w:p>
          <w:p w14:paraId="4144C55D" w14:textId="77777777" w:rsidR="006A4C7D" w:rsidRPr="006A4C7D" w:rsidRDefault="006A4C7D" w:rsidP="006A4C7D">
            <w:pPr>
              <w:widowControl w:val="0"/>
              <w:spacing w:before="60" w:line="276" w:lineRule="auto"/>
              <w:ind w:right="-112"/>
              <w:rPr>
                <w:rFonts w:eastAsia="Times New Roman"/>
                <w:b/>
                <w:color w:val="000000"/>
                <w:sz w:val="28"/>
                <w:szCs w:val="28"/>
              </w:rPr>
            </w:pPr>
            <w:r w:rsidRPr="006A4C7D">
              <w:rPr>
                <w:rFonts w:eastAsia="Times New Roman"/>
                <w:color w:val="000000"/>
                <w:sz w:val="18"/>
                <w:szCs w:val="18"/>
              </w:rPr>
              <w:t>Reasons for incomplete elimination of SARS-CoV-2 RNA:</w:t>
            </w:r>
          </w:p>
          <w:p w14:paraId="0654536F"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Shedding of the virus residue, which does not result in transmission</w:t>
            </w:r>
          </w:p>
          <w:p w14:paraId="6C118A36"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Presence of latent SARS-CoV-2 infection within immune cells</w:t>
            </w:r>
          </w:p>
          <w:p w14:paraId="77F01EFE"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Multiplication of SARS-CoV-2 in the peripheral blood mononuclear cell (PBMC) through interaction with ACE2 receptor on the surface of human monocytes</w:t>
            </w:r>
          </w:p>
          <w:p w14:paraId="51E1ED55"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 xml:space="preserve">Entry of virus into T lymphocytes not accompanied by proliferation and the virus somehow settles in the cell - concentration of the viral genome in lymphocytes was higher than its concentration in </w:t>
            </w:r>
            <w:r w:rsidRPr="006A4C7D">
              <w:rPr>
                <w:rFonts w:eastAsia="Times New Roman"/>
                <w:color w:val="000000"/>
                <w:sz w:val="18"/>
                <w:szCs w:val="18"/>
              </w:rPr>
              <w:lastRenderedPageBreak/>
              <w:t>plasma</w:t>
            </w:r>
          </w:p>
          <w:p w14:paraId="635AC7D8"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Because the epithelial cell half-life in the respiratory system is 3 months, the virus genome could be detected even after elimination during this time; (6) the mean time when the virus RNA PCR test of first SARS-Cov-2 infection became negative, it was 34 days in faecal specimens compared to 9 days in the respiratory samples, indicating that RNA could persist more in the gastrointestinal tract than respiratory tract and may be mistaken for reinfection.</w:t>
            </w:r>
          </w:p>
          <w:p w14:paraId="2CB18DE0" w14:textId="77777777" w:rsidR="006A4C7D" w:rsidRPr="006A4C7D" w:rsidRDefault="006A4C7D" w:rsidP="006A4C7D">
            <w:pPr>
              <w:widowControl w:val="0"/>
              <w:spacing w:before="60" w:line="276" w:lineRule="auto"/>
              <w:ind w:right="-112"/>
              <w:rPr>
                <w:rFonts w:eastAsia="Times New Roman"/>
                <w:color w:val="000000"/>
                <w:sz w:val="18"/>
                <w:szCs w:val="18"/>
              </w:rPr>
            </w:pPr>
            <w:r w:rsidRPr="006A4C7D">
              <w:rPr>
                <w:rFonts w:eastAsia="Times New Roman"/>
                <w:color w:val="000000"/>
                <w:sz w:val="18"/>
                <w:szCs w:val="18"/>
              </w:rPr>
              <w:t>Other:</w:t>
            </w:r>
          </w:p>
          <w:p w14:paraId="329C8D23"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Another potential reason for reactivation of disease is the antibody dependent enhancement (ADE) phenomenon which can lead to more severe disease due to causing an unnecessary immune response</w:t>
            </w:r>
          </w:p>
          <w:p w14:paraId="3ADF4B7C"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Different studies observed no significant association between the recurrence susceptibility and the presence of these serum-specific antibodies. Hence, it could be speculated that antibody presence does not necessarily prevent disease recurrence</w:t>
            </w:r>
          </w:p>
          <w:p w14:paraId="235FB0BC"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Immunity failure may lead to prolonged viral shedding of the non-viable virus, replication of a viable virus, or reinfection. The absence of sufficient immunity in patients with re-positive SARS-CoV-2 test was observed. One paper stated that plasma obtained from COVID 19-positive individuals did not have high levels of neutralising antibodies but had receptor-binding domain-specific antibodies with strong antiviral activity. This had led to the hypothesis that high affinity versus low avidity could cause the virus to escape the immune system due to low levels of antibodies. However, over the time, the avidity of the antibodies increases, and diagnostic tests detect the viral remnants</w:t>
            </w:r>
          </w:p>
          <w:p w14:paraId="290BEA39" w14:textId="77777777" w:rsidR="006A4C7D" w:rsidRPr="006A4C7D" w:rsidRDefault="006A4C7D" w:rsidP="006A4C7D">
            <w:pPr>
              <w:widowControl w:val="0"/>
              <w:numPr>
                <w:ilvl w:val="0"/>
                <w:numId w:val="16"/>
              </w:numPr>
              <w:spacing w:line="276" w:lineRule="auto"/>
              <w:ind w:left="232" w:right="-112" w:hanging="232"/>
              <w:contextualSpacing/>
              <w:rPr>
                <w:rFonts w:eastAsia="Times New Roman"/>
                <w:b/>
                <w:color w:val="000000"/>
                <w:sz w:val="28"/>
                <w:szCs w:val="28"/>
              </w:rPr>
            </w:pPr>
            <w:r w:rsidRPr="006A4C7D">
              <w:rPr>
                <w:rFonts w:eastAsia="Times New Roman"/>
                <w:color w:val="000000"/>
                <w:sz w:val="18"/>
                <w:szCs w:val="18"/>
              </w:rPr>
              <w:t>One paper showed that despite the usefulness of specific immunosuppressive drugs in the treatment of COVID-19, non-selective immunosuppressive drugs, such as prednisolone, may cause recurrence, even with first clinical improvement</w:t>
            </w:r>
          </w:p>
        </w:tc>
        <w:tc>
          <w:tcPr>
            <w:tcW w:w="4637" w:type="dxa"/>
          </w:tcPr>
          <w:p w14:paraId="492562F3"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There is a relatively notable risk of disease recurrence in previously recovered patients, even those who are immunised against the virus .</w:t>
            </w:r>
          </w:p>
          <w:p w14:paraId="3A51E0BD"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In conclusion, although the underlying cause is not clear, recovered patients, even those with detectable anti-SARS-CoV-2 IgG may show disease recurrence.</w:t>
            </w:r>
          </w:p>
        </w:tc>
      </w:tr>
      <w:tr w:rsidR="006A4C7D" w:rsidRPr="006A4C7D" w14:paraId="71D36F87" w14:textId="77777777" w:rsidTr="005B6A90">
        <w:tc>
          <w:tcPr>
            <w:tcW w:w="1042" w:type="dxa"/>
          </w:tcPr>
          <w:p w14:paraId="731A9299"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Willi 2021</w:t>
            </w:r>
          </w:p>
        </w:tc>
        <w:tc>
          <w:tcPr>
            <w:tcW w:w="1505" w:type="dxa"/>
          </w:tcPr>
          <w:p w14:paraId="5D76F948"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COVID-19 sequelae in adults aged less than 50 years: A systematic review</w:t>
            </w:r>
          </w:p>
        </w:tc>
        <w:tc>
          <w:tcPr>
            <w:tcW w:w="7740" w:type="dxa"/>
          </w:tcPr>
          <w:p w14:paraId="3846292E"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Main long-term sequelae highlighted:</w:t>
            </w:r>
          </w:p>
          <w:p w14:paraId="76A6A45F"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Persistent fatigue (39-73% of assessed persons); breathlessness (39-74%); decrease in quality of life (44-69%); impaired pulmonary function, abnormal CT findings including pulmonary fibrosis (39-83%); peri-/</w:t>
            </w:r>
            <w:proofErr w:type="spellStart"/>
            <w:r w:rsidRPr="006A4C7D">
              <w:rPr>
                <w:rFonts w:eastAsia="Times New Roman"/>
                <w:color w:val="000000"/>
                <w:sz w:val="18"/>
                <w:szCs w:val="18"/>
              </w:rPr>
              <w:t>perimyo</w:t>
            </w:r>
            <w:proofErr w:type="spellEnd"/>
            <w:r w:rsidRPr="006A4C7D">
              <w:rPr>
                <w:rFonts w:eastAsia="Times New Roman"/>
                <w:color w:val="000000"/>
                <w:sz w:val="18"/>
                <w:szCs w:val="18"/>
              </w:rPr>
              <w:t>-/myocarditis (3-26%); changes in microstructural and functional brain integrity with persistent neurological symptoms (55%); increased incidence of psychiatric diagnoses (5.8% vs. 2.5-3.4% in controls); incomplete recovery of olfactory/gustatory dysfunction (33-36%), formerly employed participants have not returned to work, altered immune cell counts, thrombocytopenia, persistent lower limb weakness, subacute thyroiditis.</w:t>
            </w:r>
          </w:p>
        </w:tc>
        <w:tc>
          <w:tcPr>
            <w:tcW w:w="7741" w:type="dxa"/>
          </w:tcPr>
          <w:p w14:paraId="71FCC878"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 xml:space="preserve">Respiratory system: abnormal CT findings, impaired lung function observed, pulmonary fibrosis as radiological finding, </w:t>
            </w:r>
            <w:proofErr w:type="spellStart"/>
            <w:r w:rsidRPr="006A4C7D">
              <w:rPr>
                <w:rFonts w:eastAsia="Times New Roman"/>
                <w:color w:val="000000"/>
                <w:sz w:val="18"/>
                <w:szCs w:val="18"/>
              </w:rPr>
              <w:t>hypoperfused</w:t>
            </w:r>
            <w:proofErr w:type="spellEnd"/>
            <w:r w:rsidRPr="006A4C7D">
              <w:rPr>
                <w:rFonts w:eastAsia="Times New Roman"/>
                <w:color w:val="000000"/>
                <w:sz w:val="18"/>
                <w:szCs w:val="18"/>
              </w:rPr>
              <w:t xml:space="preserve"> lung volume.</w:t>
            </w:r>
          </w:p>
          <w:p w14:paraId="09A39C75"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 xml:space="preserve">Cardiovascular &amp; haematological system: peri-, </w:t>
            </w:r>
            <w:proofErr w:type="spellStart"/>
            <w:r w:rsidRPr="006A4C7D">
              <w:rPr>
                <w:rFonts w:eastAsia="Times New Roman"/>
                <w:color w:val="000000"/>
                <w:sz w:val="18"/>
                <w:szCs w:val="18"/>
              </w:rPr>
              <w:t>myoperi</w:t>
            </w:r>
            <w:proofErr w:type="spellEnd"/>
            <w:r w:rsidRPr="006A4C7D">
              <w:rPr>
                <w:rFonts w:eastAsia="Times New Roman"/>
                <w:color w:val="000000"/>
                <w:sz w:val="18"/>
                <w:szCs w:val="18"/>
              </w:rPr>
              <w:t>-, and myocarditis in 3-26%, altered immune cell counts, thrombocytopenia.</w:t>
            </w:r>
          </w:p>
          <w:p w14:paraId="64B5E787"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Neurological system &amp; mental health: MRI findings of disruptions to microstructural and functional brain integrity.</w:t>
            </w:r>
          </w:p>
          <w:p w14:paraId="31801AA2"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Endocrinological system: subacute thyroiditis.</w:t>
            </w:r>
          </w:p>
          <w:p w14:paraId="1A8A849B"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 SARS-CoV-2 can directly damage lung, heart, liver and kidney tissue, gastrointestinal mucosa, vascular endothelium, macrophages, T-</w:t>
            </w:r>
            <w:proofErr w:type="gramStart"/>
            <w:r w:rsidRPr="006A4C7D">
              <w:rPr>
                <w:rFonts w:eastAsia="Times New Roman"/>
                <w:color w:val="000000"/>
                <w:sz w:val="18"/>
                <w:szCs w:val="18"/>
              </w:rPr>
              <w:t>lymphocytes</w:t>
            </w:r>
            <w:proofErr w:type="gramEnd"/>
            <w:r w:rsidRPr="006A4C7D">
              <w:rPr>
                <w:rFonts w:eastAsia="Times New Roman"/>
                <w:color w:val="000000"/>
                <w:sz w:val="18"/>
                <w:szCs w:val="18"/>
              </w:rPr>
              <w:t xml:space="preserve"> and neurons. In some patients the infection leads to a massive release of cytokines, a cytokine storm, which indirectly results in extensive tissue damage.”</w:t>
            </w:r>
          </w:p>
          <w:p w14:paraId="4F0DFA49"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“A miscommunication in the inflammatory response pathways, especially cytokine networks, might be the underlying cause of chronic fatigue. It has been hypothesized that COVID-19 infection might lead to higher cancer risk through the activation of the MAPK and JAK-STAT pathway upon infection and the weakened immune system following a cytokine storm.”</w:t>
            </w:r>
          </w:p>
          <w:p w14:paraId="6647A366"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Hypothesized role of SARS-CoV-2 in pancreatic damage and subsequent development of diabetes, in hypothalamic-pituitary-adrenal axis dysfunction and adrenal insufficiency and in hypothalamic-pituitary-thyroid axis dysfunction with thyroid damage, as seen in SARS-</w:t>
            </w:r>
            <w:proofErr w:type="spellStart"/>
            <w:r w:rsidRPr="006A4C7D">
              <w:rPr>
                <w:rFonts w:eastAsia="Times New Roman"/>
                <w:color w:val="000000"/>
                <w:sz w:val="18"/>
                <w:szCs w:val="18"/>
              </w:rPr>
              <w:t>CoV</w:t>
            </w:r>
            <w:proofErr w:type="spellEnd"/>
            <w:r w:rsidRPr="006A4C7D">
              <w:rPr>
                <w:rFonts w:eastAsia="Times New Roman"/>
                <w:color w:val="000000"/>
                <w:sz w:val="18"/>
                <w:szCs w:val="18"/>
              </w:rPr>
              <w:t xml:space="preserve"> infection. </w:t>
            </w:r>
          </w:p>
          <w:p w14:paraId="65547AEF" w14:textId="77777777" w:rsidR="006A4C7D" w:rsidRPr="006A4C7D" w:rsidRDefault="006A4C7D" w:rsidP="006A4C7D">
            <w:pPr>
              <w:widowControl w:val="0"/>
              <w:numPr>
                <w:ilvl w:val="0"/>
                <w:numId w:val="10"/>
              </w:numPr>
              <w:spacing w:line="276" w:lineRule="auto"/>
              <w:ind w:left="232" w:right="-112" w:hanging="232"/>
              <w:contextualSpacing/>
              <w:rPr>
                <w:rFonts w:eastAsia="Times New Roman"/>
                <w:b/>
                <w:color w:val="FF0000"/>
                <w:sz w:val="28"/>
                <w:szCs w:val="28"/>
              </w:rPr>
            </w:pPr>
            <w:r w:rsidRPr="006A4C7D">
              <w:rPr>
                <w:rFonts w:eastAsia="Times New Roman"/>
                <w:color w:val="000000"/>
                <w:sz w:val="18"/>
                <w:szCs w:val="18"/>
              </w:rPr>
              <w:t>As ACE2 is highly expressed by the human testis, an infection might lead to testicular damage and associated male infertility.</w:t>
            </w:r>
          </w:p>
        </w:tc>
        <w:tc>
          <w:tcPr>
            <w:tcW w:w="4637" w:type="dxa"/>
          </w:tcPr>
          <w:p w14:paraId="74FD1ED4"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Close attention should be paid to residual impairments in multi-organ function, especially persistent reduced lung function and carditis, and to mental health and neurological sequelae including post-viral fatigue syndrome. </w:t>
            </w:r>
          </w:p>
          <w:p w14:paraId="2D949C75"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Further research should include lung function tests and sensitive test batteries to detect long-lasting structural and functional damage to the cardiopulmonary and the neurological system.</w:t>
            </w:r>
          </w:p>
          <w:p w14:paraId="39430EA5"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Patients suffering from post-viral fatigue syndrome and mental health impairments could be followed-up routinely with questionnaires to monitor disease course.</w:t>
            </w:r>
          </w:p>
          <w:p w14:paraId="5C95971F"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In general, study test batteries to follow up on sequelae should be carefully designed to detect subtle, long-term sequelae.</w:t>
            </w:r>
          </w:p>
        </w:tc>
      </w:tr>
      <w:tr w:rsidR="006A4C7D" w:rsidRPr="006A4C7D" w14:paraId="0BFD336B" w14:textId="77777777" w:rsidTr="005B6A90">
        <w:tc>
          <w:tcPr>
            <w:tcW w:w="1042" w:type="dxa"/>
          </w:tcPr>
          <w:p w14:paraId="576A8421"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Ramadan 2021</w:t>
            </w:r>
          </w:p>
        </w:tc>
        <w:tc>
          <w:tcPr>
            <w:tcW w:w="1505" w:type="dxa"/>
          </w:tcPr>
          <w:p w14:paraId="2C5BCA05"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Cardiac sequelae after coronavirus disease 2019 recovery: a systematic review</w:t>
            </w:r>
          </w:p>
        </w:tc>
        <w:tc>
          <w:tcPr>
            <w:tcW w:w="7740" w:type="dxa"/>
          </w:tcPr>
          <w:p w14:paraId="5861E819"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Increased T1  and T2 intensity</w:t>
            </w:r>
            <w:r w:rsidRPr="006A4C7D">
              <w:rPr>
                <w:rFonts w:eastAsia="Times New Roman"/>
                <w:color w:val="000000"/>
                <w:sz w:val="18"/>
                <w:szCs w:val="18"/>
              </w:rPr>
              <w:br/>
              <w:t xml:space="preserve">- Late gadolinium enhancement </w:t>
            </w:r>
            <w:r w:rsidRPr="006A4C7D">
              <w:rPr>
                <w:rFonts w:eastAsia="Times New Roman"/>
                <w:color w:val="000000"/>
                <w:sz w:val="18"/>
                <w:szCs w:val="18"/>
              </w:rPr>
              <w:br/>
              <w:t xml:space="preserve">- Pericardial effusion </w:t>
            </w:r>
            <w:r w:rsidRPr="006A4C7D">
              <w:rPr>
                <w:rFonts w:eastAsia="Times New Roman"/>
                <w:color w:val="000000"/>
                <w:sz w:val="18"/>
                <w:szCs w:val="18"/>
              </w:rPr>
              <w:br/>
              <w:t>- Decreased global longitudinal strain</w:t>
            </w:r>
            <w:r w:rsidRPr="006A4C7D">
              <w:rPr>
                <w:rFonts w:eastAsia="Times New Roman"/>
                <w:color w:val="000000"/>
                <w:sz w:val="18"/>
                <w:szCs w:val="18"/>
              </w:rPr>
              <w:br/>
              <w:t>- Decreased left ventricular ejection fraction</w:t>
            </w:r>
            <w:r w:rsidRPr="006A4C7D">
              <w:rPr>
                <w:rFonts w:eastAsia="Times New Roman"/>
                <w:color w:val="000000"/>
                <w:sz w:val="18"/>
                <w:szCs w:val="18"/>
              </w:rPr>
              <w:br/>
              <w:t>- Pericardial enhancement</w:t>
            </w:r>
            <w:r w:rsidRPr="006A4C7D">
              <w:rPr>
                <w:rFonts w:eastAsia="Times New Roman"/>
                <w:color w:val="000000"/>
                <w:sz w:val="18"/>
                <w:szCs w:val="18"/>
              </w:rPr>
              <w:br/>
              <w:t>- Elevated extracellular volume</w:t>
            </w:r>
            <w:r w:rsidRPr="006A4C7D">
              <w:rPr>
                <w:rFonts w:eastAsia="Times New Roman"/>
                <w:color w:val="000000"/>
                <w:sz w:val="18"/>
                <w:szCs w:val="18"/>
              </w:rPr>
              <w:br/>
              <w:t>- Pericardial effusion</w:t>
            </w:r>
            <w:r w:rsidRPr="006A4C7D">
              <w:rPr>
                <w:rFonts w:eastAsia="Times New Roman"/>
                <w:color w:val="000000"/>
                <w:sz w:val="18"/>
                <w:szCs w:val="18"/>
              </w:rPr>
              <w:br/>
              <w:t>- Global hypokinesis</w:t>
            </w:r>
            <w:r w:rsidRPr="006A4C7D">
              <w:rPr>
                <w:rFonts w:eastAsia="Times New Roman"/>
                <w:color w:val="000000"/>
                <w:sz w:val="18"/>
                <w:szCs w:val="18"/>
              </w:rPr>
              <w:br/>
            </w:r>
            <w:r w:rsidRPr="006A4C7D">
              <w:rPr>
                <w:rFonts w:eastAsia="Times New Roman"/>
                <w:color w:val="000000"/>
                <w:sz w:val="18"/>
                <w:szCs w:val="18"/>
              </w:rPr>
              <w:lastRenderedPageBreak/>
              <w:t>- Left ventricular hypertrophy</w:t>
            </w:r>
            <w:r w:rsidRPr="006A4C7D">
              <w:rPr>
                <w:rFonts w:eastAsia="Times New Roman"/>
                <w:color w:val="000000"/>
                <w:sz w:val="18"/>
                <w:szCs w:val="18"/>
              </w:rPr>
              <w:br/>
              <w:t>- Diastolic dysfunction</w:t>
            </w:r>
            <w:r w:rsidRPr="006A4C7D">
              <w:rPr>
                <w:rFonts w:eastAsia="Times New Roman"/>
                <w:color w:val="000000"/>
                <w:sz w:val="18"/>
                <w:szCs w:val="18"/>
              </w:rPr>
              <w:br/>
              <w:t>- Pulmonary hypertension</w:t>
            </w:r>
            <w:r w:rsidRPr="006A4C7D">
              <w:rPr>
                <w:rFonts w:eastAsia="Times New Roman"/>
                <w:color w:val="000000"/>
                <w:sz w:val="18"/>
                <w:szCs w:val="18"/>
              </w:rPr>
              <w:br/>
              <w:t>- Reduced global longitudinal strain</w:t>
            </w:r>
            <w:r w:rsidRPr="006A4C7D">
              <w:rPr>
                <w:rFonts w:eastAsia="Times New Roman"/>
                <w:color w:val="000000"/>
                <w:sz w:val="18"/>
                <w:szCs w:val="18"/>
              </w:rPr>
              <w:br/>
              <w:t>- T-wave changes</w:t>
            </w:r>
            <w:r w:rsidRPr="006A4C7D">
              <w:rPr>
                <w:rFonts w:eastAsia="Times New Roman"/>
                <w:color w:val="000000"/>
                <w:sz w:val="18"/>
                <w:szCs w:val="18"/>
              </w:rPr>
              <w:br/>
              <w:t>- ST segment changes including elevation and depression</w:t>
            </w:r>
            <w:r w:rsidRPr="006A4C7D">
              <w:rPr>
                <w:rFonts w:eastAsia="Times New Roman"/>
                <w:color w:val="000000"/>
                <w:sz w:val="18"/>
                <w:szCs w:val="18"/>
              </w:rPr>
              <w:br/>
              <w:t>- Right bundle branch block</w:t>
            </w:r>
            <w:r w:rsidRPr="006A4C7D">
              <w:rPr>
                <w:rFonts w:eastAsia="Times New Roman"/>
                <w:color w:val="000000"/>
                <w:sz w:val="18"/>
                <w:szCs w:val="18"/>
              </w:rPr>
              <w:br/>
              <w:t>- Sinus tachycardia</w:t>
            </w:r>
            <w:r w:rsidRPr="006A4C7D">
              <w:rPr>
                <w:rFonts w:eastAsia="Times New Roman"/>
                <w:color w:val="000000"/>
                <w:sz w:val="18"/>
                <w:szCs w:val="18"/>
              </w:rPr>
              <w:br/>
              <w:t>- Elevated troponin</w:t>
            </w:r>
            <w:r w:rsidRPr="006A4C7D">
              <w:rPr>
                <w:rFonts w:eastAsia="Times New Roman"/>
                <w:color w:val="000000"/>
                <w:sz w:val="18"/>
                <w:szCs w:val="18"/>
              </w:rPr>
              <w:br/>
              <w:t>-</w:t>
            </w:r>
            <w:proofErr w:type="spellStart"/>
            <w:r w:rsidRPr="006A4C7D">
              <w:rPr>
                <w:rFonts w:eastAsia="Times New Roman"/>
                <w:color w:val="000000"/>
                <w:sz w:val="18"/>
                <w:szCs w:val="18"/>
              </w:rPr>
              <w:t>Iincreased</w:t>
            </w:r>
            <w:proofErr w:type="spellEnd"/>
            <w:r w:rsidRPr="006A4C7D">
              <w:rPr>
                <w:rFonts w:eastAsia="Times New Roman"/>
                <w:color w:val="000000"/>
                <w:sz w:val="18"/>
                <w:szCs w:val="18"/>
              </w:rPr>
              <w:t xml:space="preserve"> NT-pro-BNP levels</w:t>
            </w:r>
            <w:r w:rsidRPr="006A4C7D">
              <w:rPr>
                <w:rFonts w:eastAsia="Times New Roman"/>
                <w:color w:val="000000"/>
                <w:sz w:val="18"/>
                <w:szCs w:val="18"/>
              </w:rPr>
              <w:br/>
              <w:t>- Inflammation</w:t>
            </w:r>
            <w:r w:rsidRPr="006A4C7D">
              <w:rPr>
                <w:rFonts w:eastAsia="Times New Roman"/>
                <w:color w:val="000000"/>
                <w:sz w:val="18"/>
                <w:szCs w:val="18"/>
              </w:rPr>
              <w:br/>
              <w:t>- Chest pain</w:t>
            </w:r>
            <w:r w:rsidRPr="006A4C7D">
              <w:rPr>
                <w:rFonts w:eastAsia="Times New Roman"/>
                <w:color w:val="000000"/>
                <w:sz w:val="18"/>
                <w:szCs w:val="18"/>
              </w:rPr>
              <w:br/>
              <w:t>- Dyspnoea</w:t>
            </w:r>
            <w:r w:rsidRPr="006A4C7D">
              <w:rPr>
                <w:rFonts w:eastAsia="Times New Roman"/>
                <w:color w:val="000000"/>
                <w:sz w:val="18"/>
                <w:szCs w:val="18"/>
              </w:rPr>
              <w:br/>
              <w:t>- Palpitations</w:t>
            </w:r>
            <w:r w:rsidRPr="006A4C7D">
              <w:rPr>
                <w:rFonts w:eastAsia="Times New Roman"/>
                <w:color w:val="000000"/>
                <w:sz w:val="18"/>
                <w:szCs w:val="18"/>
              </w:rPr>
              <w:br/>
              <w:t>- Heart failure</w:t>
            </w:r>
            <w:r w:rsidRPr="006A4C7D">
              <w:rPr>
                <w:rFonts w:eastAsia="Times New Roman"/>
                <w:color w:val="000000"/>
                <w:sz w:val="18"/>
                <w:szCs w:val="18"/>
              </w:rPr>
              <w:br/>
              <w:t>- Myocardial infarction</w:t>
            </w:r>
            <w:r w:rsidRPr="006A4C7D">
              <w:rPr>
                <w:rFonts w:eastAsia="Times New Roman"/>
                <w:color w:val="000000"/>
                <w:sz w:val="18"/>
                <w:szCs w:val="18"/>
              </w:rPr>
              <w:br/>
              <w:t>- Stroke</w:t>
            </w:r>
            <w:r w:rsidRPr="006A4C7D">
              <w:rPr>
                <w:rFonts w:eastAsia="Times New Roman"/>
                <w:color w:val="000000"/>
                <w:sz w:val="18"/>
                <w:szCs w:val="18"/>
              </w:rPr>
              <w:br/>
              <w:t>- Arrhythmia</w:t>
            </w:r>
            <w:r w:rsidRPr="006A4C7D">
              <w:rPr>
                <w:rFonts w:eastAsia="Times New Roman"/>
                <w:color w:val="000000"/>
                <w:sz w:val="18"/>
                <w:szCs w:val="18"/>
              </w:rPr>
              <w:br/>
              <w:t>- Myocarditis</w:t>
            </w:r>
            <w:r w:rsidRPr="006A4C7D">
              <w:rPr>
                <w:rFonts w:eastAsia="Times New Roman"/>
                <w:color w:val="000000"/>
                <w:sz w:val="18"/>
                <w:szCs w:val="18"/>
              </w:rPr>
              <w:br/>
              <w:t>- Myopericarditis</w:t>
            </w:r>
            <w:r w:rsidRPr="006A4C7D">
              <w:rPr>
                <w:rFonts w:eastAsia="Times New Roman"/>
                <w:color w:val="000000"/>
                <w:sz w:val="18"/>
                <w:szCs w:val="18"/>
              </w:rPr>
              <w:br/>
              <w:t>-  Pericarditis</w:t>
            </w:r>
            <w:r w:rsidRPr="006A4C7D">
              <w:rPr>
                <w:rFonts w:eastAsia="Times New Roman"/>
                <w:color w:val="000000"/>
                <w:sz w:val="18"/>
                <w:szCs w:val="18"/>
              </w:rPr>
              <w:br/>
              <w:t xml:space="preserve">- Hypertrophic cardiomyopathy </w:t>
            </w:r>
            <w:r w:rsidRPr="006A4C7D">
              <w:rPr>
                <w:rFonts w:eastAsia="Times New Roman"/>
                <w:color w:val="000000"/>
                <w:sz w:val="18"/>
                <w:szCs w:val="18"/>
              </w:rPr>
              <w:br/>
              <w:t>- Two-vessel coronary artery disease including left anterior descending artery occlusion in one patient and left anterior descending artery occlusion in another patient</w:t>
            </w:r>
            <w:r w:rsidRPr="006A4C7D">
              <w:rPr>
                <w:rFonts w:eastAsia="Times New Roman"/>
                <w:color w:val="000000"/>
                <w:sz w:val="18"/>
                <w:szCs w:val="18"/>
              </w:rPr>
              <w:br/>
              <w:t>Notes:</w:t>
            </w:r>
            <w:r w:rsidRPr="006A4C7D">
              <w:rPr>
                <w:rFonts w:eastAsia="Times New Roman"/>
                <w:color w:val="000000"/>
                <w:sz w:val="18"/>
                <w:szCs w:val="18"/>
              </w:rPr>
              <w:br/>
              <w:t>1.  new-onset major cardiovascular adverse events totalling 66 per 1000 patient-years (compared with 12.3 per 1000 patient-years)</w:t>
            </w:r>
            <w:r w:rsidRPr="006A4C7D">
              <w:rPr>
                <w:rFonts w:eastAsia="Times New Roman"/>
                <w:color w:val="000000"/>
                <w:sz w:val="18"/>
                <w:szCs w:val="18"/>
              </w:rPr>
              <w:br/>
              <w:t>2. Re. CMR, 785 patients, "no study reported completely normal CMR results on all included patients".</w:t>
            </w:r>
          </w:p>
        </w:tc>
        <w:tc>
          <w:tcPr>
            <w:tcW w:w="7741" w:type="dxa"/>
          </w:tcPr>
          <w:p w14:paraId="3F11EF75" w14:textId="77777777" w:rsidR="006A4C7D" w:rsidRPr="006A4C7D" w:rsidRDefault="006A4C7D" w:rsidP="006A4C7D">
            <w:pPr>
              <w:widowControl w:val="0"/>
              <w:numPr>
                <w:ilvl w:val="0"/>
                <w:numId w:val="10"/>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lastRenderedPageBreak/>
              <w:t>SARS-CoV-2 attaches to the angiotensin-converting enzyme 2 receptor, found on the surface of host cells, and highly expressed in the heart, kidneys, lungs and blood vessels. This could explain direct damage though cell invasion, translating into increased inflammation and coagulation, which could provide a pathophysiological basis for cardiac injury.</w:t>
            </w:r>
          </w:p>
          <w:p w14:paraId="2E1C3652" w14:textId="77777777" w:rsidR="006A4C7D" w:rsidRPr="006A4C7D" w:rsidRDefault="006A4C7D" w:rsidP="006A4C7D">
            <w:pPr>
              <w:widowControl w:val="0"/>
              <w:numPr>
                <w:ilvl w:val="0"/>
                <w:numId w:val="10"/>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"Short-term findings could point towards an active inflammatory process of the myocardium."</w:t>
            </w:r>
          </w:p>
          <w:p w14:paraId="0B5CA0F7" w14:textId="77777777" w:rsidR="006A4C7D" w:rsidRPr="006A4C7D" w:rsidRDefault="006A4C7D" w:rsidP="006A4C7D">
            <w:pPr>
              <w:widowControl w:val="0"/>
              <w:numPr>
                <w:ilvl w:val="0"/>
                <w:numId w:val="10"/>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"Diastolic dysfunction and pulmonary hypertension could result from direct viral injury and/or indirectly from chronic pulmonary disease and ongoing inflammation."</w:t>
            </w:r>
          </w:p>
        </w:tc>
        <w:tc>
          <w:tcPr>
            <w:tcW w:w="4637" w:type="dxa"/>
          </w:tcPr>
          <w:p w14:paraId="7B97C78B"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"Included studies demonstrate increased risk of clinical and subclinical cardiac sequelae in individuals who have recovered from COVID-19. Clinically, these patients seemed to be at a greater risk than controls who had never had COVID-19 for a range of cardiac diseases, including heart failure, myocardial infarction, myocarditis, pericarditis and arrythmia."</w:t>
            </w:r>
            <w:r w:rsidRPr="006A4C7D">
              <w:rPr>
                <w:rFonts w:eastAsia="Times New Roman"/>
                <w:b/>
                <w:color w:val="000000"/>
                <w:sz w:val="18"/>
                <w:szCs w:val="18"/>
              </w:rPr>
              <w:br/>
              <w:t xml:space="preserve">"Myocarditis was reported in groups with asymptomatic/mild COVID-and in healthy populations such </w:t>
            </w:r>
            <w:r w:rsidRPr="006A4C7D">
              <w:rPr>
                <w:rFonts w:eastAsia="Times New Roman"/>
                <w:b/>
                <w:color w:val="000000"/>
                <w:sz w:val="18"/>
                <w:szCs w:val="18"/>
              </w:rPr>
              <w:lastRenderedPageBreak/>
              <w:t>as athletes, but without evidence of a greater arrythmia risk."</w:t>
            </w:r>
            <w:r w:rsidRPr="006A4C7D">
              <w:rPr>
                <w:rFonts w:eastAsia="Times New Roman"/>
                <w:b/>
                <w:color w:val="000000"/>
                <w:sz w:val="18"/>
                <w:szCs w:val="18"/>
              </w:rPr>
              <w:br/>
            </w:r>
          </w:p>
          <w:p w14:paraId="08CF18F5"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Potential mechanisms only briefly mentioned, primarily the virus attaching to ACE2 receptors causing direct damage, inflammation and coagulation.</w:t>
            </w:r>
          </w:p>
        </w:tc>
      </w:tr>
      <w:tr w:rsidR="006A4C7D" w:rsidRPr="006A4C7D" w14:paraId="03065918" w14:textId="77777777" w:rsidTr="005B6A90">
        <w:tc>
          <w:tcPr>
            <w:tcW w:w="1042" w:type="dxa"/>
          </w:tcPr>
          <w:p w14:paraId="527CEFEE" w14:textId="77777777"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lastRenderedPageBreak/>
              <w:t>Michelen</w:t>
            </w:r>
            <w:proofErr w:type="spellEnd"/>
            <w:r w:rsidRPr="006A4C7D">
              <w:rPr>
                <w:rFonts w:eastAsia="Times New Roman"/>
                <w:b/>
                <w:color w:val="000000"/>
                <w:sz w:val="18"/>
                <w:szCs w:val="18"/>
              </w:rPr>
              <w:t xml:space="preserve"> 2021</w:t>
            </w:r>
          </w:p>
        </w:tc>
        <w:tc>
          <w:tcPr>
            <w:tcW w:w="1505" w:type="dxa"/>
          </w:tcPr>
          <w:p w14:paraId="1E0D610B"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Characterising long COVID: a living systematic review</w:t>
            </w:r>
          </w:p>
        </w:tc>
        <w:tc>
          <w:tcPr>
            <w:tcW w:w="7740" w:type="dxa"/>
          </w:tcPr>
          <w:p w14:paraId="0250A5D6"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Most commonly reported symptoms (prevalence &gt;=25%) were: weakness (41%); general malaise (33%); fatigue (31%); concentration impairment (26%); breathlessness (25%).</w:t>
            </w:r>
          </w:p>
          <w:p w14:paraId="6AF6B71D" w14:textId="77777777" w:rsidR="006A4C7D" w:rsidRPr="006A4C7D" w:rsidRDefault="006A4C7D" w:rsidP="006A4C7D">
            <w:pPr>
              <w:widowControl w:val="0"/>
              <w:spacing w:before="120" w:line="276" w:lineRule="auto"/>
              <w:ind w:right="-39"/>
              <w:rPr>
                <w:rFonts w:eastAsia="Times New Roman"/>
                <w:color w:val="000000"/>
                <w:sz w:val="18"/>
                <w:szCs w:val="18"/>
              </w:rPr>
            </w:pPr>
            <w:r w:rsidRPr="006A4C7D">
              <w:rPr>
                <w:rFonts w:eastAsia="Times New Roman"/>
                <w:color w:val="000000"/>
                <w:sz w:val="18"/>
                <w:szCs w:val="18"/>
              </w:rPr>
              <w:t>Hospitalised patients:</w:t>
            </w:r>
          </w:p>
          <w:p w14:paraId="15DBD278"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Neurological and neuromuscular symptoms: headache; tremors; slowness of movement; lack of coordination; muscle atrophy; abnormal muscle tone; walking/gait abnormality; taste disturbance; smell disturbance; visual disturbance; decreased sensation or sensibility; tingling; trigeminal neuralgia; abnormal reflex status; other neurological diseases.</w:t>
            </w:r>
          </w:p>
          <w:p w14:paraId="2D26049C"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Neurocognitive symptoms: memory impairment; concentration impairment; confusion; frontal release signs; other cognitive impairment.</w:t>
            </w:r>
          </w:p>
          <w:p w14:paraId="268BA54C"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Psychological and social symptoms: anxiety; depression; sleep disorder; post-traumatic stress disorder; low mood; reduced quality of life; care dependency.</w:t>
            </w:r>
            <w:r w:rsidRPr="006A4C7D">
              <w:rPr>
                <w:rFonts w:eastAsia="Times New Roman"/>
                <w:color w:val="000000"/>
                <w:sz w:val="18"/>
                <w:szCs w:val="18"/>
              </w:rPr>
              <w:br/>
              <w:t>- Upper respiratory symptoms: sore throat; nasal congestion; voice change; other respiratory symptoms.</w:t>
            </w:r>
            <w:r w:rsidRPr="006A4C7D">
              <w:rPr>
                <w:rFonts w:eastAsia="Times New Roman"/>
                <w:color w:val="000000"/>
                <w:sz w:val="18"/>
                <w:szCs w:val="18"/>
              </w:rPr>
              <w:br/>
              <w:t>- Cardiopulmonary symptoms: breathlessness; chest pain; cough; excessive sputum; palpitations; flushing; newly diagnosed hypertension; other cardiovascular symptoms.</w:t>
            </w:r>
            <w:r w:rsidRPr="006A4C7D">
              <w:rPr>
                <w:rFonts w:eastAsia="Times New Roman"/>
                <w:color w:val="000000"/>
                <w:sz w:val="18"/>
                <w:szCs w:val="18"/>
              </w:rPr>
              <w:br/>
              <w:t>- Musculoskeletal symptoms: muscle pain; joint pain; impaired mobility.</w:t>
            </w:r>
            <w:r w:rsidRPr="006A4C7D">
              <w:rPr>
                <w:rFonts w:eastAsia="Times New Roman"/>
                <w:color w:val="000000"/>
                <w:sz w:val="18"/>
                <w:szCs w:val="18"/>
              </w:rPr>
              <w:br/>
              <w:t>- Gastrointestinal symptoms: nausea or vomiting; diarrhoea; loss of appetite; stomach/abdominal pain; other stomach/abdominal discomfort; weight loss; bloody stools.</w:t>
            </w:r>
            <w:r w:rsidRPr="006A4C7D">
              <w:rPr>
                <w:rFonts w:eastAsia="Times New Roman"/>
                <w:color w:val="000000"/>
                <w:sz w:val="18"/>
                <w:szCs w:val="18"/>
              </w:rPr>
              <w:br/>
              <w:t>- Systemic symptoms: fatigue; weakness; fever; sweat or night sweats; general malaise; dizziness.</w:t>
            </w:r>
            <w:r w:rsidRPr="006A4C7D">
              <w:rPr>
                <w:rFonts w:eastAsia="Times New Roman"/>
                <w:color w:val="000000"/>
                <w:sz w:val="18"/>
                <w:szCs w:val="18"/>
              </w:rPr>
              <w:br/>
              <w:t>- Other symptoms: skin rash; hair loss.</w:t>
            </w:r>
          </w:p>
          <w:p w14:paraId="5651192B" w14:textId="77777777" w:rsidR="006A4C7D" w:rsidRPr="006A4C7D" w:rsidRDefault="006A4C7D" w:rsidP="006A4C7D">
            <w:pPr>
              <w:widowControl w:val="0"/>
              <w:spacing w:before="120" w:line="276" w:lineRule="auto"/>
              <w:ind w:right="-39"/>
              <w:rPr>
                <w:rFonts w:eastAsia="Times New Roman"/>
                <w:color w:val="000000"/>
                <w:sz w:val="18"/>
                <w:szCs w:val="18"/>
              </w:rPr>
            </w:pPr>
            <w:r w:rsidRPr="006A4C7D">
              <w:rPr>
                <w:rFonts w:eastAsia="Times New Roman"/>
                <w:color w:val="000000"/>
                <w:sz w:val="18"/>
                <w:szCs w:val="18"/>
              </w:rPr>
              <w:t>Non-hospitalised patients:</w:t>
            </w:r>
          </w:p>
          <w:p w14:paraId="003F682F"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Neurological and neuromuscular symptoms: headache; tremors; seizures/cramps; slowness of movement; lack of coordination; muscle atrophy; abnormal muscle tone; walking/gait abnormality; taste disturbance; smell disturbance; ear/hearing conditions; visual disturbance; decreased sensation </w:t>
            </w:r>
            <w:r w:rsidRPr="006A4C7D">
              <w:rPr>
                <w:rFonts w:eastAsia="Times New Roman"/>
                <w:color w:val="000000"/>
                <w:sz w:val="18"/>
                <w:szCs w:val="18"/>
              </w:rPr>
              <w:lastRenderedPageBreak/>
              <w:t>or sensibility; tingling; abnormal reflex status; other neurological diseases.</w:t>
            </w:r>
            <w:r w:rsidRPr="006A4C7D">
              <w:rPr>
                <w:rFonts w:eastAsia="Times New Roman"/>
                <w:color w:val="000000"/>
                <w:sz w:val="18"/>
                <w:szCs w:val="18"/>
              </w:rPr>
              <w:br/>
              <w:t>- Neurocognitive symptoms: same as Hospitalised patients.</w:t>
            </w:r>
            <w:r w:rsidRPr="006A4C7D">
              <w:rPr>
                <w:rFonts w:eastAsia="Times New Roman"/>
                <w:color w:val="000000"/>
                <w:sz w:val="18"/>
                <w:szCs w:val="18"/>
              </w:rPr>
              <w:br/>
              <w:t>- Psychological and social symptoms: same as Hospitalised patients.</w:t>
            </w:r>
            <w:r w:rsidRPr="006A4C7D">
              <w:rPr>
                <w:rFonts w:eastAsia="Times New Roman"/>
                <w:color w:val="000000"/>
                <w:sz w:val="18"/>
                <w:szCs w:val="18"/>
              </w:rPr>
              <w:br/>
              <w:t>- Upper respiratory symptoms: sore throat; nasal congestion; other respiratory symptoms.</w:t>
            </w:r>
            <w:r w:rsidRPr="006A4C7D">
              <w:rPr>
                <w:rFonts w:eastAsia="Times New Roman"/>
                <w:color w:val="000000"/>
                <w:sz w:val="18"/>
                <w:szCs w:val="18"/>
              </w:rPr>
              <w:br/>
              <w:t>- Cardiopulmonary symptoms: breathlessness; chest pain; cough; excessive sputum; palpitations; other cardiovascular symptoms.</w:t>
            </w:r>
            <w:r w:rsidRPr="006A4C7D">
              <w:rPr>
                <w:rFonts w:eastAsia="Times New Roman"/>
                <w:color w:val="000000"/>
                <w:sz w:val="18"/>
                <w:szCs w:val="18"/>
              </w:rPr>
              <w:br/>
              <w:t>- Musculoskeletal symptoms: same as Hospitalised patients.</w:t>
            </w:r>
            <w:r w:rsidRPr="006A4C7D">
              <w:rPr>
                <w:rFonts w:eastAsia="Times New Roman"/>
                <w:color w:val="000000"/>
                <w:sz w:val="18"/>
                <w:szCs w:val="18"/>
              </w:rPr>
              <w:br/>
              <w:t>- Gastrointestinal symptoms: nausea or vomiting; diarrhoea; stomach/abdominal pain; weight loss.</w:t>
            </w:r>
            <w:r w:rsidRPr="006A4C7D">
              <w:rPr>
                <w:rFonts w:eastAsia="Times New Roman"/>
                <w:color w:val="000000"/>
                <w:sz w:val="18"/>
                <w:szCs w:val="18"/>
              </w:rPr>
              <w:br/>
              <w:t>- Systemic symptoms: fatigue; weakness; fever; sweat or night sweats; enlarged lymph nodes; dizziness.</w:t>
            </w:r>
            <w:r w:rsidRPr="006A4C7D">
              <w:rPr>
                <w:rFonts w:eastAsia="Times New Roman"/>
                <w:color w:val="000000"/>
                <w:sz w:val="18"/>
                <w:szCs w:val="18"/>
              </w:rPr>
              <w:br/>
              <w:t>- Other symptoms: skin rash; hair loss; conjunctivitis.</w:t>
            </w:r>
          </w:p>
          <w:p w14:paraId="1B8C7339" w14:textId="77777777" w:rsidR="006A4C7D" w:rsidRPr="006A4C7D" w:rsidRDefault="006A4C7D" w:rsidP="006A4C7D">
            <w:pPr>
              <w:widowControl w:val="0"/>
              <w:spacing w:before="120" w:line="276" w:lineRule="auto"/>
              <w:ind w:right="-39"/>
              <w:rPr>
                <w:rFonts w:eastAsia="Times New Roman"/>
                <w:color w:val="000000"/>
                <w:sz w:val="18"/>
                <w:szCs w:val="18"/>
              </w:rPr>
            </w:pPr>
            <w:r w:rsidRPr="006A4C7D">
              <w:rPr>
                <w:rFonts w:eastAsia="Times New Roman"/>
                <w:color w:val="000000"/>
                <w:sz w:val="18"/>
                <w:szCs w:val="18"/>
              </w:rPr>
              <w:t xml:space="preserve">Statistically significant differences in prevalence rates between hospitalised and non-hospitalised patients (greater prevalence in the former) for fatigue, breathlessness, other respiratory symptoms, weight loss, tremors, memory impairment, and hair loss. </w:t>
            </w:r>
          </w:p>
          <w:p w14:paraId="762D0242" w14:textId="77777777" w:rsidR="006A4C7D" w:rsidRPr="006A4C7D" w:rsidRDefault="006A4C7D" w:rsidP="006A4C7D">
            <w:pPr>
              <w:widowControl w:val="0"/>
              <w:spacing w:before="120" w:line="276" w:lineRule="auto"/>
              <w:ind w:right="-39"/>
              <w:rPr>
                <w:rFonts w:eastAsia="Times New Roman"/>
                <w:color w:val="000000"/>
                <w:sz w:val="18"/>
                <w:szCs w:val="18"/>
              </w:rPr>
            </w:pPr>
            <w:r w:rsidRPr="006A4C7D">
              <w:rPr>
                <w:rFonts w:eastAsia="Times New Roman"/>
                <w:color w:val="000000"/>
                <w:sz w:val="18"/>
                <w:szCs w:val="18"/>
              </w:rPr>
              <w:t>Significantly higher prevalence among non-hospitalised patients for chest pain and smell disturbance.</w:t>
            </w:r>
          </w:p>
        </w:tc>
        <w:tc>
          <w:tcPr>
            <w:tcW w:w="7741" w:type="dxa"/>
          </w:tcPr>
          <w:p w14:paraId="37BCA12D"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lastRenderedPageBreak/>
              <w:t>Lung CT scan data showed abnormal results, including consolidation, reticulation, residual ground glass opacity, interstitial thickening, and fibrotic changes.</w:t>
            </w:r>
          </w:p>
          <w:p w14:paraId="5A801749"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Pulmonary function test data found evidence of altered pulmonary function, most frequently significant reduction in carbon monoxide transfer factor.</w:t>
            </w:r>
          </w:p>
          <w:p w14:paraId="7F0A207C"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Low rates of hospital-associated venous thromboembolism at least 90 days post discharge.</w:t>
            </w:r>
          </w:p>
          <w:p w14:paraId="428D3480"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Decreased rate of kidney recovery for COVID-associated acute kidney injury (AKI) patients compared to non-COVID-associated AKI patients.</w:t>
            </w:r>
          </w:p>
        </w:tc>
        <w:tc>
          <w:tcPr>
            <w:tcW w:w="4637" w:type="dxa"/>
          </w:tcPr>
          <w:p w14:paraId="3E23EB4A"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It is clear that long COVID affects different populations, with a wide range of symptomatology. Findings suggest this multiorgan syndrome is characterised by fatigue, weakness, malaise, breathlessness and concentration impairment, among other less frequent symptoms. Currently, the strength of the available evidence is limited and prone to bias.</w:t>
            </w:r>
          </w:p>
        </w:tc>
      </w:tr>
      <w:tr w:rsidR="006A4C7D" w:rsidRPr="006A4C7D" w14:paraId="05DEA3D4" w14:textId="77777777" w:rsidTr="005B6A90">
        <w:tc>
          <w:tcPr>
            <w:tcW w:w="1042" w:type="dxa"/>
          </w:tcPr>
          <w:p w14:paraId="25948DB7"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Renaud-Charest 2021</w:t>
            </w:r>
          </w:p>
        </w:tc>
        <w:tc>
          <w:tcPr>
            <w:tcW w:w="1505" w:type="dxa"/>
          </w:tcPr>
          <w:p w14:paraId="4F0D6E76"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Onset and frequency of depression in post-COVID-19 syndrome: A systematic review</w:t>
            </w:r>
          </w:p>
        </w:tc>
        <w:tc>
          <w:tcPr>
            <w:tcW w:w="7740" w:type="dxa"/>
          </w:tcPr>
          <w:p w14:paraId="51539290"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Frequency of depressive symptoms more than 12 weeks following SARS-CoV-2 infection ranged from 11 to 28%. When only considering clinically-significant depression and/or severe depressive symptoms, the reported rates ranged from 3 to 12%.</w:t>
            </w:r>
          </w:p>
          <w:p w14:paraId="0E2A7528"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Two studies found that patients with depression tended to perform worse on neurocognitive tests  compared to those without depression.</w:t>
            </w:r>
          </w:p>
          <w:p w14:paraId="0DDD4704"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Neurocognitive outcomes: selective attention and processing speed (symbol coding test); general cognitive function (MMSE); verbal memory (California Verbal Learning Test); visual reaction times (Test of Everyday Attention); executive abilities (Tower of London test); visuospatial abilities (Rey figure copy and recall).</w:t>
            </w:r>
          </w:p>
        </w:tc>
        <w:tc>
          <w:tcPr>
            <w:tcW w:w="7741" w:type="dxa"/>
          </w:tcPr>
          <w:p w14:paraId="7CFA22DD"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Neuropsychiatric symptoms (e.g., fatigue, depression) - suggest an effect of COVID-19 on the central nervous system (CNS) (e.g., neurotropism of SARS-CoV-2, hyperinflammatory state and hypercoagulability following infection, especially in severe cases.</w:t>
            </w:r>
          </w:p>
          <w:p w14:paraId="23188441"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Main factors associated with depression frequency were sex, previous psychiatric history, psychopathology at one-month follow-up, and systemic inflammation during the acute phase, while age was only a potential factor, and severity of acute COVID-19 was not.</w:t>
            </w:r>
          </w:p>
          <w:p w14:paraId="7E9670C6"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Severity of depressive symptomatology in post-COVID-19 syndrome was proportional to systemic  inflammation measured at baseline during acute infection. Systemic immune-inflammation index (SII) at baseline explained the variation of depression severity in models when assessing the influence of age, sex, and hospitalisation. The changes in SII also significantly predicted changes in depression scores. A decrease of SII between hospital admission and 3-month follow-up led to a decrease in depression severity in contrast to small changes of SII that led to persistent or worse depression scores.</w:t>
            </w:r>
          </w:p>
          <w:p w14:paraId="6C7160DA"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COVID-19 induces a hyperinflammatory state, which may cause persistent low-grade inflammation; more specifically, high levels of TNF-α, IFN-γ, IL-2, IL-4, IL-6, IL-10 and CRP in COVID-19 patients compared to controls, with IL-6 as the most frequently reported cytokine increased among COVID-19 patients. The positive association between depression and inflammation has also been characterised. Studies have reported elevated levels of pro-inflammatory cytokines (e.g., interleukin-6 (IL-6)) among patients suffering from mood symptoms and disorders.</w:t>
            </w:r>
          </w:p>
          <w:p w14:paraId="549D6E06"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Literature indicates that pro-inflammatory cytokines moderate serotonin levels, hypothalamic-pituitary-adrenal (HPA) axis  </w:t>
            </w:r>
            <w:proofErr w:type="spellStart"/>
            <w:r w:rsidRPr="006A4C7D">
              <w:rPr>
                <w:rFonts w:eastAsia="Times New Roman"/>
                <w:color w:val="000000"/>
                <w:sz w:val="18"/>
                <w:szCs w:val="18"/>
              </w:rPr>
              <w:t>selfregulation</w:t>
            </w:r>
            <w:proofErr w:type="spellEnd"/>
            <w:r w:rsidRPr="006A4C7D">
              <w:rPr>
                <w:rFonts w:eastAsia="Times New Roman"/>
                <w:color w:val="000000"/>
                <w:sz w:val="18"/>
                <w:szCs w:val="18"/>
              </w:rPr>
              <w:t>, microglial cells, and neuroplasticity, leading to negative regulation of brain function.</w:t>
            </w:r>
          </w:p>
          <w:p w14:paraId="3692CC80"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Three studies reported that severity of acute COVID-19 according to symptoms and treatment required did not have an influence on the frequency of depressive symptoms in post-COVID-19 syndrome. Notably, in one study, patients with mild COVID-19 disease reported greater frequency of depressive symptoms than patients with a critical form of the disease (22% vs 10%) 13.0 weeks after onset of symptoms.</w:t>
            </w:r>
          </w:p>
          <w:p w14:paraId="38BC08B1"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Non-intubated patients suffered more from depressive symptoms than intubated patients (21.7% vs. 18.0%) at a median of 125 days after hospital discharge. However, no statistical analysis was performed.</w:t>
            </w:r>
          </w:p>
          <w:p w14:paraId="20A63F00"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One paper reported an inverse correlation between length of hospital stay and depression at three months post-discharge.</w:t>
            </w:r>
          </w:p>
          <w:p w14:paraId="24CBAE88"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Neurocognitive impairment in the acute phase of COVID-19 was not a moderator of depression.</w:t>
            </w:r>
          </w:p>
        </w:tc>
        <w:tc>
          <w:tcPr>
            <w:tcW w:w="4637" w:type="dxa"/>
          </w:tcPr>
          <w:p w14:paraId="34F34E7B"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Included studies were highly heterogeneous with respect to mode of ascertainment, time of assessment, and location and age of patients. </w:t>
            </w:r>
          </w:p>
          <w:p w14:paraId="75168B90"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The majority of studies did not include an unexposed control group.</w:t>
            </w:r>
          </w:p>
          <w:p w14:paraId="7CF50D11"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Future research should endeavour to produce a standardized classification of post-COVID-19 syndrome, and include unexposed control groups.</w:t>
            </w:r>
          </w:p>
          <w:p w14:paraId="60034BD2"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It remains to be determined whether the high frequency of depression among individuals with post-COVID-19 syndrome</w:t>
            </w:r>
            <w:r w:rsidRPr="006A4C7D">
              <w:rPr>
                <w:rFonts w:eastAsia="Times New Roman"/>
                <w:b/>
                <w:color w:val="000000"/>
                <w:sz w:val="18"/>
                <w:szCs w:val="18"/>
              </w:rPr>
              <w:br/>
              <w:t>is a long-term consequence of the viral infection or a result of the social and/or economic outcomes of the pandemic.</w:t>
            </w:r>
          </w:p>
          <w:p w14:paraId="7980A0DC"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This systematic review suggests a high frequency of clinically-significant depression and depressive symptoms associated with post-COVID-19 syndrome. Moderators include female sex, previous psychiatric history, and psychopathology at one-month follow-up. </w:t>
            </w:r>
          </w:p>
          <w:p w14:paraId="56A81580"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The severity of COVID-19 and cognitive impairment in the acute phase of the disease are not associated with worsening depressive symptoms in post-COVID-19 syndrome.</w:t>
            </w:r>
          </w:p>
          <w:p w14:paraId="094DB9D4"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Nevertheless, it cannot be concluded that depression is more frequent in patients suffering from post-COVID-19 syndrome than in the general population.</w:t>
            </w:r>
          </w:p>
        </w:tc>
      </w:tr>
      <w:tr w:rsidR="006A4C7D" w:rsidRPr="006A4C7D" w14:paraId="5CAC76BA" w14:textId="77777777" w:rsidTr="005B6A90">
        <w:tc>
          <w:tcPr>
            <w:tcW w:w="1042" w:type="dxa"/>
          </w:tcPr>
          <w:p w14:paraId="493FBD21"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Hussain 2022</w:t>
            </w:r>
          </w:p>
        </w:tc>
        <w:tc>
          <w:tcPr>
            <w:tcW w:w="1505" w:type="dxa"/>
          </w:tcPr>
          <w:p w14:paraId="2D476EE9"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 xml:space="preserve">A systematic review of acute telogen effluvium, a </w:t>
            </w:r>
            <w:r w:rsidRPr="006A4C7D">
              <w:rPr>
                <w:rFonts w:eastAsia="Times New Roman"/>
                <w:i/>
                <w:color w:val="000000"/>
                <w:sz w:val="18"/>
                <w:szCs w:val="18"/>
              </w:rPr>
              <w:lastRenderedPageBreak/>
              <w:t>harrowing post-COVID-19 manifestation</w:t>
            </w:r>
          </w:p>
        </w:tc>
        <w:tc>
          <w:tcPr>
            <w:tcW w:w="7740" w:type="dxa"/>
          </w:tcPr>
          <w:p w14:paraId="2876A4E8"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lastRenderedPageBreak/>
              <w:t>- Mean duration from COVID-19 symptom onset to the appearance of acute telogen effluvium (TE) was 74 days.</w:t>
            </w:r>
          </w:p>
          <w:p w14:paraId="6AA11DF6"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Positive telogen hair pull test in ~79% of patients.</w:t>
            </w:r>
          </w:p>
          <w:p w14:paraId="420763B9"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w:t>
            </w:r>
            <w:proofErr w:type="spellStart"/>
            <w:r w:rsidRPr="006A4C7D">
              <w:rPr>
                <w:rFonts w:eastAsia="Times New Roman"/>
                <w:color w:val="000000"/>
                <w:sz w:val="18"/>
                <w:szCs w:val="18"/>
              </w:rPr>
              <w:t>Trichoscopic</w:t>
            </w:r>
            <w:proofErr w:type="spellEnd"/>
            <w:r w:rsidRPr="006A4C7D">
              <w:rPr>
                <w:rFonts w:eastAsia="Times New Roman"/>
                <w:color w:val="000000"/>
                <w:sz w:val="18"/>
                <w:szCs w:val="18"/>
              </w:rPr>
              <w:t xml:space="preserve"> findings most commonly included decreased hair density with the presence of empty </w:t>
            </w:r>
            <w:r w:rsidRPr="006A4C7D">
              <w:rPr>
                <w:rFonts w:eastAsia="Times New Roman"/>
                <w:color w:val="000000"/>
                <w:sz w:val="18"/>
                <w:szCs w:val="18"/>
              </w:rPr>
              <w:lastRenderedPageBreak/>
              <w:t>follicles and short regrowing hair.</w:t>
            </w:r>
          </w:p>
          <w:p w14:paraId="308985A0"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In concordance with the findings of acute TE caused by other </w:t>
            </w:r>
            <w:proofErr w:type="spellStart"/>
            <w:r w:rsidRPr="006A4C7D">
              <w:rPr>
                <w:rFonts w:eastAsia="Times New Roman"/>
                <w:color w:val="000000"/>
                <w:sz w:val="18"/>
                <w:szCs w:val="18"/>
              </w:rPr>
              <w:t>etiologies</w:t>
            </w:r>
            <w:proofErr w:type="spellEnd"/>
            <w:r w:rsidRPr="006A4C7D">
              <w:rPr>
                <w:rFonts w:eastAsia="Times New Roman"/>
                <w:color w:val="000000"/>
                <w:sz w:val="18"/>
                <w:szCs w:val="18"/>
              </w:rPr>
              <w:t>, post-COVID-19 acute TE also resolved in most patients.</w:t>
            </w:r>
          </w:p>
          <w:p w14:paraId="26D827AA"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Patients should be advised to ensure a healthy diet and informed that it may take up to 18 months for hair thickness to return to baseline.</w:t>
            </w:r>
          </w:p>
        </w:tc>
        <w:tc>
          <w:tcPr>
            <w:tcW w:w="7741" w:type="dxa"/>
          </w:tcPr>
          <w:p w14:paraId="4D7664B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lastRenderedPageBreak/>
              <w:t>Elevated levels of interleukin-6 seen in post-COVID patients. Interleukin-6 inhibits the elongation of the hair shaft by suppressing the proliferation of matrix cells in cultured hair follicles.</w:t>
            </w:r>
          </w:p>
          <w:p w14:paraId="5203D1D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Interferon is well-recognized to induce acute TE. Elevated levels of interferon are a well-known part of the body's antiviral response and </w:t>
            </w:r>
            <w:proofErr w:type="spellStart"/>
            <w:r w:rsidRPr="006A4C7D">
              <w:rPr>
                <w:rFonts w:eastAsia="Times New Roman"/>
                <w:color w:val="000000"/>
                <w:sz w:val="18"/>
                <w:szCs w:val="18"/>
              </w:rPr>
              <w:t>ahve</w:t>
            </w:r>
            <w:proofErr w:type="spellEnd"/>
            <w:r w:rsidRPr="006A4C7D">
              <w:rPr>
                <w:rFonts w:eastAsia="Times New Roman"/>
                <w:color w:val="000000"/>
                <w:sz w:val="18"/>
                <w:szCs w:val="18"/>
              </w:rPr>
              <w:t xml:space="preserve"> been documented in COVID-19 and other viral illnesses.</w:t>
            </w:r>
          </w:p>
          <w:p w14:paraId="779733B9"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lastRenderedPageBreak/>
              <w:t>Metalloproteinases 1 and 3 and interleukin-1β may inhibit growth of hair follicles.</w:t>
            </w:r>
          </w:p>
          <w:p w14:paraId="7EA826A1"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COVID-19 infection causes the activation of the coagulation cascade, which subsequently decreases the concentration of anticoagulation proteins due to diminished production and in-creased consumption. These factors may also result in microthrombi formation, which may occlude the blood supply of hair follicles.</w:t>
            </w:r>
          </w:p>
          <w:p w14:paraId="13DEFA6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In COVID-19 patients, non-neutralizing virus-specific anti-bodies interact with </w:t>
            </w:r>
            <w:proofErr w:type="spellStart"/>
            <w:r w:rsidRPr="006A4C7D">
              <w:rPr>
                <w:rFonts w:eastAsia="Times New Roman"/>
                <w:color w:val="000000"/>
                <w:sz w:val="18"/>
                <w:szCs w:val="18"/>
              </w:rPr>
              <w:t>Fcγ</w:t>
            </w:r>
            <w:proofErr w:type="spellEnd"/>
            <w:r w:rsidRPr="006A4C7D">
              <w:rPr>
                <w:rFonts w:eastAsia="Times New Roman"/>
                <w:color w:val="000000"/>
                <w:sz w:val="18"/>
                <w:szCs w:val="18"/>
              </w:rPr>
              <w:t xml:space="preserve"> and/or complement receptors, facilitating the entry of the virus into the host cells. This may lead to direct viral damage to hair follicles. (this pathway to hair loss documented in 2014-2015 dengue epidemic).</w:t>
            </w:r>
          </w:p>
          <w:p w14:paraId="6C3839D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Medications used during COVID-19 treatment may contribute to acute TE. However, there is conflicting evidence regarding their potential pathways. Drug-induced acute TE in COVID-19 patients was unlikely due to the early onset of acute TE and the short duration of treatment for COVID-19.</w:t>
            </w:r>
          </w:p>
        </w:tc>
        <w:tc>
          <w:tcPr>
            <w:tcW w:w="4637" w:type="dxa"/>
          </w:tcPr>
          <w:p w14:paraId="441109A9"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 xml:space="preserve">Post-COVID‚-19 acute TE occurred earlier than classic acute TE, but showed similar </w:t>
            </w:r>
            <w:proofErr w:type="spellStart"/>
            <w:r w:rsidRPr="006A4C7D">
              <w:rPr>
                <w:rFonts w:eastAsia="Times New Roman"/>
                <w:b/>
                <w:color w:val="000000"/>
                <w:sz w:val="18"/>
                <w:szCs w:val="18"/>
              </w:rPr>
              <w:t>trichogram</w:t>
            </w:r>
            <w:proofErr w:type="spellEnd"/>
            <w:r w:rsidRPr="006A4C7D">
              <w:rPr>
                <w:rFonts w:eastAsia="Times New Roman"/>
                <w:b/>
                <w:color w:val="000000"/>
                <w:sz w:val="18"/>
                <w:szCs w:val="18"/>
              </w:rPr>
              <w:t xml:space="preserve"> and </w:t>
            </w:r>
            <w:proofErr w:type="spellStart"/>
            <w:r w:rsidRPr="006A4C7D">
              <w:rPr>
                <w:rFonts w:eastAsia="Times New Roman"/>
                <w:b/>
                <w:color w:val="000000"/>
                <w:sz w:val="18"/>
                <w:szCs w:val="18"/>
              </w:rPr>
              <w:t>trichoscopic</w:t>
            </w:r>
            <w:proofErr w:type="spellEnd"/>
            <w:r w:rsidRPr="006A4C7D">
              <w:rPr>
                <w:rFonts w:eastAsia="Times New Roman"/>
                <w:b/>
                <w:color w:val="000000"/>
                <w:sz w:val="18"/>
                <w:szCs w:val="18"/>
              </w:rPr>
              <w:t xml:space="preserve"> findings, including reduced hair density, empty hair follicles, and/or short regrowing hair.</w:t>
            </w:r>
            <w:r w:rsidRPr="006A4C7D">
              <w:rPr>
                <w:rFonts w:eastAsia="Times New Roman"/>
                <w:b/>
                <w:color w:val="000000"/>
                <w:sz w:val="18"/>
                <w:szCs w:val="18"/>
              </w:rPr>
              <w:br/>
            </w:r>
            <w:r w:rsidRPr="006A4C7D">
              <w:rPr>
                <w:rFonts w:eastAsia="Times New Roman"/>
                <w:b/>
                <w:color w:val="000000"/>
                <w:sz w:val="18"/>
                <w:szCs w:val="18"/>
              </w:rPr>
              <w:lastRenderedPageBreak/>
              <w:t>Proposed mechanisms:</w:t>
            </w:r>
            <w:r w:rsidRPr="006A4C7D">
              <w:rPr>
                <w:rFonts w:eastAsia="Times New Roman"/>
                <w:b/>
                <w:color w:val="000000"/>
                <w:sz w:val="18"/>
                <w:szCs w:val="18"/>
              </w:rPr>
              <w:br/>
              <w:t>1. Inflammation (raised IL-6);</w:t>
            </w:r>
            <w:r w:rsidRPr="006A4C7D">
              <w:rPr>
                <w:rFonts w:eastAsia="Times New Roman"/>
                <w:b/>
                <w:color w:val="000000"/>
                <w:sz w:val="18"/>
                <w:szCs w:val="18"/>
              </w:rPr>
              <w:br/>
              <w:t>2. Raised interferon levels;</w:t>
            </w:r>
            <w:r w:rsidRPr="006A4C7D">
              <w:rPr>
                <w:rFonts w:eastAsia="Times New Roman"/>
                <w:b/>
                <w:color w:val="000000"/>
                <w:sz w:val="18"/>
                <w:szCs w:val="18"/>
              </w:rPr>
              <w:br/>
              <w:t>3. Metalloproteinases 1 and 3 and interleukin-1β levels;</w:t>
            </w:r>
            <w:r w:rsidRPr="006A4C7D">
              <w:rPr>
                <w:rFonts w:eastAsia="Times New Roman"/>
                <w:b/>
                <w:color w:val="000000"/>
                <w:sz w:val="18"/>
                <w:szCs w:val="18"/>
              </w:rPr>
              <w:br/>
              <w:t>4. Microthrombi.</w:t>
            </w:r>
            <w:r w:rsidRPr="006A4C7D">
              <w:rPr>
                <w:rFonts w:eastAsia="Times New Roman"/>
                <w:b/>
                <w:color w:val="000000"/>
                <w:sz w:val="18"/>
                <w:szCs w:val="18"/>
              </w:rPr>
              <w:br/>
              <w:t xml:space="preserve">5. Interaction between non-neutralizing virus-specific anti-bodies with </w:t>
            </w:r>
            <w:proofErr w:type="spellStart"/>
            <w:r w:rsidRPr="006A4C7D">
              <w:rPr>
                <w:rFonts w:eastAsia="Times New Roman"/>
                <w:b/>
                <w:color w:val="000000"/>
                <w:sz w:val="18"/>
                <w:szCs w:val="18"/>
              </w:rPr>
              <w:t>FcŒ</w:t>
            </w:r>
            <w:proofErr w:type="spellEnd"/>
            <w:r w:rsidRPr="006A4C7D">
              <w:rPr>
                <w:rFonts w:eastAsia="Times New Roman"/>
                <w:b/>
                <w:color w:val="000000"/>
                <w:sz w:val="18"/>
                <w:szCs w:val="18"/>
              </w:rPr>
              <w:t>≥ and/or complement receptors.</w:t>
            </w:r>
            <w:r w:rsidRPr="006A4C7D">
              <w:rPr>
                <w:rFonts w:eastAsia="Times New Roman"/>
                <w:b/>
                <w:color w:val="000000"/>
                <w:sz w:val="18"/>
                <w:szCs w:val="18"/>
              </w:rPr>
              <w:br/>
              <w:t>6. Medications used during Covid-19 infection.</w:t>
            </w:r>
          </w:p>
        </w:tc>
      </w:tr>
      <w:tr w:rsidR="006A4C7D" w:rsidRPr="006A4C7D" w14:paraId="67831807" w14:textId="77777777" w:rsidTr="00CF417E">
        <w:tc>
          <w:tcPr>
            <w:tcW w:w="1042" w:type="dxa"/>
          </w:tcPr>
          <w:p w14:paraId="5F53B1B5" w14:textId="77777777"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lastRenderedPageBreak/>
              <w:t>Ceban</w:t>
            </w:r>
            <w:proofErr w:type="spellEnd"/>
            <w:r w:rsidRPr="006A4C7D">
              <w:rPr>
                <w:rFonts w:eastAsia="Times New Roman"/>
                <w:b/>
                <w:color w:val="000000"/>
                <w:sz w:val="18"/>
                <w:szCs w:val="18"/>
              </w:rPr>
              <w:t xml:space="preserve"> 2022</w:t>
            </w:r>
          </w:p>
        </w:tc>
        <w:tc>
          <w:tcPr>
            <w:tcW w:w="1505" w:type="dxa"/>
          </w:tcPr>
          <w:p w14:paraId="28D55B6D"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Fatigue and cognitive impairment in Post-COVID-19 Syndrome: A systematic review and meta-analysis</w:t>
            </w:r>
          </w:p>
        </w:tc>
        <w:tc>
          <w:tcPr>
            <w:tcW w:w="7740" w:type="dxa"/>
            <w:shd w:val="clear" w:color="auto" w:fill="FFFFFF" w:themeFill="background1"/>
          </w:tcPr>
          <w:p w14:paraId="62AADC95" w14:textId="4ED9D2EB" w:rsidR="00CF417E" w:rsidRDefault="00CF417E" w:rsidP="006A4C7D">
            <w:pPr>
              <w:widowControl w:val="0"/>
              <w:spacing w:line="276" w:lineRule="auto"/>
              <w:ind w:right="-39"/>
              <w:rPr>
                <w:rFonts w:eastAsia="Times New Roman"/>
                <w:color w:val="000000"/>
                <w:sz w:val="18"/>
                <w:szCs w:val="18"/>
              </w:rPr>
            </w:pPr>
            <w:r>
              <w:rPr>
                <w:rFonts w:eastAsia="Times New Roman"/>
                <w:color w:val="000000"/>
                <w:sz w:val="18"/>
                <w:szCs w:val="18"/>
              </w:rPr>
              <w:t xml:space="preserve">Primary outcomes: </w:t>
            </w:r>
          </w:p>
          <w:p w14:paraId="79A2960B" w14:textId="337BF5A6" w:rsidR="006A4C7D" w:rsidRPr="00CF417E" w:rsidRDefault="00CF417E" w:rsidP="00CF417E">
            <w:pPr>
              <w:pStyle w:val="ListParagraph"/>
              <w:widowControl w:val="0"/>
              <w:numPr>
                <w:ilvl w:val="0"/>
                <w:numId w:val="17"/>
              </w:numPr>
              <w:spacing w:line="276" w:lineRule="auto"/>
              <w:ind w:right="-39"/>
              <w:rPr>
                <w:rFonts w:eastAsia="Times New Roman"/>
                <w:color w:val="000000"/>
                <w:sz w:val="18"/>
                <w:szCs w:val="18"/>
              </w:rPr>
            </w:pPr>
            <w:r w:rsidRPr="00CF417E">
              <w:rPr>
                <w:rFonts w:eastAsia="Times New Roman"/>
                <w:color w:val="000000"/>
                <w:sz w:val="18"/>
                <w:szCs w:val="18"/>
              </w:rPr>
              <w:t>Fatigue</w:t>
            </w:r>
          </w:p>
          <w:p w14:paraId="520177A1" w14:textId="2D3BAA12" w:rsidR="00CF417E" w:rsidRDefault="00CF417E" w:rsidP="00CF417E">
            <w:pPr>
              <w:pStyle w:val="ListParagraph"/>
              <w:widowControl w:val="0"/>
              <w:numPr>
                <w:ilvl w:val="0"/>
                <w:numId w:val="17"/>
              </w:numPr>
              <w:spacing w:line="276" w:lineRule="auto"/>
              <w:ind w:right="-39"/>
              <w:rPr>
                <w:rFonts w:eastAsia="Times New Roman"/>
                <w:color w:val="000000"/>
                <w:sz w:val="18"/>
                <w:szCs w:val="18"/>
              </w:rPr>
            </w:pPr>
            <w:r w:rsidRPr="00CF417E">
              <w:rPr>
                <w:rFonts w:eastAsia="Times New Roman"/>
                <w:color w:val="000000"/>
                <w:sz w:val="18"/>
                <w:szCs w:val="18"/>
              </w:rPr>
              <w:t>Cognitive impairment</w:t>
            </w:r>
          </w:p>
          <w:p w14:paraId="64F849E1" w14:textId="32289A4A" w:rsidR="00CF417E" w:rsidRDefault="00CF417E" w:rsidP="00CF417E">
            <w:pPr>
              <w:widowControl w:val="0"/>
              <w:spacing w:line="276" w:lineRule="auto"/>
              <w:ind w:right="-39"/>
              <w:rPr>
                <w:rFonts w:eastAsia="Times New Roman"/>
                <w:color w:val="000000"/>
                <w:sz w:val="18"/>
                <w:szCs w:val="18"/>
              </w:rPr>
            </w:pPr>
            <w:r>
              <w:rPr>
                <w:rFonts w:eastAsia="Times New Roman"/>
                <w:color w:val="000000"/>
                <w:sz w:val="18"/>
                <w:szCs w:val="18"/>
              </w:rPr>
              <w:t>Secondary outcomes:</w:t>
            </w:r>
          </w:p>
          <w:p w14:paraId="5AB3D502" w14:textId="480FC177" w:rsidR="00CF417E" w:rsidRDefault="00CF417E" w:rsidP="00CF417E">
            <w:pPr>
              <w:pStyle w:val="ListParagraph"/>
              <w:widowControl w:val="0"/>
              <w:numPr>
                <w:ilvl w:val="0"/>
                <w:numId w:val="17"/>
              </w:numPr>
              <w:spacing w:line="276" w:lineRule="auto"/>
              <w:ind w:right="-39"/>
              <w:rPr>
                <w:rFonts w:eastAsia="Times New Roman"/>
                <w:color w:val="000000"/>
                <w:sz w:val="18"/>
                <w:szCs w:val="18"/>
              </w:rPr>
            </w:pPr>
            <w:r>
              <w:rPr>
                <w:rFonts w:eastAsia="Times New Roman"/>
                <w:color w:val="000000"/>
                <w:sz w:val="18"/>
                <w:szCs w:val="18"/>
              </w:rPr>
              <w:t>Inflammatory parameters</w:t>
            </w:r>
          </w:p>
          <w:p w14:paraId="1F7DD237" w14:textId="372AC9D5" w:rsidR="00CF417E" w:rsidRPr="00CF417E" w:rsidRDefault="00CF417E" w:rsidP="00CF417E">
            <w:pPr>
              <w:pStyle w:val="ListParagraph"/>
              <w:widowControl w:val="0"/>
              <w:numPr>
                <w:ilvl w:val="0"/>
                <w:numId w:val="17"/>
              </w:numPr>
              <w:spacing w:line="276" w:lineRule="auto"/>
              <w:ind w:right="-39"/>
              <w:rPr>
                <w:rFonts w:eastAsia="Times New Roman"/>
                <w:color w:val="000000"/>
                <w:sz w:val="18"/>
                <w:szCs w:val="18"/>
              </w:rPr>
            </w:pPr>
            <w:r>
              <w:rPr>
                <w:rFonts w:eastAsia="Times New Roman"/>
                <w:color w:val="000000"/>
                <w:sz w:val="18"/>
                <w:szCs w:val="18"/>
              </w:rPr>
              <w:t>Functional outcomes/Quality of life</w:t>
            </w:r>
          </w:p>
          <w:p w14:paraId="38A80687" w14:textId="77777777" w:rsidR="00CF417E" w:rsidRDefault="00CF417E" w:rsidP="006A4C7D">
            <w:pPr>
              <w:widowControl w:val="0"/>
              <w:spacing w:line="276" w:lineRule="auto"/>
              <w:ind w:right="-39"/>
              <w:rPr>
                <w:rFonts w:eastAsia="Times New Roman"/>
                <w:color w:val="000000"/>
                <w:sz w:val="18"/>
                <w:szCs w:val="18"/>
              </w:rPr>
            </w:pPr>
          </w:p>
          <w:p w14:paraId="1C2122F1" w14:textId="1D574969" w:rsidR="00CF417E" w:rsidRPr="006A4C7D" w:rsidRDefault="00CF417E" w:rsidP="006A4C7D">
            <w:pPr>
              <w:widowControl w:val="0"/>
              <w:spacing w:line="276" w:lineRule="auto"/>
              <w:ind w:right="-39"/>
              <w:rPr>
                <w:rFonts w:eastAsia="Times New Roman"/>
                <w:color w:val="000000"/>
                <w:sz w:val="18"/>
                <w:szCs w:val="18"/>
              </w:rPr>
            </w:pPr>
          </w:p>
        </w:tc>
        <w:tc>
          <w:tcPr>
            <w:tcW w:w="7741" w:type="dxa"/>
          </w:tcPr>
          <w:p w14:paraId="3E462FD3"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Inflammatory parameters: 13/14 studies  reported elevations in pro-inflammatory markers (pro-inflammatory cytokines, C-reactive peptide, D-dimer, and procalcitonin) in a subset of patients.</w:t>
            </w:r>
          </w:p>
          <w:p w14:paraId="25A574F1"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9 of those 14 studies reported pro-inflammatory markers and persistent fatigue and/or cognitive impairment.</w:t>
            </w:r>
          </w:p>
          <w:p w14:paraId="5783F95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Several studies noted an association between elevation of measures of inflammation and PCS symptoms.</w:t>
            </w:r>
          </w:p>
        </w:tc>
        <w:tc>
          <w:tcPr>
            <w:tcW w:w="4637" w:type="dxa"/>
          </w:tcPr>
          <w:p w14:paraId="7D0297B6"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1. Subset of individuals consistently exhibited markers of inflammation following resolution of acute COVID-19, suggesting hyperinflammation is a cause of fatigue and/or cognitive impairment in PCS.</w:t>
            </w:r>
            <w:r w:rsidRPr="006A4C7D">
              <w:rPr>
                <w:rFonts w:eastAsia="Times New Roman"/>
                <w:b/>
                <w:color w:val="000000"/>
                <w:sz w:val="18"/>
                <w:szCs w:val="18"/>
              </w:rPr>
              <w:br/>
              <w:t>2. Authors also reference other studies NOT INCLUDED IN MAIN REVIEW to suggest other pathophysiology:</w:t>
            </w:r>
            <w:r w:rsidRPr="006A4C7D">
              <w:rPr>
                <w:rFonts w:eastAsia="Times New Roman"/>
                <w:b/>
                <w:color w:val="000000"/>
                <w:sz w:val="18"/>
                <w:szCs w:val="18"/>
              </w:rPr>
              <w:br/>
              <w:t>- endothelial dysfunction</w:t>
            </w:r>
            <w:r w:rsidRPr="006A4C7D">
              <w:rPr>
                <w:rFonts w:eastAsia="Times New Roman"/>
                <w:b/>
                <w:color w:val="000000"/>
                <w:sz w:val="18"/>
                <w:szCs w:val="18"/>
              </w:rPr>
              <w:br/>
              <w:t>- hyperinflammation</w:t>
            </w:r>
            <w:r w:rsidRPr="006A4C7D">
              <w:rPr>
                <w:rFonts w:eastAsia="Times New Roman"/>
                <w:b/>
                <w:color w:val="000000"/>
                <w:sz w:val="18"/>
                <w:szCs w:val="18"/>
              </w:rPr>
              <w:br/>
              <w:t>- autoimmunity</w:t>
            </w:r>
            <w:r w:rsidRPr="006A4C7D">
              <w:rPr>
                <w:rFonts w:eastAsia="Times New Roman"/>
                <w:b/>
                <w:color w:val="000000"/>
                <w:sz w:val="18"/>
                <w:szCs w:val="18"/>
              </w:rPr>
              <w:br/>
              <w:t>- latent viral reactivation - multi-organ pathology</w:t>
            </w:r>
            <w:r w:rsidRPr="006A4C7D">
              <w:rPr>
                <w:rFonts w:eastAsia="Times New Roman"/>
                <w:b/>
                <w:color w:val="000000"/>
                <w:sz w:val="18"/>
                <w:szCs w:val="18"/>
              </w:rPr>
              <w:br/>
              <w:t>- autonomic nervous system dysfunction  - pro-inflammatory cytokines, mood symptoms, and cognitive decline.</w:t>
            </w:r>
          </w:p>
        </w:tc>
      </w:tr>
      <w:tr w:rsidR="006A4C7D" w:rsidRPr="006A4C7D" w14:paraId="046E1EB9" w14:textId="77777777" w:rsidTr="005B6A90">
        <w:tc>
          <w:tcPr>
            <w:tcW w:w="1042" w:type="dxa"/>
          </w:tcPr>
          <w:p w14:paraId="2B3DA893"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Sansone 2022</w:t>
            </w:r>
          </w:p>
        </w:tc>
        <w:tc>
          <w:tcPr>
            <w:tcW w:w="1505" w:type="dxa"/>
          </w:tcPr>
          <w:p w14:paraId="7778D5AF"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The Sexual Long COVID (SLC): Erectile Dysfunction as a Biomarker of Systemic Complications for COVID-19 Long Haulers</w:t>
            </w:r>
          </w:p>
        </w:tc>
        <w:tc>
          <w:tcPr>
            <w:tcW w:w="7740" w:type="dxa"/>
            <w:shd w:val="clear" w:color="auto" w:fill="auto"/>
          </w:tcPr>
          <w:p w14:paraId="71AA82F2"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Neuropsychiatric Complications of Long COVID involvement of the neurological system at many levels, from cognition to cerebrovascular events to sensory dysfunction. Anosmia and ageusia.</w:t>
            </w:r>
          </w:p>
          <w:p w14:paraId="356E7F2B"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Fatigue, headache and “brain fog”</w:t>
            </w:r>
          </w:p>
          <w:p w14:paraId="6B1154D5"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Respiratory complications - dry cough,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hypoxemia, and abnormal imaging results.</w:t>
            </w:r>
          </w:p>
          <w:p w14:paraId="12F062C6"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xml:space="preserve">- Cardiovascular complications, including tachycardia, chest pain,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arrhythmias, POTS thrombotic events, emboli, myocarditis.</w:t>
            </w:r>
          </w:p>
          <w:p w14:paraId="2B09EEEB"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Endocrine complications, including thyrotoxicosis, pituitary apoplexy, onset of type 1 and type 2 diabetes, reduced testosterone levels.</w:t>
            </w:r>
          </w:p>
          <w:p w14:paraId="371F6E8F" w14:textId="77777777" w:rsidR="006A4C7D" w:rsidRPr="006A4C7D" w:rsidRDefault="006A4C7D" w:rsidP="006A4C7D">
            <w:pPr>
              <w:widowControl w:val="0"/>
              <w:spacing w:before="120" w:line="276" w:lineRule="auto"/>
              <w:ind w:right="-39"/>
              <w:rPr>
                <w:rFonts w:eastAsia="Times New Roman"/>
                <w:color w:val="000000"/>
                <w:sz w:val="18"/>
                <w:szCs w:val="18"/>
              </w:rPr>
            </w:pPr>
            <w:r w:rsidRPr="006A4C7D">
              <w:rPr>
                <w:rFonts w:eastAsia="Times New Roman"/>
                <w:color w:val="000000"/>
                <w:sz w:val="18"/>
                <w:szCs w:val="18"/>
              </w:rPr>
              <w:t xml:space="preserve">Relevance for erectile function: </w:t>
            </w:r>
            <w:r w:rsidRPr="006A4C7D">
              <w:rPr>
                <w:rFonts w:eastAsia="Times New Roman"/>
                <w:color w:val="000000"/>
                <w:sz w:val="18"/>
                <w:szCs w:val="18"/>
              </w:rPr>
              <w:br/>
              <w:t>- The cognitive defects and sleep disorders featured in long COVID contribute to poorer sexual health.</w:t>
            </w:r>
            <w:r w:rsidRPr="006A4C7D">
              <w:rPr>
                <w:rFonts w:eastAsia="Times New Roman"/>
                <w:color w:val="000000"/>
                <w:sz w:val="18"/>
                <w:szCs w:val="18"/>
              </w:rPr>
              <w:br/>
              <w:t>- Likewise, chronic fatigue has been associated with declining sexual functioning.</w:t>
            </w:r>
            <w:r w:rsidRPr="006A4C7D">
              <w:rPr>
                <w:rFonts w:eastAsia="Times New Roman"/>
                <w:color w:val="000000"/>
                <w:sz w:val="18"/>
                <w:szCs w:val="18"/>
              </w:rPr>
              <w:br/>
              <w:t>- Anxiety, depression and PTSD have all been long considered risk factors for the development of sexual dysfunctions, the relation between sexual and mental health is bidirectional.</w:t>
            </w:r>
            <w:r w:rsidRPr="006A4C7D">
              <w:rPr>
                <w:rFonts w:eastAsia="Times New Roman"/>
                <w:color w:val="000000"/>
                <w:sz w:val="18"/>
                <w:szCs w:val="18"/>
              </w:rPr>
              <w:br/>
              <w:t xml:space="preserve">- Anosmia and ageusia: both conditions can negatively affect sexual </w:t>
            </w:r>
            <w:proofErr w:type="spellStart"/>
            <w:r w:rsidRPr="006A4C7D">
              <w:rPr>
                <w:rFonts w:eastAsia="Times New Roman"/>
                <w:color w:val="000000"/>
                <w:sz w:val="18"/>
                <w:szCs w:val="18"/>
              </w:rPr>
              <w:t>behavior</w:t>
            </w:r>
            <w:proofErr w:type="spellEnd"/>
            <w:r w:rsidRPr="006A4C7D">
              <w:rPr>
                <w:rFonts w:eastAsia="Times New Roman"/>
                <w:color w:val="000000"/>
                <w:sz w:val="18"/>
                <w:szCs w:val="18"/>
              </w:rPr>
              <w:t>, owing to the “emotional” involvement of smell and taste in arousal and intimacy and might persist for several months, blunting sexual interest.</w:t>
            </w:r>
            <w:r w:rsidRPr="006A4C7D">
              <w:rPr>
                <w:rFonts w:eastAsia="Times New Roman"/>
                <w:color w:val="000000"/>
                <w:sz w:val="18"/>
                <w:szCs w:val="18"/>
              </w:rPr>
              <w:br/>
              <w:t xml:space="preserv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and shortness of breath are common long-term complaints for COVID-19 patients. Sexual dysfunctions are known to occur in all conditions of impaired oxygen availability.</w:t>
            </w:r>
            <w:r w:rsidRPr="006A4C7D">
              <w:rPr>
                <w:rFonts w:eastAsia="Times New Roman"/>
                <w:color w:val="000000"/>
                <w:sz w:val="18"/>
                <w:szCs w:val="18"/>
              </w:rPr>
              <w:br/>
              <w:t xml:space="preserve">- Erectile function is strictly dependent on the integrity of the endothelium. </w:t>
            </w:r>
            <w:r w:rsidRPr="006A4C7D">
              <w:rPr>
                <w:rFonts w:eastAsia="Times New Roman"/>
                <w:color w:val="000000"/>
                <w:sz w:val="18"/>
                <w:szCs w:val="18"/>
              </w:rPr>
              <w:br/>
              <w:t>- As sexual activity can be considered a mild form of physical exercise, accounting for 3-5 metabolic equivalents, it can become somewhat hazardous in patients with myocarditis or with a sudden onset of chest pain - even more in case of pulmonary dysfunction. Likewise, patients with POTS might experience several debilitating symptoms, such as shortness of breath, sweating, and nausea, when   changing   position  during   sexual intercourse.</w:t>
            </w:r>
            <w:r w:rsidRPr="006A4C7D">
              <w:rPr>
                <w:rFonts w:eastAsia="Times New Roman"/>
                <w:color w:val="000000"/>
                <w:sz w:val="18"/>
                <w:szCs w:val="18"/>
              </w:rPr>
              <w:br/>
              <w:t>- Several drugs used in the clinical management of COVID-19 long term complications, including beta-blockers and diuretics, might have negative effects on erectile function.</w:t>
            </w:r>
          </w:p>
        </w:tc>
        <w:tc>
          <w:tcPr>
            <w:tcW w:w="7741" w:type="dxa"/>
          </w:tcPr>
          <w:p w14:paraId="4BE13ED6"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The chemokine profile featured in the “</w:t>
            </w:r>
            <w:proofErr w:type="spellStart"/>
            <w:r w:rsidRPr="006A4C7D">
              <w:rPr>
                <w:rFonts w:eastAsia="Times New Roman"/>
                <w:color w:val="000000"/>
                <w:sz w:val="18"/>
                <w:szCs w:val="18"/>
              </w:rPr>
              <w:t>cytokinestorm</w:t>
            </w:r>
            <w:proofErr w:type="spellEnd"/>
            <w:r w:rsidRPr="006A4C7D">
              <w:rPr>
                <w:rFonts w:eastAsia="Times New Roman"/>
                <w:color w:val="000000"/>
                <w:sz w:val="18"/>
                <w:szCs w:val="18"/>
              </w:rPr>
              <w:t xml:space="preserve">”  can promote neuroinflammation, endothelial dysfunction in brain vessels, vascular </w:t>
            </w:r>
            <w:proofErr w:type="gramStart"/>
            <w:r w:rsidRPr="006A4C7D">
              <w:rPr>
                <w:rFonts w:eastAsia="Times New Roman"/>
                <w:color w:val="000000"/>
                <w:sz w:val="18"/>
                <w:szCs w:val="18"/>
              </w:rPr>
              <w:t>thrombosis</w:t>
            </w:r>
            <w:proofErr w:type="gramEnd"/>
            <w:r w:rsidRPr="006A4C7D">
              <w:rPr>
                <w:rFonts w:eastAsia="Times New Roman"/>
                <w:color w:val="000000"/>
                <w:sz w:val="18"/>
                <w:szCs w:val="18"/>
              </w:rPr>
              <w:t xml:space="preserve"> and local hypoxia, and can also contribute to the onset of potential long-term neurological defects. As SARS-CoV-2 has been identified in the cerebrospinal fluid, encephalitis following direct viral neuronal damage has been included among the complications of COVID-19. SARS-CoV-2 has also been shown to infect brain endothelial cells, resulting in microvascular pathology occurring in brain vessels which can also influence the blood-brain barrier.</w:t>
            </w:r>
          </w:p>
          <w:p w14:paraId="1B347E3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Several central and peripheral organic factors considered, including systemic low-grade inflammation, impaired cerebrospinal fluid drainage and muscle damage... At present, exact mechanisms leading to the development of brain fog are not fully understood; </w:t>
            </w:r>
            <w:proofErr w:type="gramStart"/>
            <w:r w:rsidRPr="006A4C7D">
              <w:rPr>
                <w:rFonts w:eastAsia="Times New Roman"/>
                <w:color w:val="000000"/>
                <w:sz w:val="18"/>
                <w:szCs w:val="18"/>
              </w:rPr>
              <w:t>however</w:t>
            </w:r>
            <w:proofErr w:type="gramEnd"/>
            <w:r w:rsidRPr="006A4C7D">
              <w:rPr>
                <w:rFonts w:eastAsia="Times New Roman"/>
                <w:color w:val="000000"/>
                <w:sz w:val="18"/>
                <w:szCs w:val="18"/>
              </w:rPr>
              <w:t xml:space="preserve"> they are likely mild complications of COVID-related encephalitis, as also shown by the finding of abnormal neurologic exam, possibly associated with mast cells activation and release of proinflammatory cytokines.</w:t>
            </w:r>
          </w:p>
          <w:p w14:paraId="47DBFCF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The inflammatory response (particularly interleukin-6, which is among the main drivers of inflammation for COVID-19) and the endothelial dysfunction occurring in the small vessels of the pulmonary circulation, induce pulmonary dysfunction, as also proven by the high prevalence of residual lung abnormalities at computed tomography (CT), such as ground glass opacity and signs of pulmonary fibrosis, occurring in 44.1% and 33.9% patients at three months. Oxygen saturation decreases following pulmonary fibrosis, as also occurring in COVID-19 patients due to the combination of anaemic and hypoxic hypoxia. As oxygen is a necessary substrate for the production of nitric oxide (NO), pulmonary fibrosis negatively affects the erectile function. </w:t>
            </w:r>
          </w:p>
          <w:p w14:paraId="5D83A36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First line of treatment for ED involves the use of phosphodiesterase type V inhibitors (PDE5i), vasoactive agents which act downstream of NO synthesis; such drugs also improve pulmonary vasodilation, allowing for an increased alveolar gas exchange. Additional benefits: sildenafil, the first and most widely known PDE5i, has anti-aggregation properties and inhibits neointimal hyperplasia through the cGMP-dependent protein kinase (</w:t>
            </w:r>
            <w:proofErr w:type="spellStart"/>
            <w:r w:rsidRPr="006A4C7D">
              <w:rPr>
                <w:rFonts w:eastAsia="Times New Roman"/>
                <w:color w:val="000000"/>
                <w:sz w:val="18"/>
                <w:szCs w:val="18"/>
              </w:rPr>
              <w:t>cGK</w:t>
            </w:r>
            <w:proofErr w:type="spellEnd"/>
            <w:r w:rsidRPr="006A4C7D">
              <w:rPr>
                <w:rFonts w:eastAsia="Times New Roman"/>
                <w:color w:val="000000"/>
                <w:sz w:val="18"/>
                <w:szCs w:val="18"/>
              </w:rPr>
              <w:t>) pathway, thus preventing further vascular injury and thrombosis, and has anti-inflammatory, anti-apoptotic and anti-oxidant properties which could improve inflammatory status in the lungs. Therefore, PDE5i can potentially be beneficial for both erectile and pulmonary function in long COVID patients.</w:t>
            </w:r>
          </w:p>
          <w:p w14:paraId="1E1FCDC8"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lastRenderedPageBreak/>
              <w:t xml:space="preserve">As endothelial cells express ACE2 and TMPRSS2, SARS-CoV-2 can invade them, resulting in a diffuse form of </w:t>
            </w:r>
            <w:proofErr w:type="spellStart"/>
            <w:r w:rsidRPr="006A4C7D">
              <w:rPr>
                <w:rFonts w:eastAsia="Times New Roman"/>
                <w:color w:val="000000"/>
                <w:sz w:val="18"/>
                <w:szCs w:val="18"/>
              </w:rPr>
              <w:t>endotheliitis</w:t>
            </w:r>
            <w:proofErr w:type="spellEnd"/>
            <w:r w:rsidRPr="006A4C7D">
              <w:rPr>
                <w:rFonts w:eastAsia="Times New Roman"/>
                <w:color w:val="000000"/>
                <w:sz w:val="18"/>
                <w:szCs w:val="18"/>
              </w:rPr>
              <w:t>, which has been considered one of the main drivers of the microcirculatory dysfunction occurring in COVID-19. Unsurprisingly, patients with more severe forms of COVID-related vascular damage, including acute thrombotic events and pulmonary embolism, often also show more severe endothelial dysfunction. The persistent endothelial dysfunction is, however, part of a more complex phenotype, supported by the unfavourable immune response and chemokine profile: several mechanisms have been considered, including coagulopathy, chronic inflammation of cardiomyocytes, myocardial ischemia and local hypoxia, ultimately resulting in fibrotic changes in the heart.</w:t>
            </w:r>
          </w:p>
          <w:p w14:paraId="452629B4"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Endothelial dysfunction is likely to have negative repercussions on erection, which undoubtedly result in impaired sexual health and satisfaction. Such effects have been shown to act regardless of anxiety and depression, suggesting that endothelial function might actually be an independent risk factor for the development of ED in affected patients.</w:t>
            </w:r>
          </w:p>
          <w:p w14:paraId="641AB32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Additional support in these regards comes from the presence of SARS-CoV-2 particles and the reduced expression of endothelial NO synthase (</w:t>
            </w:r>
            <w:proofErr w:type="spellStart"/>
            <w:r w:rsidRPr="006A4C7D">
              <w:rPr>
                <w:rFonts w:eastAsia="Times New Roman"/>
                <w:color w:val="000000"/>
                <w:sz w:val="18"/>
                <w:szCs w:val="18"/>
              </w:rPr>
              <w:t>eNOS</w:t>
            </w:r>
            <w:proofErr w:type="spellEnd"/>
            <w:r w:rsidRPr="006A4C7D">
              <w:rPr>
                <w:rFonts w:eastAsia="Times New Roman"/>
                <w:color w:val="000000"/>
                <w:sz w:val="18"/>
                <w:szCs w:val="18"/>
              </w:rPr>
              <w:t>) expression in the endothelium of COVID-19 patients. The chemokine profile described in COVID-19 can also contribute to the progression to more severe forms of erectile dysfunction.</w:t>
            </w:r>
          </w:p>
          <w:p w14:paraId="6F5709E6"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ACE2 is highly expressed by several cell types, including many highly relevant for the endocrine system such as pancreatic b-cells, hypothalamic and pituitary cells, and testicular Leydig and Sertoli cells. Viral direct damage can therefore trigger endocrine complications. </w:t>
            </w:r>
            <w:r w:rsidRPr="006A4C7D">
              <w:rPr>
                <w:rFonts w:eastAsia="Times New Roman"/>
                <w:color w:val="000000"/>
                <w:sz w:val="18"/>
                <w:szCs w:val="18"/>
              </w:rPr>
              <w:br/>
              <w:t>Pituitary apoplexy - possibly secondary to endothelial dysfunction, coagulopathy and increased blood flow due to the underlying inflammatory condition.</w:t>
            </w:r>
          </w:p>
          <w:p w14:paraId="7923A1A1"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Type I and Type 2 diabetes  - onset of type I diabetes mellitus in predisposed individuals following  autoimmune  reaction  towards  the b-cells, as well as to accelerated development of type II diabetes mellitus due to pancreatic inflammation, islet remodelling and progressive b-cell dysfunction.</w:t>
            </w:r>
          </w:p>
        </w:tc>
        <w:tc>
          <w:tcPr>
            <w:tcW w:w="4637" w:type="dxa"/>
          </w:tcPr>
          <w:p w14:paraId="66FC9F0A"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 xml:space="preserve">"Erectile disorders might therefore be a clinically tangible warning of the complex web of underlying vascular, endothelial, metabolic, neuropsychiatric and pulmonary risk factors." </w:t>
            </w:r>
            <w:r w:rsidRPr="006A4C7D">
              <w:rPr>
                <w:rFonts w:eastAsia="Times New Roman"/>
                <w:b/>
                <w:color w:val="000000"/>
                <w:sz w:val="18"/>
                <w:szCs w:val="18"/>
              </w:rPr>
              <w:br/>
              <w:t>Proposed mechanisms for Long Covid symptoms include:</w:t>
            </w:r>
            <w:r w:rsidRPr="006A4C7D">
              <w:rPr>
                <w:rFonts w:eastAsia="Times New Roman"/>
                <w:b/>
                <w:color w:val="000000"/>
                <w:sz w:val="18"/>
                <w:szCs w:val="18"/>
              </w:rPr>
              <w:br/>
              <w:t>- Inflammation;</w:t>
            </w:r>
            <w:r w:rsidRPr="006A4C7D">
              <w:rPr>
                <w:rFonts w:eastAsia="Times New Roman"/>
                <w:b/>
                <w:color w:val="000000"/>
                <w:sz w:val="18"/>
                <w:szCs w:val="18"/>
              </w:rPr>
              <w:br/>
              <w:t>- Endothelial dysfunction;</w:t>
            </w:r>
            <w:r w:rsidRPr="006A4C7D">
              <w:rPr>
                <w:rFonts w:eastAsia="Times New Roman"/>
                <w:b/>
                <w:color w:val="000000"/>
                <w:sz w:val="18"/>
                <w:szCs w:val="18"/>
              </w:rPr>
              <w:br/>
              <w:t>- Thrombosis;</w:t>
            </w:r>
            <w:r w:rsidRPr="006A4C7D">
              <w:rPr>
                <w:rFonts w:eastAsia="Times New Roman"/>
                <w:b/>
                <w:color w:val="000000"/>
                <w:sz w:val="18"/>
                <w:szCs w:val="18"/>
              </w:rPr>
              <w:br/>
              <w:t>- Hypoxia;</w:t>
            </w:r>
            <w:r w:rsidRPr="006A4C7D">
              <w:rPr>
                <w:rFonts w:eastAsia="Times New Roman"/>
                <w:b/>
                <w:color w:val="000000"/>
                <w:sz w:val="18"/>
                <w:szCs w:val="18"/>
              </w:rPr>
              <w:br/>
              <w:t>- Neuronal damage;</w:t>
            </w:r>
            <w:r w:rsidRPr="006A4C7D">
              <w:rPr>
                <w:rFonts w:eastAsia="Times New Roman"/>
                <w:b/>
                <w:color w:val="000000"/>
                <w:sz w:val="18"/>
                <w:szCs w:val="18"/>
              </w:rPr>
              <w:br/>
              <w:t>- Impaired cerebrospinal fluid drainage;</w:t>
            </w:r>
            <w:r w:rsidRPr="006A4C7D">
              <w:rPr>
                <w:rFonts w:eastAsia="Times New Roman"/>
                <w:b/>
                <w:color w:val="000000"/>
                <w:sz w:val="18"/>
                <w:szCs w:val="18"/>
              </w:rPr>
              <w:br/>
              <w:t>- Muscle damage;</w:t>
            </w:r>
            <w:r w:rsidRPr="006A4C7D">
              <w:rPr>
                <w:rFonts w:eastAsia="Times New Roman"/>
                <w:b/>
                <w:color w:val="000000"/>
                <w:sz w:val="18"/>
                <w:szCs w:val="18"/>
              </w:rPr>
              <w:br/>
              <w:t>- Mast cell activation;</w:t>
            </w:r>
            <w:r w:rsidRPr="006A4C7D">
              <w:rPr>
                <w:rFonts w:eastAsia="Times New Roman"/>
                <w:b/>
                <w:color w:val="000000"/>
                <w:sz w:val="18"/>
                <w:szCs w:val="18"/>
              </w:rPr>
              <w:br/>
              <w:t>- Lung abnormalities from Covid-19 damage;</w:t>
            </w:r>
            <w:r w:rsidRPr="006A4C7D">
              <w:rPr>
                <w:rFonts w:eastAsia="Times New Roman"/>
                <w:b/>
                <w:color w:val="000000"/>
                <w:sz w:val="18"/>
                <w:szCs w:val="18"/>
              </w:rPr>
              <w:br/>
              <w:t>- Viral damage of cells in the endocrine system;</w:t>
            </w:r>
            <w:r w:rsidRPr="006A4C7D">
              <w:rPr>
                <w:rFonts w:eastAsia="Times New Roman"/>
                <w:b/>
                <w:color w:val="000000"/>
                <w:sz w:val="18"/>
                <w:szCs w:val="18"/>
              </w:rPr>
              <w:br/>
              <w:t>- Immune response;</w:t>
            </w:r>
            <w:r w:rsidRPr="006A4C7D">
              <w:rPr>
                <w:rFonts w:eastAsia="Times New Roman"/>
                <w:b/>
                <w:color w:val="000000"/>
                <w:sz w:val="18"/>
                <w:szCs w:val="18"/>
              </w:rPr>
              <w:br/>
              <w:t>- Autonomic nervous system involvement.</w:t>
            </w:r>
          </w:p>
        </w:tc>
      </w:tr>
      <w:tr w:rsidR="006A4C7D" w:rsidRPr="006A4C7D" w14:paraId="1F7A64D6" w14:textId="77777777" w:rsidTr="005B6A90">
        <w:tc>
          <w:tcPr>
            <w:tcW w:w="1042" w:type="dxa"/>
          </w:tcPr>
          <w:p w14:paraId="0F9D5BC1" w14:textId="77777777"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t>Castanares</w:t>
            </w:r>
            <w:proofErr w:type="spellEnd"/>
            <w:r w:rsidRPr="006A4C7D">
              <w:rPr>
                <w:rFonts w:eastAsia="Times New Roman"/>
                <w:b/>
                <w:color w:val="000000"/>
                <w:sz w:val="18"/>
                <w:szCs w:val="18"/>
              </w:rPr>
              <w:t>-Zapatero 2022</w:t>
            </w:r>
          </w:p>
        </w:tc>
        <w:tc>
          <w:tcPr>
            <w:tcW w:w="1505" w:type="dxa"/>
          </w:tcPr>
          <w:p w14:paraId="22D5A59A"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Pathophysiology and mechanism of long COVID: a comprehensive review</w:t>
            </w:r>
          </w:p>
        </w:tc>
        <w:tc>
          <w:tcPr>
            <w:tcW w:w="7740" w:type="dxa"/>
            <w:shd w:val="clear" w:color="auto" w:fill="auto"/>
          </w:tcPr>
          <w:p w14:paraId="793EB80B"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Cognitive and mental health disorders;</w:t>
            </w:r>
          </w:p>
          <w:p w14:paraId="7627798D"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Pain</w:t>
            </w:r>
          </w:p>
          <w:p w14:paraId="636F044A"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Headache</w:t>
            </w:r>
          </w:p>
          <w:p w14:paraId="350484A4"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Fatigue</w:t>
            </w:r>
          </w:p>
          <w:p w14:paraId="096167CA"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Anosmia/</w:t>
            </w:r>
            <w:proofErr w:type="spellStart"/>
            <w:r w:rsidRPr="006A4C7D">
              <w:rPr>
                <w:rFonts w:eastAsia="Times New Roman"/>
                <w:color w:val="000000"/>
                <w:sz w:val="18"/>
                <w:szCs w:val="18"/>
              </w:rPr>
              <w:t>Agueusia</w:t>
            </w:r>
            <w:proofErr w:type="spellEnd"/>
          </w:p>
          <w:p w14:paraId="78D76C8C"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Neuropathy</w:t>
            </w:r>
          </w:p>
          <w:p w14:paraId="7B6C3197"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Dyspnoea</w:t>
            </w:r>
          </w:p>
          <w:p w14:paraId="00B75C14"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Chest pain</w:t>
            </w:r>
          </w:p>
          <w:p w14:paraId="1554263D"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Cough</w:t>
            </w:r>
          </w:p>
          <w:p w14:paraId="584BA3C3"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GI Tract</w:t>
            </w:r>
          </w:p>
          <w:p w14:paraId="68D65E9F"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Skin disorders</w:t>
            </w:r>
          </w:p>
        </w:tc>
        <w:tc>
          <w:tcPr>
            <w:tcW w:w="7741" w:type="dxa"/>
          </w:tcPr>
          <w:p w14:paraId="02F8D5C7"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Hypometabolic activity in various cerebral zones</w:t>
            </w:r>
          </w:p>
          <w:p w14:paraId="1F2DE8DE"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Reduced activity of the GABA inhibition</w:t>
            </w:r>
          </w:p>
          <w:p w14:paraId="3F4B619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Neuro-inflammation and brain microstructural modifications</w:t>
            </w:r>
          </w:p>
          <w:p w14:paraId="49ECDA7E"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Micro-structural, volumetric and vascularization disorders</w:t>
            </w:r>
          </w:p>
          <w:p w14:paraId="1E86E36D"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Structural lesions in the olfactory and taste system identified at imaging and histology</w:t>
            </w:r>
          </w:p>
          <w:p w14:paraId="37CF834C"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Injury in olfactory neuronal pathways</w:t>
            </w:r>
          </w:p>
          <w:p w14:paraId="2EECC504"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Persistent inflammation of the neuroepithelium and with SARS-CoV-2 RNA identification</w:t>
            </w:r>
          </w:p>
          <w:p w14:paraId="4C4EEC17"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Invasion and replication of SARS-CoV-2 in taste buds type II cells</w:t>
            </w:r>
          </w:p>
          <w:p w14:paraId="0AC40CB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Persistent vascular inflammation</w:t>
            </w:r>
          </w:p>
          <w:p w14:paraId="1E27B014"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Macrovascular vascular inflammation</w:t>
            </w:r>
          </w:p>
          <w:p w14:paraId="739AB79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Microvascular inflammation: increased level of cytokines, circulating endothelial cells, coagulation activation microvascular retinal impairment (at autopsy, evidence of endothelial cells and</w:t>
            </w:r>
            <w:r w:rsidRPr="006A4C7D">
              <w:rPr>
                <w:rFonts w:eastAsia="Times New Roman"/>
                <w:color w:val="000000"/>
                <w:sz w:val="18"/>
                <w:szCs w:val="18"/>
              </w:rPr>
              <w:br/>
              <w:t>cardiomyocytes viral invasion with signs of structural alterations)</w:t>
            </w:r>
          </w:p>
          <w:p w14:paraId="118140B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Auto-immunity: auto-antibodies able to modulate the cardiac frequency and vascular tone (acting as receptor agonists on the b2-adrenoceptor, the a1- adrenoceptor, angiotensin II AT1-receptor, angiotensin 1,7 and endothelin receptors)</w:t>
            </w:r>
          </w:p>
          <w:p w14:paraId="269D97A9"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Persistent alteration of coagulation (sustained increased of </w:t>
            </w:r>
            <w:proofErr w:type="spellStart"/>
            <w:r w:rsidRPr="006A4C7D">
              <w:rPr>
                <w:rFonts w:eastAsia="Times New Roman"/>
                <w:color w:val="000000"/>
                <w:sz w:val="18"/>
                <w:szCs w:val="18"/>
              </w:rPr>
              <w:t>Ddimer</w:t>
            </w:r>
            <w:proofErr w:type="spellEnd"/>
            <w:r w:rsidRPr="006A4C7D">
              <w:rPr>
                <w:rFonts w:eastAsia="Times New Roman"/>
                <w:color w:val="000000"/>
                <w:sz w:val="18"/>
                <w:szCs w:val="18"/>
              </w:rPr>
              <w:t xml:space="preserve"> levels)</w:t>
            </w:r>
          </w:p>
          <w:p w14:paraId="06CFF1AF"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Persistent inflammation and dysregulated host response of lung repair</w:t>
            </w:r>
          </w:p>
          <w:p w14:paraId="72777E65"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Increased plasma biomarkers of lung inflammation and fibrosis (Lipocalin 2, Matrix metalloproteinase-7, Hepatocyte growth factor)</w:t>
            </w:r>
          </w:p>
          <w:p w14:paraId="6D38CEE4"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Persisting inflammation in lungs, mediastinal lymph nodes, spleen, and liver</w:t>
            </w:r>
          </w:p>
          <w:p w14:paraId="3765F7BD"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Involvement of iron homeostasis disturbances in end-organ damage</w:t>
            </w:r>
          </w:p>
          <w:p w14:paraId="5DDDF1B0"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Gut microbiota modifications after recovery</w:t>
            </w:r>
          </w:p>
          <w:p w14:paraId="268DD996"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Decreases gut commensals with known immunomodulatory potential</w:t>
            </w:r>
          </w:p>
          <w:p w14:paraId="2AE11181"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Perturbed composition of microbiota correlated inflammation biomarkers</w:t>
            </w:r>
          </w:p>
          <w:p w14:paraId="17695CAE"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Persistent immune inflammatory response impairing organ functioning</w:t>
            </w:r>
          </w:p>
          <w:p w14:paraId="40153862"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Remaining inflammation in blood samples analysis, long-lasting phenotypic and functional disorders </w:t>
            </w:r>
            <w:r w:rsidRPr="006A4C7D">
              <w:rPr>
                <w:rFonts w:eastAsia="Times New Roman"/>
                <w:color w:val="000000"/>
                <w:sz w:val="18"/>
                <w:szCs w:val="18"/>
              </w:rPr>
              <w:lastRenderedPageBreak/>
              <w:t>of lymphocytes, decreased amounts of dendritic cells and persisting alterations of activation markers</w:t>
            </w:r>
          </w:p>
          <w:p w14:paraId="0920D1C9"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Signs of mild organ impairment at magnetic resonance imaging and FDG PET/CT</w:t>
            </w:r>
          </w:p>
          <w:p w14:paraId="4B1CB8C0"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Autoimmunity: auto-antibodies against the nociceptive receptors, immunomodulatory proteins (including cytokines, chemokines, complement components, and cell-surface proteins) and tissue components</w:t>
            </w:r>
          </w:p>
          <w:p w14:paraId="27E88873"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Persistence of the SARS-CoV-2 nucleic acids in tissues</w:t>
            </w:r>
          </w:p>
          <w:p w14:paraId="1EC7706E"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Multisystem Inflammatory syndrome in children (MIS-C)</w:t>
            </w:r>
          </w:p>
          <w:p w14:paraId="6430FED4"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At biopsy, presence of lymphocytic or neutrophilic infiltrates, </w:t>
            </w:r>
            <w:proofErr w:type="spellStart"/>
            <w:r w:rsidRPr="006A4C7D">
              <w:rPr>
                <w:rFonts w:eastAsia="Times New Roman"/>
                <w:color w:val="000000"/>
                <w:sz w:val="18"/>
                <w:szCs w:val="18"/>
              </w:rPr>
              <w:t>endothelitis</w:t>
            </w:r>
            <w:proofErr w:type="spellEnd"/>
            <w:r w:rsidRPr="006A4C7D">
              <w:rPr>
                <w:rFonts w:eastAsia="Times New Roman"/>
                <w:color w:val="000000"/>
                <w:sz w:val="18"/>
                <w:szCs w:val="18"/>
              </w:rPr>
              <w:t xml:space="preserve">, microangiopathy, and </w:t>
            </w:r>
            <w:proofErr w:type="spellStart"/>
            <w:r w:rsidRPr="006A4C7D">
              <w:rPr>
                <w:rFonts w:eastAsia="Times New Roman"/>
                <w:color w:val="000000"/>
                <w:sz w:val="18"/>
                <w:szCs w:val="18"/>
              </w:rPr>
              <w:t>microthrombosis</w:t>
            </w:r>
            <w:proofErr w:type="spellEnd"/>
          </w:p>
        </w:tc>
        <w:tc>
          <w:tcPr>
            <w:tcW w:w="4637" w:type="dxa"/>
          </w:tcPr>
          <w:p w14:paraId="46AD072C"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Various mechanisms have been identified as being potentially involved in symptoms of Long COVID, including:</w:t>
            </w:r>
          </w:p>
          <w:p w14:paraId="76F8FBFF"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Neuro-inflammation</w:t>
            </w:r>
          </w:p>
          <w:p w14:paraId="48E85DBF"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Activation of coagulation</w:t>
            </w:r>
            <w:r w:rsidRPr="006A4C7D">
              <w:rPr>
                <w:rFonts w:eastAsia="Times New Roman"/>
                <w:b/>
                <w:color w:val="000000"/>
                <w:sz w:val="18"/>
                <w:szCs w:val="18"/>
              </w:rPr>
              <w:br/>
              <w:t>- Autoimmunity</w:t>
            </w:r>
          </w:p>
          <w:p w14:paraId="156148D3"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Metabolic brain disorders</w:t>
            </w:r>
            <w:r w:rsidRPr="006A4C7D">
              <w:rPr>
                <w:rFonts w:eastAsia="Times New Roman"/>
                <w:b/>
                <w:color w:val="000000"/>
                <w:sz w:val="18"/>
                <w:szCs w:val="18"/>
              </w:rPr>
              <w:br/>
              <w:t xml:space="preserve"> - Residual virus particle, persistent </w:t>
            </w:r>
            <w:proofErr w:type="spellStart"/>
            <w:r w:rsidRPr="006A4C7D">
              <w:rPr>
                <w:rFonts w:eastAsia="Times New Roman"/>
                <w:b/>
                <w:color w:val="000000"/>
                <w:sz w:val="18"/>
                <w:szCs w:val="18"/>
              </w:rPr>
              <w:t>smoldering</w:t>
            </w:r>
            <w:proofErr w:type="spellEnd"/>
            <w:r w:rsidRPr="006A4C7D">
              <w:rPr>
                <w:rFonts w:eastAsia="Times New Roman"/>
                <w:b/>
                <w:color w:val="000000"/>
                <w:sz w:val="18"/>
                <w:szCs w:val="18"/>
              </w:rPr>
              <w:t xml:space="preserve"> infection</w:t>
            </w:r>
          </w:p>
          <w:p w14:paraId="5033715C"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Direct or indirect nervous system damage during the acute phase</w:t>
            </w:r>
            <w:r w:rsidRPr="006A4C7D">
              <w:rPr>
                <w:rFonts w:eastAsia="Times New Roman"/>
                <w:b/>
                <w:color w:val="000000"/>
                <w:sz w:val="18"/>
                <w:szCs w:val="18"/>
              </w:rPr>
              <w:br/>
              <w:t xml:space="preserve"> - Activation of nerves </w:t>
            </w:r>
          </w:p>
          <w:p w14:paraId="6090C4CA"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Glymphatic-lymphatic system congestion</w:t>
            </w:r>
            <w:r w:rsidRPr="006A4C7D">
              <w:rPr>
                <w:rFonts w:eastAsia="Times New Roman"/>
                <w:b/>
                <w:color w:val="000000"/>
                <w:sz w:val="18"/>
                <w:szCs w:val="18"/>
              </w:rPr>
              <w:br/>
              <w:t xml:space="preserve"> - Bioenergetic disorders in muscles due to mitochondria dysfunction</w:t>
            </w:r>
            <w:r w:rsidRPr="006A4C7D">
              <w:rPr>
                <w:rFonts w:eastAsia="Times New Roman"/>
                <w:b/>
                <w:color w:val="000000"/>
                <w:sz w:val="18"/>
                <w:szCs w:val="18"/>
              </w:rPr>
              <w:br/>
              <w:t xml:space="preserve">-  Olfactory dysfunction due to viral invasion of olfactory mucosa </w:t>
            </w:r>
            <w:r w:rsidRPr="006A4C7D">
              <w:rPr>
                <w:rFonts w:eastAsia="Times New Roman"/>
                <w:b/>
                <w:color w:val="000000"/>
                <w:sz w:val="18"/>
                <w:szCs w:val="18"/>
              </w:rPr>
              <w:br/>
              <w:t xml:space="preserve">- Endothelial dysfunction </w:t>
            </w:r>
          </w:p>
          <w:p w14:paraId="2CDA6894"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Antiphospholipid antibodies</w:t>
            </w:r>
          </w:p>
          <w:p w14:paraId="51EABE85"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Damages of the autonomic nervous system</w:t>
            </w:r>
          </w:p>
          <w:p w14:paraId="359BDC78"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Lung fibrosis, pulmonary vasculature damages</w:t>
            </w:r>
          </w:p>
          <w:p w14:paraId="3765AD81"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Chronic dysregulated immune system activation</w:t>
            </w:r>
          </w:p>
          <w:p w14:paraId="52BDF365"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Mast cell activation syndrome</w:t>
            </w:r>
            <w:r w:rsidRPr="006A4C7D">
              <w:rPr>
                <w:rFonts w:eastAsia="Times New Roman"/>
                <w:b/>
                <w:color w:val="000000"/>
                <w:sz w:val="18"/>
                <w:szCs w:val="18"/>
              </w:rPr>
              <w:br/>
              <w:t xml:space="preserve"> - Disruption of myocytes and fibroblast activation</w:t>
            </w:r>
          </w:p>
          <w:p w14:paraId="5C2F591C"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  Alteration of microcirculation in bones, autoimmunity and NETs activation in joints</w:t>
            </w:r>
            <w:r w:rsidRPr="006A4C7D">
              <w:rPr>
                <w:rFonts w:eastAsia="Times New Roman"/>
                <w:b/>
                <w:color w:val="000000"/>
                <w:sz w:val="18"/>
                <w:szCs w:val="18"/>
              </w:rPr>
              <w:br/>
              <w:t>- Post-infection gastro-intestinal dysfunction, microbiota alterations, hepato-biliary damage, renal cell viral invasion</w:t>
            </w:r>
            <w:r w:rsidRPr="006A4C7D">
              <w:rPr>
                <w:rFonts w:eastAsia="Times New Roman"/>
                <w:b/>
                <w:color w:val="000000"/>
                <w:sz w:val="18"/>
                <w:szCs w:val="18"/>
              </w:rPr>
              <w:br/>
              <w:t xml:space="preserve"> - Direct damage on the thyroid gland, subacute thyroiditis, low-T3 syndrome</w:t>
            </w:r>
            <w:r w:rsidRPr="006A4C7D">
              <w:rPr>
                <w:rFonts w:eastAsia="Times New Roman"/>
                <w:b/>
                <w:color w:val="000000"/>
                <w:sz w:val="18"/>
                <w:szCs w:val="18"/>
              </w:rPr>
              <w:br/>
            </w:r>
            <w:r w:rsidRPr="006A4C7D">
              <w:rPr>
                <w:rFonts w:eastAsia="Times New Roman"/>
                <w:b/>
                <w:color w:val="000000"/>
                <w:sz w:val="18"/>
                <w:szCs w:val="18"/>
              </w:rPr>
              <w:lastRenderedPageBreak/>
              <w:t xml:space="preserve"> - Uncontrolled T-cell immune response  </w:t>
            </w:r>
            <w:r w:rsidRPr="006A4C7D">
              <w:rPr>
                <w:rFonts w:eastAsia="Times New Roman"/>
                <w:b/>
                <w:color w:val="000000"/>
                <w:sz w:val="18"/>
                <w:szCs w:val="18"/>
              </w:rPr>
              <w:br/>
              <w:t xml:space="preserve"> - Molecular mimicry between antigens</w:t>
            </w:r>
          </w:p>
        </w:tc>
      </w:tr>
    </w:tbl>
    <w:p w14:paraId="7227A1E3" w14:textId="77777777" w:rsidR="00946BD2" w:rsidRDefault="00946BD2">
      <w:r>
        <w:lastRenderedPageBreak/>
        <w:br w:type="page"/>
      </w:r>
    </w:p>
    <w:tbl>
      <w:tblPr>
        <w:tblStyle w:val="TableGrid"/>
        <w:tblW w:w="0" w:type="auto"/>
        <w:tblLayout w:type="fixed"/>
        <w:tblLook w:val="04A0" w:firstRow="1" w:lastRow="0" w:firstColumn="1" w:lastColumn="0" w:noHBand="0" w:noVBand="1"/>
      </w:tblPr>
      <w:tblGrid>
        <w:gridCol w:w="1042"/>
        <w:gridCol w:w="1505"/>
        <w:gridCol w:w="7740"/>
        <w:gridCol w:w="7741"/>
        <w:gridCol w:w="4637"/>
      </w:tblGrid>
      <w:tr w:rsidR="006A4C7D" w:rsidRPr="006A4C7D" w14:paraId="4ED3F490" w14:textId="77777777" w:rsidTr="005B6A90">
        <w:tc>
          <w:tcPr>
            <w:tcW w:w="1042" w:type="dxa"/>
          </w:tcPr>
          <w:p w14:paraId="357B1B2B" w14:textId="17D56F9D" w:rsidR="006A4C7D" w:rsidRPr="006A4C7D" w:rsidRDefault="006A4C7D" w:rsidP="006A4C7D">
            <w:pPr>
              <w:widowControl w:val="0"/>
              <w:spacing w:line="276" w:lineRule="auto"/>
              <w:ind w:right="-47"/>
              <w:rPr>
                <w:rFonts w:eastAsia="Times New Roman"/>
                <w:b/>
                <w:color w:val="000000"/>
                <w:sz w:val="18"/>
                <w:szCs w:val="18"/>
              </w:rPr>
            </w:pPr>
            <w:proofErr w:type="spellStart"/>
            <w:r w:rsidRPr="006A4C7D">
              <w:rPr>
                <w:rFonts w:eastAsia="Times New Roman"/>
                <w:b/>
                <w:color w:val="000000"/>
                <w:sz w:val="18"/>
                <w:szCs w:val="18"/>
              </w:rPr>
              <w:lastRenderedPageBreak/>
              <w:t>Bergantini</w:t>
            </w:r>
            <w:proofErr w:type="spellEnd"/>
            <w:r w:rsidRPr="006A4C7D">
              <w:rPr>
                <w:rFonts w:eastAsia="Times New Roman"/>
                <w:b/>
                <w:color w:val="000000"/>
                <w:sz w:val="18"/>
                <w:szCs w:val="18"/>
              </w:rPr>
              <w:t xml:space="preserve"> 2022</w:t>
            </w:r>
          </w:p>
        </w:tc>
        <w:tc>
          <w:tcPr>
            <w:tcW w:w="1505" w:type="dxa"/>
          </w:tcPr>
          <w:p w14:paraId="4ECE07A7"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Common Molecular Pathways Between Post-COVID19 Syndrome and Lung Fibrosis: A Scoping Review</w:t>
            </w:r>
          </w:p>
        </w:tc>
        <w:tc>
          <w:tcPr>
            <w:tcW w:w="7740" w:type="dxa"/>
            <w:shd w:val="clear" w:color="auto" w:fill="auto"/>
          </w:tcPr>
          <w:p w14:paraId="51087300"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Lung fibrosis.</w:t>
            </w:r>
          </w:p>
        </w:tc>
        <w:tc>
          <w:tcPr>
            <w:tcW w:w="7741" w:type="dxa"/>
          </w:tcPr>
          <w:p w14:paraId="4C309EF7"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Molecular mechanisms of PF secondary to COVID-19 are mainly related to the TNF </w:t>
            </w:r>
            <w:proofErr w:type="spellStart"/>
            <w:r w:rsidRPr="006A4C7D">
              <w:rPr>
                <w:rFonts w:eastAsia="Times New Roman"/>
                <w:color w:val="000000"/>
                <w:sz w:val="18"/>
                <w:szCs w:val="18"/>
              </w:rPr>
              <w:t>signaling</w:t>
            </w:r>
            <w:proofErr w:type="spellEnd"/>
            <w:r w:rsidRPr="006A4C7D">
              <w:rPr>
                <w:rFonts w:eastAsia="Times New Roman"/>
                <w:color w:val="000000"/>
                <w:sz w:val="18"/>
                <w:szCs w:val="18"/>
              </w:rPr>
              <w:t xml:space="preserve"> pathway, the cytokine-cytokine receptor interaction pathway and the NF-kB </w:t>
            </w:r>
            <w:proofErr w:type="spellStart"/>
            <w:r w:rsidRPr="006A4C7D">
              <w:rPr>
                <w:rFonts w:eastAsia="Times New Roman"/>
                <w:color w:val="000000"/>
                <w:sz w:val="18"/>
                <w:szCs w:val="18"/>
              </w:rPr>
              <w:t>signaling</w:t>
            </w:r>
            <w:proofErr w:type="spellEnd"/>
            <w:r w:rsidRPr="006A4C7D">
              <w:rPr>
                <w:rFonts w:eastAsia="Times New Roman"/>
                <w:color w:val="000000"/>
                <w:sz w:val="18"/>
                <w:szCs w:val="18"/>
              </w:rPr>
              <w:t xml:space="preserve"> pathway.</w:t>
            </w:r>
          </w:p>
          <w:p w14:paraId="004F4D04"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Among cytokines, interleukin 6 (IL-6), TNF and IL-1β have been identified as key targets associated</w:t>
            </w:r>
            <w:r w:rsidRPr="006A4C7D">
              <w:rPr>
                <w:rFonts w:eastAsia="Times New Roman"/>
                <w:color w:val="000000"/>
                <w:sz w:val="18"/>
                <w:szCs w:val="18"/>
              </w:rPr>
              <w:br/>
              <w:t>with PF secondary to COVID-19.</w:t>
            </w:r>
          </w:p>
          <w:p w14:paraId="7D4A396A" w14:textId="77777777" w:rsidR="006A4C7D" w:rsidRPr="006A4C7D" w:rsidRDefault="006A4C7D" w:rsidP="006A4C7D">
            <w:pPr>
              <w:widowControl w:val="0"/>
              <w:numPr>
                <w:ilvl w:val="0"/>
                <w:numId w:val="12"/>
              </w:numPr>
              <w:spacing w:line="276" w:lineRule="auto"/>
              <w:ind w:left="232" w:right="-112" w:hanging="232"/>
              <w:contextualSpacing/>
              <w:rPr>
                <w:rFonts w:eastAsia="Times New Roman"/>
                <w:color w:val="000000"/>
                <w:sz w:val="18"/>
                <w:szCs w:val="18"/>
              </w:rPr>
            </w:pPr>
            <w:proofErr w:type="spellStart"/>
            <w:r w:rsidRPr="006A4C7D">
              <w:rPr>
                <w:rFonts w:eastAsia="Times New Roman"/>
                <w:color w:val="000000"/>
                <w:sz w:val="18"/>
                <w:szCs w:val="18"/>
              </w:rPr>
              <w:t>Oulmonary</w:t>
            </w:r>
            <w:proofErr w:type="spellEnd"/>
            <w:r w:rsidRPr="006A4C7D">
              <w:rPr>
                <w:rFonts w:eastAsia="Times New Roman"/>
                <w:color w:val="000000"/>
                <w:sz w:val="18"/>
                <w:szCs w:val="18"/>
              </w:rPr>
              <w:t xml:space="preserve"> fibrosis tissue from IPF patients have shown an increased expression of ACE2 in fibroblasts, make fibrotic patients more susceptible to virus entrance.</w:t>
            </w:r>
          </w:p>
        </w:tc>
        <w:tc>
          <w:tcPr>
            <w:tcW w:w="4637" w:type="dxa"/>
          </w:tcPr>
          <w:p w14:paraId="238982BC"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A thorough discussion of fibrosis and its general pathology with logical reasoning for similar pathways to fibrosis following COVID19. </w:t>
            </w:r>
            <w:r w:rsidRPr="006A4C7D">
              <w:rPr>
                <w:rFonts w:eastAsia="Times New Roman"/>
                <w:b/>
                <w:color w:val="000000"/>
                <w:sz w:val="18"/>
                <w:szCs w:val="18"/>
              </w:rPr>
              <w:br/>
              <w:t xml:space="preserve">ACE2 seems to play a role because of its widespread systemic nature. </w:t>
            </w:r>
          </w:p>
          <w:p w14:paraId="6D692575"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Several gene pathways seem to be activated by SARS-CoV-2 leading to increase of cytokines and </w:t>
            </w:r>
            <w:proofErr w:type="spellStart"/>
            <w:r w:rsidRPr="006A4C7D">
              <w:rPr>
                <w:rFonts w:eastAsia="Times New Roman"/>
                <w:b/>
                <w:color w:val="000000"/>
                <w:sz w:val="18"/>
                <w:szCs w:val="18"/>
              </w:rPr>
              <w:t>epitheleal</w:t>
            </w:r>
            <w:proofErr w:type="spellEnd"/>
            <w:r w:rsidRPr="006A4C7D">
              <w:rPr>
                <w:rFonts w:eastAsia="Times New Roman"/>
                <w:b/>
                <w:color w:val="000000"/>
                <w:sz w:val="18"/>
                <w:szCs w:val="18"/>
              </w:rPr>
              <w:t>/endothelial activity - also known to influence fibrosis.</w:t>
            </w:r>
          </w:p>
          <w:p w14:paraId="75CEFE6C"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Broad message is that cytokine storm leads to dysregulated repair leading to fibrogenesis (the two studies cited for this don't appear in the review though and are authored by the first author of this review).</w:t>
            </w:r>
          </w:p>
          <w:p w14:paraId="21037E6E"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Specific substances that can trigger fibrosis/fibrosis-like lung injury include TGF-Œ≤, IL-4, IL-6 and IL-13.</w:t>
            </w:r>
          </w:p>
          <w:p w14:paraId="1E160BEB"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Fibrosis is a normal healing process but in the case of repeated or chronic lung damage, fibrosis becomes aberrant wound healing due to the dysregulation of the fibroblasts and the extensive deposition of collagen and elastin.</w:t>
            </w:r>
            <w:r w:rsidRPr="006A4C7D">
              <w:rPr>
                <w:rFonts w:eastAsia="Times New Roman"/>
                <w:b/>
                <w:color w:val="000000"/>
                <w:sz w:val="18"/>
                <w:szCs w:val="18"/>
              </w:rPr>
              <w:br/>
              <w:t xml:space="preserve">Risk factors for extensive or prolonged pulmonary fibrosis in long COVID include shortened telomere length (although </w:t>
            </w:r>
            <w:proofErr w:type="spellStart"/>
            <w:r w:rsidRPr="006A4C7D">
              <w:rPr>
                <w:rFonts w:eastAsia="Times New Roman"/>
                <w:b/>
                <w:color w:val="000000"/>
                <w:sz w:val="18"/>
                <w:szCs w:val="18"/>
              </w:rPr>
              <w:t>its</w:t>
            </w:r>
            <w:proofErr w:type="spellEnd"/>
            <w:r w:rsidRPr="006A4C7D">
              <w:rPr>
                <w:rFonts w:eastAsia="Times New Roman"/>
                <w:b/>
                <w:color w:val="000000"/>
                <w:sz w:val="18"/>
                <w:szCs w:val="18"/>
              </w:rPr>
              <w:t xml:space="preserve"> unclear if this might not just be an age-related factor as telomeres shorten with age).</w:t>
            </w:r>
          </w:p>
        </w:tc>
      </w:tr>
      <w:tr w:rsidR="006A4C7D" w:rsidRPr="006A4C7D" w14:paraId="14FA2FA1" w14:textId="77777777" w:rsidTr="005B6A90">
        <w:tc>
          <w:tcPr>
            <w:tcW w:w="1042" w:type="dxa"/>
          </w:tcPr>
          <w:p w14:paraId="345A0903" w14:textId="77777777" w:rsidR="006A4C7D" w:rsidRPr="006A4C7D" w:rsidRDefault="006A4C7D" w:rsidP="006A4C7D">
            <w:pPr>
              <w:widowControl w:val="0"/>
              <w:spacing w:line="276" w:lineRule="auto"/>
              <w:ind w:right="-47"/>
              <w:rPr>
                <w:rFonts w:eastAsia="Times New Roman"/>
                <w:b/>
                <w:color w:val="000000"/>
                <w:sz w:val="18"/>
                <w:szCs w:val="18"/>
              </w:rPr>
            </w:pPr>
            <w:r w:rsidRPr="006A4C7D">
              <w:rPr>
                <w:rFonts w:eastAsia="Times New Roman"/>
                <w:b/>
                <w:color w:val="000000"/>
                <w:sz w:val="18"/>
                <w:szCs w:val="18"/>
              </w:rPr>
              <w:t>Meyer 2022</w:t>
            </w:r>
          </w:p>
        </w:tc>
        <w:tc>
          <w:tcPr>
            <w:tcW w:w="1505" w:type="dxa"/>
          </w:tcPr>
          <w:p w14:paraId="7D18839D"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Molecular Imaging Findings on Acute and Long-Term Effects</w:t>
            </w:r>
            <w:r w:rsidRPr="006A4C7D">
              <w:rPr>
                <w:rFonts w:eastAsia="Times New Roman"/>
                <w:i/>
                <w:color w:val="000000"/>
                <w:sz w:val="18"/>
                <w:szCs w:val="18"/>
              </w:rPr>
              <w:br/>
              <w:t>of COVID-19 on the Brain: A Systematic Review</w:t>
            </w:r>
          </w:p>
        </w:tc>
        <w:tc>
          <w:tcPr>
            <w:tcW w:w="7740" w:type="dxa"/>
            <w:shd w:val="clear" w:color="auto" w:fill="auto"/>
          </w:tcPr>
          <w:p w14:paraId="307E21D6"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Focal symptoms: olfactory dysfunction being most frequent</w:t>
            </w:r>
          </w:p>
          <w:p w14:paraId="71E4D5B2"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Encephalopathy (around 70% of hospitalised patients) - characterised by cognitive impairment and other neurologic signs (e.g., hemiparesis, ataxia, apraxia, aphasia, myoclonus, and seizures)</w:t>
            </w:r>
          </w:p>
          <w:p w14:paraId="72E70E63"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Post-COVID-19 syndrome - mostly memory or cognitive complaints, fatigue, and insomnia</w:t>
            </w:r>
          </w:p>
        </w:tc>
        <w:tc>
          <w:tcPr>
            <w:tcW w:w="7741" w:type="dxa"/>
          </w:tcPr>
          <w:p w14:paraId="251FEE91" w14:textId="77777777" w:rsidR="006A4C7D" w:rsidRPr="006A4C7D" w:rsidRDefault="006A4C7D" w:rsidP="006A4C7D">
            <w:pPr>
              <w:widowControl w:val="0"/>
              <w:spacing w:line="276" w:lineRule="auto"/>
              <w:ind w:right="-112"/>
              <w:rPr>
                <w:rFonts w:eastAsia="Times New Roman"/>
                <w:color w:val="000000"/>
                <w:sz w:val="18"/>
                <w:szCs w:val="18"/>
              </w:rPr>
            </w:pPr>
            <w:r w:rsidRPr="006A4C7D">
              <w:rPr>
                <w:rFonts w:eastAsia="Times New Roman"/>
                <w:color w:val="000000"/>
                <w:sz w:val="18"/>
                <w:szCs w:val="18"/>
              </w:rPr>
              <w:t xml:space="preserve">(Data from 1 case report and 4 cohort studies of adults and children.) </w:t>
            </w:r>
          </w:p>
          <w:p w14:paraId="550FFB3A" w14:textId="77777777" w:rsidR="006A4C7D" w:rsidRPr="006A4C7D" w:rsidRDefault="006A4C7D" w:rsidP="006A4C7D">
            <w:pPr>
              <w:widowControl w:val="0"/>
              <w:numPr>
                <w:ilvl w:val="0"/>
                <w:numId w:val="13"/>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Long-COVID patients showed extensive areas of hypometabolism including the orbitofrontal cortex bilaterally, the medical temporal lobes bilaterally, the right thalamus (adults only), and the brain stem and cerebellum. </w:t>
            </w:r>
          </w:p>
          <w:p w14:paraId="6125D601" w14:textId="77777777" w:rsidR="006A4C7D" w:rsidRPr="006A4C7D" w:rsidRDefault="006A4C7D" w:rsidP="006A4C7D">
            <w:pPr>
              <w:widowControl w:val="0"/>
              <w:numPr>
                <w:ilvl w:val="0"/>
                <w:numId w:val="13"/>
              </w:numPr>
              <w:spacing w:before="120"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Proposed mechanisms: For adults, neurotropism of virus through the olfactory bulb, with extension of impairment to the limbic and other regions. </w:t>
            </w:r>
          </w:p>
          <w:p w14:paraId="038FE0D3" w14:textId="77777777" w:rsidR="006A4C7D" w:rsidRPr="006A4C7D" w:rsidRDefault="006A4C7D" w:rsidP="006A4C7D">
            <w:pPr>
              <w:widowControl w:val="0"/>
              <w:numPr>
                <w:ilvl w:val="0"/>
                <w:numId w:val="13"/>
              </w:numPr>
              <w:spacing w:before="120"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PET scan data conflicting: One study showed long-COVID patients exhibited hypometabolism of the right </w:t>
            </w:r>
            <w:proofErr w:type="spellStart"/>
            <w:r w:rsidRPr="006A4C7D">
              <w:rPr>
                <w:rFonts w:eastAsia="Times New Roman"/>
                <w:color w:val="000000"/>
                <w:sz w:val="18"/>
                <w:szCs w:val="18"/>
              </w:rPr>
              <w:t>parahippocampal</w:t>
            </w:r>
            <w:proofErr w:type="spellEnd"/>
            <w:r w:rsidRPr="006A4C7D">
              <w:rPr>
                <w:rFonts w:eastAsia="Times New Roman"/>
                <w:color w:val="000000"/>
                <w:sz w:val="18"/>
                <w:szCs w:val="18"/>
              </w:rPr>
              <w:t xml:space="preserve"> gyrus and thalamus relative to melanoma patients. Another study, scans found no significant regional abnormality relative to controls. </w:t>
            </w:r>
          </w:p>
        </w:tc>
        <w:tc>
          <w:tcPr>
            <w:tcW w:w="4637" w:type="dxa"/>
          </w:tcPr>
          <w:p w14:paraId="41B0A6D0"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In patients with a high level of self-reported complaints, some authors have found extensive areas of limbic and subcortical hypometabolism, whereas others found no metabolic alterations on PET and only minor cognitive impairments on neuropsychologic assessment.</w:t>
            </w:r>
          </w:p>
          <w:p w14:paraId="30FC6131"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Given the complexity, costs, and radiation exposure, cohorts in PET studies are often rather small, which limits their statistical power.</w:t>
            </w:r>
          </w:p>
          <w:p w14:paraId="5D29504B"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The contribution of 18F-FDG PET to understanding and diagnosing a post-COVID-19 syndrome dominated by fatigue is limited.</w:t>
            </w:r>
          </w:p>
        </w:tc>
      </w:tr>
      <w:tr w:rsidR="006A4C7D" w:rsidRPr="006A4C7D" w14:paraId="071A92CF" w14:textId="77777777" w:rsidTr="005B6A90">
        <w:tc>
          <w:tcPr>
            <w:tcW w:w="1042" w:type="dxa"/>
          </w:tcPr>
          <w:p w14:paraId="5058959A" w14:textId="77777777" w:rsidR="006A4C7D" w:rsidRPr="006A4C7D" w:rsidRDefault="006A4C7D" w:rsidP="006A4C7D">
            <w:pPr>
              <w:widowControl w:val="0"/>
              <w:spacing w:line="276" w:lineRule="auto"/>
              <w:ind w:left="-116" w:right="-47"/>
              <w:rPr>
                <w:rFonts w:eastAsia="Times New Roman"/>
                <w:b/>
                <w:color w:val="000000"/>
                <w:sz w:val="18"/>
                <w:szCs w:val="18"/>
              </w:rPr>
            </w:pPr>
            <w:proofErr w:type="spellStart"/>
            <w:r w:rsidRPr="006A4C7D">
              <w:rPr>
                <w:rFonts w:eastAsia="Times New Roman"/>
                <w:b/>
                <w:color w:val="000000"/>
                <w:spacing w:val="-8"/>
                <w:sz w:val="18"/>
                <w:szCs w:val="18"/>
              </w:rPr>
              <w:t>Akbarialiabad</w:t>
            </w:r>
            <w:proofErr w:type="spellEnd"/>
            <w:r w:rsidRPr="006A4C7D">
              <w:rPr>
                <w:rFonts w:eastAsia="Times New Roman"/>
                <w:b/>
                <w:color w:val="000000"/>
                <w:sz w:val="18"/>
                <w:szCs w:val="18"/>
              </w:rPr>
              <w:t xml:space="preserve"> 2021</w:t>
            </w:r>
          </w:p>
        </w:tc>
        <w:tc>
          <w:tcPr>
            <w:tcW w:w="1505" w:type="dxa"/>
          </w:tcPr>
          <w:p w14:paraId="7170142D"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Long COVID, a comprehensive systematic scoping review</w:t>
            </w:r>
          </w:p>
        </w:tc>
        <w:tc>
          <w:tcPr>
            <w:tcW w:w="7740" w:type="dxa"/>
            <w:shd w:val="clear" w:color="auto" w:fill="auto"/>
          </w:tcPr>
          <w:p w14:paraId="73C2FD61"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Thirteen (10.8%) articles evaluated pathophysiology including:</w:t>
            </w:r>
            <w:r w:rsidRPr="006A4C7D">
              <w:rPr>
                <w:rFonts w:eastAsia="Times New Roman"/>
                <w:color w:val="000000"/>
                <w:sz w:val="18"/>
                <w:szCs w:val="18"/>
              </w:rPr>
              <w:br/>
              <w:t xml:space="preserve">-  8 neurologic </w:t>
            </w:r>
            <w:r w:rsidRPr="006A4C7D">
              <w:rPr>
                <w:rFonts w:eastAsia="Times New Roman"/>
                <w:color w:val="000000"/>
                <w:sz w:val="18"/>
                <w:szCs w:val="18"/>
              </w:rPr>
              <w:br/>
              <w:t xml:space="preserve">- 2 cardiovascular </w:t>
            </w:r>
            <w:r w:rsidRPr="006A4C7D">
              <w:rPr>
                <w:rFonts w:eastAsia="Times New Roman"/>
                <w:color w:val="000000"/>
                <w:sz w:val="18"/>
                <w:szCs w:val="18"/>
              </w:rPr>
              <w:br/>
              <w:t>- 1 fatigue</w:t>
            </w:r>
            <w:r w:rsidRPr="006A4C7D">
              <w:rPr>
                <w:rFonts w:eastAsia="Times New Roman"/>
                <w:color w:val="000000"/>
                <w:sz w:val="18"/>
                <w:szCs w:val="18"/>
              </w:rPr>
              <w:br/>
              <w:t>- 1 MIS in paediatric</w:t>
            </w:r>
            <w:r w:rsidRPr="006A4C7D">
              <w:rPr>
                <w:rFonts w:eastAsia="Times New Roman"/>
                <w:color w:val="000000"/>
                <w:sz w:val="18"/>
                <w:szCs w:val="18"/>
              </w:rPr>
              <w:br/>
              <w:t>- 1 pathophysiology of multiple systems</w:t>
            </w:r>
          </w:p>
        </w:tc>
        <w:tc>
          <w:tcPr>
            <w:tcW w:w="7741" w:type="dxa"/>
          </w:tcPr>
          <w:p w14:paraId="1A7F55F8"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ACE2 receptor expressed in many tissues </w:t>
            </w:r>
          </w:p>
          <w:p w14:paraId="2211DBF2"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Oxidative stress and inflammation </w:t>
            </w:r>
            <w:proofErr w:type="gramStart"/>
            <w:r w:rsidRPr="006A4C7D">
              <w:rPr>
                <w:rFonts w:eastAsia="Times New Roman"/>
                <w:color w:val="000000"/>
                <w:sz w:val="18"/>
                <w:szCs w:val="18"/>
              </w:rPr>
              <w:t>leads</w:t>
            </w:r>
            <w:proofErr w:type="gramEnd"/>
            <w:r w:rsidRPr="006A4C7D">
              <w:rPr>
                <w:rFonts w:eastAsia="Times New Roman"/>
                <w:color w:val="000000"/>
                <w:sz w:val="18"/>
                <w:szCs w:val="18"/>
              </w:rPr>
              <w:t xml:space="preserve"> to weak immunologic response and incomplete virus eradication</w:t>
            </w:r>
          </w:p>
          <w:p w14:paraId="222F8604"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Virus residuals and antigen remnants cause  ongoing inflammatory response /vicious </w:t>
            </w:r>
            <w:proofErr w:type="gramStart"/>
            <w:r w:rsidRPr="006A4C7D">
              <w:rPr>
                <w:rFonts w:eastAsia="Times New Roman"/>
                <w:color w:val="000000"/>
                <w:sz w:val="18"/>
                <w:szCs w:val="18"/>
              </w:rPr>
              <w:t>cycle</w:t>
            </w:r>
            <w:proofErr w:type="gramEnd"/>
          </w:p>
          <w:p w14:paraId="14351CA6"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Persistence of viremia and insufficient antibody generation</w:t>
            </w:r>
          </w:p>
          <w:p w14:paraId="5498D3EF"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Psychological factors e.g. PTSD may contribute to development of Long COVID (single patient case report)</w:t>
            </w:r>
          </w:p>
          <w:p w14:paraId="06076A8B"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Genetic profile primarily related to the immune system, such as HLA</w:t>
            </w:r>
          </w:p>
          <w:p w14:paraId="658F0D7E"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RNA of SARS-COV-2 may remain in the CNS after acute phase and may result in neuronal loss</w:t>
            </w:r>
          </w:p>
          <w:p w14:paraId="3C05810D"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Systemic inflammation causes generalized </w:t>
            </w:r>
            <w:proofErr w:type="spellStart"/>
            <w:r w:rsidRPr="006A4C7D">
              <w:rPr>
                <w:rFonts w:eastAsia="Times New Roman"/>
                <w:color w:val="000000"/>
                <w:sz w:val="18"/>
                <w:szCs w:val="18"/>
              </w:rPr>
              <w:t>endothelitis</w:t>
            </w:r>
            <w:proofErr w:type="spellEnd"/>
            <w:r w:rsidRPr="006A4C7D">
              <w:rPr>
                <w:rFonts w:eastAsia="Times New Roman"/>
                <w:color w:val="000000"/>
                <w:sz w:val="18"/>
                <w:szCs w:val="18"/>
              </w:rPr>
              <w:t xml:space="preserve"> and disruption of blood-brain barrier</w:t>
            </w:r>
          </w:p>
          <w:p w14:paraId="3A34A73D"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Systemic hyper-inflammation is a leading cause of neurodegeneration and cognitive decline</w:t>
            </w:r>
          </w:p>
          <w:p w14:paraId="1100AEFF"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Direct invasion of virus responsible for persistent neuropsychiatric features of SARS-COV-2</w:t>
            </w:r>
          </w:p>
          <w:p w14:paraId="62462C53"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Dysregulated immunologic response and virus-induced cytokine storm - production of pro-inflammatory cytokines such as IL-7 and </w:t>
            </w:r>
            <w:proofErr w:type="spellStart"/>
            <w:r w:rsidRPr="006A4C7D">
              <w:rPr>
                <w:rFonts w:eastAsia="Times New Roman"/>
                <w:color w:val="000000"/>
                <w:sz w:val="18"/>
                <w:szCs w:val="18"/>
              </w:rPr>
              <w:t>IFNγ</w:t>
            </w:r>
            <w:proofErr w:type="spellEnd"/>
            <w:r w:rsidRPr="006A4C7D">
              <w:rPr>
                <w:rFonts w:eastAsia="Times New Roman"/>
                <w:color w:val="000000"/>
                <w:sz w:val="18"/>
                <w:szCs w:val="18"/>
              </w:rPr>
              <w:t xml:space="preserve"> can result in post-stroke depression</w:t>
            </w:r>
          </w:p>
          <w:p w14:paraId="391F5521"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COVID-19 patients have a higher level of NLRP3 inflammasome activation that in combination with interleukin-18 and interleukin-1β have been shown to adversely impact cerebral function </w:t>
            </w:r>
          </w:p>
          <w:p w14:paraId="021198D3"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NLRP3 inflammasome-mediated systemic inflammation can lead to pathological accumulation of peptides/proteins such as fibrillar amyloid-β resulting in the induction and aggravation of neurodegenerative illnesses such as Alzheimer’s disease </w:t>
            </w:r>
          </w:p>
          <w:p w14:paraId="78209537"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lastRenderedPageBreak/>
              <w:t xml:space="preserve">SARS-COV-2 infection may impair cognitive function via selective targeting of the mitochondria of the neurons </w:t>
            </w:r>
          </w:p>
          <w:p w14:paraId="15095286"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Tachycardia, palpitation, orthostatic intolerance, breathlessness, chest pain as the consequences of autonomic nervous system instability caused by deconditioning, hypovolemia or immune- or virus-mediated autonomic nervous system destruction </w:t>
            </w:r>
          </w:p>
          <w:p w14:paraId="21AFACAF"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Activated T-cells and T-cells-specific for unrelated antigens were pre-sent, suggesting "a significant amount of by stander activation" which might contribute to recurring anti-bacterial-resistant infections </w:t>
            </w:r>
          </w:p>
          <w:p w14:paraId="6B806C6B"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High levels of biomarkers related to innate anti-inflammatory and stress response were present </w:t>
            </w:r>
          </w:p>
        </w:tc>
        <w:tc>
          <w:tcPr>
            <w:tcW w:w="4637" w:type="dxa"/>
          </w:tcPr>
          <w:p w14:paraId="38CC4393"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lastRenderedPageBreak/>
              <w:t>Few suggested mechanisms are from original studies. Those that are, are small and range from single case reports to ~100 patients.</w:t>
            </w:r>
          </w:p>
          <w:p w14:paraId="0F493E3D"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Many of the 'results' presented in this paper are taken from opinion articles rather than from articles identified to be included in the review.</w:t>
            </w:r>
          </w:p>
          <w:p w14:paraId="07E569DA" w14:textId="77777777" w:rsidR="006A4C7D" w:rsidRPr="006A4C7D" w:rsidRDefault="006A4C7D" w:rsidP="006A4C7D">
            <w:pPr>
              <w:widowControl w:val="0"/>
              <w:spacing w:line="276" w:lineRule="auto"/>
              <w:ind w:right="-89"/>
              <w:rPr>
                <w:rFonts w:eastAsia="Times New Roman"/>
                <w:color w:val="000000"/>
                <w:sz w:val="18"/>
                <w:szCs w:val="18"/>
              </w:rPr>
            </w:pPr>
            <w:r w:rsidRPr="006A4C7D">
              <w:rPr>
                <w:rFonts w:eastAsia="Times New Roman"/>
                <w:b/>
                <w:color w:val="000000"/>
                <w:sz w:val="18"/>
                <w:szCs w:val="18"/>
              </w:rPr>
              <w:t>Some of the mechanisms relate to acute Covid symptoms and also speculate on findings relating to other conditions (e.g. stroke).</w:t>
            </w:r>
          </w:p>
        </w:tc>
      </w:tr>
      <w:tr w:rsidR="006A4C7D" w:rsidRPr="006A4C7D" w14:paraId="7F21433D" w14:textId="77777777" w:rsidTr="005B6A90">
        <w:tc>
          <w:tcPr>
            <w:tcW w:w="1042" w:type="dxa"/>
          </w:tcPr>
          <w:p w14:paraId="217ED509" w14:textId="77777777" w:rsidR="006A4C7D" w:rsidRPr="006A4C7D" w:rsidRDefault="006A4C7D" w:rsidP="006A4C7D">
            <w:pPr>
              <w:widowControl w:val="0"/>
              <w:spacing w:line="276" w:lineRule="auto"/>
              <w:ind w:left="-116" w:right="-47"/>
              <w:rPr>
                <w:rFonts w:eastAsia="Times New Roman"/>
                <w:b/>
                <w:color w:val="000000"/>
                <w:spacing w:val="-8"/>
                <w:sz w:val="18"/>
                <w:szCs w:val="18"/>
              </w:rPr>
            </w:pPr>
            <w:r w:rsidRPr="006A4C7D">
              <w:rPr>
                <w:rFonts w:eastAsia="Times New Roman"/>
                <w:b/>
                <w:color w:val="000000"/>
                <w:sz w:val="18"/>
                <w:szCs w:val="18"/>
              </w:rPr>
              <w:t>Anaya 2021</w:t>
            </w:r>
          </w:p>
        </w:tc>
        <w:tc>
          <w:tcPr>
            <w:tcW w:w="1505" w:type="dxa"/>
          </w:tcPr>
          <w:p w14:paraId="19BF78D6" w14:textId="77777777" w:rsidR="006A4C7D" w:rsidRPr="006A4C7D" w:rsidRDefault="006A4C7D" w:rsidP="006A4C7D">
            <w:pPr>
              <w:widowControl w:val="0"/>
              <w:spacing w:line="276" w:lineRule="auto"/>
              <w:rPr>
                <w:rFonts w:eastAsia="Times New Roman"/>
                <w:i/>
                <w:color w:val="000000"/>
                <w:sz w:val="18"/>
                <w:szCs w:val="18"/>
              </w:rPr>
            </w:pPr>
            <w:r w:rsidRPr="006A4C7D">
              <w:rPr>
                <w:rFonts w:eastAsia="Times New Roman"/>
                <w:i/>
                <w:color w:val="000000"/>
                <w:sz w:val="18"/>
                <w:szCs w:val="18"/>
              </w:rPr>
              <w:t>Post-COVID syndrome. A case series and comprehensive review</w:t>
            </w:r>
          </w:p>
        </w:tc>
        <w:tc>
          <w:tcPr>
            <w:tcW w:w="7740" w:type="dxa"/>
            <w:shd w:val="clear" w:color="auto" w:fill="auto"/>
          </w:tcPr>
          <w:p w14:paraId="618B76EB" w14:textId="77777777" w:rsidR="006A4C7D" w:rsidRPr="006A4C7D" w:rsidRDefault="006A4C7D" w:rsidP="006A4C7D">
            <w:pPr>
              <w:widowControl w:val="0"/>
              <w:spacing w:line="276" w:lineRule="auto"/>
              <w:ind w:right="-39"/>
              <w:rPr>
                <w:rFonts w:eastAsia="Times New Roman"/>
                <w:color w:val="000000"/>
                <w:sz w:val="18"/>
                <w:szCs w:val="18"/>
              </w:rPr>
            </w:pPr>
            <w:r w:rsidRPr="006A4C7D">
              <w:rPr>
                <w:rFonts w:eastAsia="Times New Roman"/>
                <w:color w:val="000000"/>
                <w:sz w:val="18"/>
                <w:szCs w:val="18"/>
              </w:rPr>
              <w:t>- Fatigue/muscle weakness (25 papers)</w:t>
            </w:r>
            <w:r w:rsidRPr="006A4C7D">
              <w:rPr>
                <w:rFonts w:eastAsia="Times New Roman"/>
                <w:color w:val="000000"/>
                <w:sz w:val="18"/>
                <w:szCs w:val="18"/>
              </w:rPr>
              <w:br/>
              <w:t xml:space="preserve">- </w:t>
            </w:r>
            <w:proofErr w:type="spellStart"/>
            <w:r w:rsidRPr="006A4C7D">
              <w:rPr>
                <w:rFonts w:eastAsia="Times New Roman"/>
                <w:color w:val="000000"/>
                <w:sz w:val="18"/>
                <w:szCs w:val="18"/>
              </w:rPr>
              <w:t>Dyspnea</w:t>
            </w:r>
            <w:proofErr w:type="spellEnd"/>
            <w:r w:rsidRPr="006A4C7D">
              <w:rPr>
                <w:rFonts w:eastAsia="Times New Roman"/>
                <w:color w:val="000000"/>
                <w:sz w:val="18"/>
                <w:szCs w:val="18"/>
              </w:rPr>
              <w:t xml:space="preserve"> (23 papers)</w:t>
            </w:r>
            <w:r w:rsidRPr="006A4C7D">
              <w:rPr>
                <w:rFonts w:eastAsia="Times New Roman"/>
                <w:color w:val="000000"/>
                <w:sz w:val="18"/>
                <w:szCs w:val="18"/>
              </w:rPr>
              <w:br/>
              <w:t xml:space="preserve">- Pain/discomfort (9 papers plus 17 </w:t>
            </w:r>
            <w:proofErr w:type="gramStart"/>
            <w:r w:rsidRPr="006A4C7D">
              <w:rPr>
                <w:rFonts w:eastAsia="Times New Roman"/>
                <w:color w:val="000000"/>
                <w:sz w:val="18"/>
                <w:szCs w:val="18"/>
              </w:rPr>
              <w:t>specific</w:t>
            </w:r>
            <w:proofErr w:type="gramEnd"/>
            <w:r w:rsidRPr="006A4C7D">
              <w:rPr>
                <w:rFonts w:eastAsia="Times New Roman"/>
                <w:color w:val="000000"/>
                <w:sz w:val="18"/>
                <w:szCs w:val="18"/>
              </w:rPr>
              <w:t xml:space="preserve"> to headache and 15 specific to chest/pleuritic pain)</w:t>
            </w:r>
            <w:r w:rsidRPr="006A4C7D">
              <w:rPr>
                <w:rFonts w:eastAsia="Times New Roman"/>
                <w:color w:val="000000"/>
                <w:sz w:val="18"/>
                <w:szCs w:val="18"/>
              </w:rPr>
              <w:br/>
              <w:t>- Anxiety/depression (12 papers)</w:t>
            </w:r>
            <w:r w:rsidRPr="006A4C7D">
              <w:rPr>
                <w:rFonts w:eastAsia="Times New Roman"/>
                <w:color w:val="000000"/>
                <w:sz w:val="18"/>
                <w:szCs w:val="18"/>
              </w:rPr>
              <w:br/>
              <w:t>- Impaired concentration (19 papers)</w:t>
            </w:r>
          </w:p>
        </w:tc>
        <w:tc>
          <w:tcPr>
            <w:tcW w:w="7741" w:type="dxa"/>
          </w:tcPr>
          <w:p w14:paraId="3E5DF2A8" w14:textId="77777777" w:rsidR="006A4C7D" w:rsidRPr="006A4C7D" w:rsidRDefault="006A4C7D" w:rsidP="006A4C7D">
            <w:pPr>
              <w:widowControl w:val="0"/>
              <w:numPr>
                <w:ilvl w:val="0"/>
                <w:numId w:val="15"/>
              </w:numPr>
              <w:spacing w:line="276" w:lineRule="auto"/>
              <w:ind w:left="232" w:right="-112" w:hanging="232"/>
              <w:contextualSpacing/>
              <w:rPr>
                <w:rFonts w:eastAsia="Times New Roman"/>
                <w:color w:val="000000"/>
                <w:sz w:val="18"/>
                <w:szCs w:val="18"/>
              </w:rPr>
            </w:pPr>
            <w:r w:rsidRPr="006A4C7D">
              <w:rPr>
                <w:rFonts w:eastAsia="Times New Roman"/>
                <w:color w:val="000000"/>
                <w:sz w:val="18"/>
                <w:szCs w:val="18"/>
              </w:rPr>
              <w:t xml:space="preserve">Analysis (a K-means clustering analysis based on the algorithm of Hartigan and Wong on weighted COMPASS 31 domains was conducted) suggests autoimmune response related to the following post-covid symptoms: Impaired visual acuity/blurry vision, depression, chills, weakness, myalgia, back pain, heavy arms/legs, inability to walk, fatigue, body pain, arthralgia, palpitations, xerostomia, chest tightness, tachycardia, </w:t>
            </w:r>
            <w:proofErr w:type="spellStart"/>
            <w:r w:rsidRPr="006A4C7D">
              <w:rPr>
                <w:rFonts w:eastAsia="Times New Roman"/>
                <w:color w:val="000000"/>
                <w:sz w:val="18"/>
                <w:szCs w:val="18"/>
              </w:rPr>
              <w:t>edema</w:t>
            </w:r>
            <w:proofErr w:type="spellEnd"/>
            <w:r w:rsidRPr="006A4C7D">
              <w:rPr>
                <w:rFonts w:eastAsia="Times New Roman"/>
                <w:color w:val="000000"/>
                <w:sz w:val="18"/>
                <w:szCs w:val="18"/>
              </w:rPr>
              <w:t xml:space="preserve">, </w:t>
            </w:r>
            <w:proofErr w:type="spellStart"/>
            <w:r w:rsidRPr="006A4C7D">
              <w:rPr>
                <w:rFonts w:eastAsia="Times New Roman"/>
                <w:color w:val="000000"/>
                <w:sz w:val="18"/>
                <w:szCs w:val="18"/>
              </w:rPr>
              <w:t>parathesia</w:t>
            </w:r>
            <w:proofErr w:type="spellEnd"/>
            <w:r w:rsidRPr="006A4C7D">
              <w:rPr>
                <w:rFonts w:eastAsia="Times New Roman"/>
                <w:color w:val="000000"/>
                <w:sz w:val="18"/>
                <w:szCs w:val="18"/>
              </w:rPr>
              <w:t>, attention disorders, seizures, headache, dizziness, vision disorders, eye pain.</w:t>
            </w:r>
          </w:p>
        </w:tc>
        <w:tc>
          <w:tcPr>
            <w:tcW w:w="4637" w:type="dxa"/>
          </w:tcPr>
          <w:p w14:paraId="3532F657" w14:textId="77777777" w:rsidR="006A4C7D" w:rsidRPr="006A4C7D" w:rsidRDefault="006A4C7D" w:rsidP="006A4C7D">
            <w:pPr>
              <w:widowControl w:val="0"/>
              <w:spacing w:line="276" w:lineRule="auto"/>
              <w:ind w:right="-89"/>
              <w:rPr>
                <w:rFonts w:eastAsia="Times New Roman"/>
                <w:b/>
                <w:color w:val="000000"/>
                <w:sz w:val="18"/>
                <w:szCs w:val="18"/>
              </w:rPr>
            </w:pPr>
            <w:r w:rsidRPr="006A4C7D">
              <w:rPr>
                <w:rFonts w:eastAsia="Times New Roman"/>
                <w:b/>
                <w:color w:val="000000"/>
                <w:sz w:val="18"/>
                <w:szCs w:val="18"/>
              </w:rPr>
              <w:t xml:space="preserve">Mechanisms behind autonomic dysfunction are not clear. However, autoimmune phenomena could be associated with its appearance. Production of autoantibodies against α1, β1 and β2 receptors, angiotensin II receptor type 1, opioids 1, acetylcholine, M2 and M4S receptors are associated with development of POTS. This immune mechanism, secondary to SARS-CoV2, could be triggered through molecular mimicry between antigens of autonomic nerve </w:t>
            </w:r>
            <w:proofErr w:type="spellStart"/>
            <w:r w:rsidRPr="006A4C7D">
              <w:rPr>
                <w:rFonts w:eastAsia="Times New Roman"/>
                <w:b/>
                <w:color w:val="000000"/>
                <w:sz w:val="18"/>
                <w:szCs w:val="18"/>
              </w:rPr>
              <w:t>fibers</w:t>
            </w:r>
            <w:proofErr w:type="spellEnd"/>
            <w:r w:rsidRPr="006A4C7D">
              <w:rPr>
                <w:rFonts w:eastAsia="Times New Roman"/>
                <w:b/>
                <w:color w:val="000000"/>
                <w:sz w:val="18"/>
                <w:szCs w:val="18"/>
              </w:rPr>
              <w:t>, autonomic ganglia, and SARS-CoV2 antigens, as described in some autoimmune conditions.</w:t>
            </w:r>
          </w:p>
        </w:tc>
      </w:tr>
    </w:tbl>
    <w:p w14:paraId="4B749A02" w14:textId="77777777" w:rsidR="000F08F9" w:rsidRPr="000F08F9" w:rsidRDefault="000F08F9" w:rsidP="000F08F9">
      <w:pPr>
        <w:rPr>
          <w:rFonts w:ascii="Arial" w:eastAsia="Arial" w:hAnsi="Arial" w:cs="Arial"/>
          <w:sz w:val="10"/>
          <w:szCs w:val="10"/>
        </w:rPr>
      </w:pPr>
    </w:p>
    <w:p w14:paraId="1BD22F9A" w14:textId="77777777" w:rsidR="000F08F9" w:rsidRPr="000F08F9" w:rsidRDefault="000F08F9" w:rsidP="000F08F9">
      <w:pPr>
        <w:rPr>
          <w:rFonts w:ascii="Arial" w:eastAsia="Arial" w:hAnsi="Arial" w:cs="Arial"/>
          <w:sz w:val="10"/>
          <w:szCs w:val="10"/>
        </w:rPr>
      </w:pPr>
    </w:p>
    <w:p w14:paraId="5E4BBCCA" w14:textId="77777777" w:rsidR="000F08F9" w:rsidRPr="000F08F9" w:rsidRDefault="000F08F9" w:rsidP="000F08F9">
      <w:pPr>
        <w:rPr>
          <w:rFonts w:ascii="Arial" w:eastAsia="Arial" w:hAnsi="Arial" w:cs="Arial"/>
          <w:sz w:val="10"/>
          <w:szCs w:val="10"/>
        </w:rPr>
      </w:pPr>
    </w:p>
    <w:p w14:paraId="1B2B7263" w14:textId="77777777" w:rsidR="000F08F9" w:rsidRPr="000F08F9" w:rsidRDefault="000F08F9" w:rsidP="000F08F9">
      <w:pPr>
        <w:rPr>
          <w:rFonts w:ascii="Arial" w:eastAsia="Arial" w:hAnsi="Arial" w:cs="Arial"/>
          <w:sz w:val="10"/>
          <w:szCs w:val="10"/>
        </w:rPr>
      </w:pPr>
    </w:p>
    <w:p w14:paraId="005C2BFF" w14:textId="77777777" w:rsidR="000F08F9" w:rsidRPr="000F08F9" w:rsidRDefault="000F08F9" w:rsidP="000F08F9">
      <w:pPr>
        <w:rPr>
          <w:rFonts w:ascii="Arial" w:eastAsia="Arial" w:hAnsi="Arial" w:cs="Arial"/>
          <w:sz w:val="10"/>
          <w:szCs w:val="10"/>
        </w:rPr>
      </w:pPr>
    </w:p>
    <w:p w14:paraId="71BCCDFC" w14:textId="77777777" w:rsidR="000F08F9" w:rsidRPr="000F08F9" w:rsidRDefault="000F08F9" w:rsidP="000F08F9">
      <w:pPr>
        <w:rPr>
          <w:rFonts w:ascii="Arial" w:eastAsia="Arial" w:hAnsi="Arial" w:cs="Arial"/>
          <w:sz w:val="10"/>
          <w:szCs w:val="10"/>
        </w:rPr>
      </w:pPr>
    </w:p>
    <w:p w14:paraId="28BAE827" w14:textId="77777777" w:rsidR="000F08F9" w:rsidRPr="000F08F9" w:rsidRDefault="000F08F9" w:rsidP="000F08F9">
      <w:pPr>
        <w:rPr>
          <w:rFonts w:ascii="Arial" w:eastAsia="Arial" w:hAnsi="Arial" w:cs="Arial"/>
          <w:sz w:val="10"/>
          <w:szCs w:val="10"/>
        </w:rPr>
      </w:pPr>
    </w:p>
    <w:p w14:paraId="47856DD0" w14:textId="77777777" w:rsidR="000F08F9" w:rsidRPr="000F08F9" w:rsidRDefault="000F08F9" w:rsidP="000F08F9">
      <w:pPr>
        <w:rPr>
          <w:rFonts w:ascii="Arial" w:eastAsia="Arial" w:hAnsi="Arial" w:cs="Arial"/>
          <w:sz w:val="10"/>
          <w:szCs w:val="10"/>
        </w:rPr>
      </w:pPr>
    </w:p>
    <w:p w14:paraId="7E27F1B1" w14:textId="77777777" w:rsidR="000F08F9" w:rsidRPr="000F08F9" w:rsidRDefault="000F08F9" w:rsidP="000F08F9">
      <w:pPr>
        <w:rPr>
          <w:rFonts w:ascii="Arial" w:eastAsia="Arial" w:hAnsi="Arial" w:cs="Arial"/>
          <w:sz w:val="10"/>
          <w:szCs w:val="10"/>
        </w:rPr>
      </w:pPr>
    </w:p>
    <w:p w14:paraId="2E7E1B10" w14:textId="77777777" w:rsidR="000F08F9" w:rsidRPr="000F08F9" w:rsidRDefault="000F08F9" w:rsidP="000F08F9">
      <w:pPr>
        <w:rPr>
          <w:rFonts w:ascii="Arial" w:eastAsia="Arial" w:hAnsi="Arial" w:cs="Arial"/>
          <w:sz w:val="10"/>
          <w:szCs w:val="10"/>
        </w:rPr>
      </w:pPr>
    </w:p>
    <w:p w14:paraId="6F3339EC" w14:textId="77777777" w:rsidR="000F08F9" w:rsidRPr="000F08F9" w:rsidRDefault="000F08F9" w:rsidP="000F08F9">
      <w:pPr>
        <w:rPr>
          <w:rFonts w:ascii="Arial" w:eastAsia="Arial" w:hAnsi="Arial" w:cs="Arial"/>
          <w:sz w:val="10"/>
          <w:szCs w:val="10"/>
        </w:rPr>
      </w:pPr>
    </w:p>
    <w:p w14:paraId="4C346887" w14:textId="77777777" w:rsidR="000F08F9" w:rsidRPr="000F08F9" w:rsidRDefault="000F08F9" w:rsidP="000F08F9">
      <w:pPr>
        <w:rPr>
          <w:rFonts w:ascii="Arial" w:eastAsia="Arial" w:hAnsi="Arial" w:cs="Arial"/>
          <w:sz w:val="10"/>
          <w:szCs w:val="10"/>
        </w:rPr>
      </w:pPr>
    </w:p>
    <w:p w14:paraId="005D1625" w14:textId="77777777" w:rsidR="000F08F9" w:rsidRPr="000F08F9" w:rsidRDefault="000F08F9" w:rsidP="000F08F9">
      <w:pPr>
        <w:rPr>
          <w:rFonts w:ascii="Arial" w:eastAsia="Arial" w:hAnsi="Arial" w:cs="Arial"/>
          <w:sz w:val="10"/>
          <w:szCs w:val="10"/>
        </w:rPr>
      </w:pPr>
    </w:p>
    <w:p w14:paraId="10C94706" w14:textId="14B66FF4" w:rsidR="000F08F9" w:rsidRPr="000F08F9" w:rsidRDefault="000F08F9" w:rsidP="000F08F9">
      <w:pPr>
        <w:tabs>
          <w:tab w:val="left" w:pos="12858"/>
        </w:tabs>
        <w:rPr>
          <w:rFonts w:ascii="Arial" w:eastAsia="Arial" w:hAnsi="Arial" w:cs="Arial"/>
          <w:sz w:val="10"/>
          <w:szCs w:val="10"/>
        </w:rPr>
      </w:pPr>
      <w:r>
        <w:rPr>
          <w:rFonts w:ascii="Arial" w:eastAsia="Arial" w:hAnsi="Arial" w:cs="Arial"/>
          <w:sz w:val="10"/>
          <w:szCs w:val="10"/>
        </w:rPr>
        <w:tab/>
      </w:r>
    </w:p>
    <w:p w14:paraId="62A72079" w14:textId="0E273281" w:rsidR="004509B3" w:rsidRPr="000F08F9" w:rsidRDefault="004509B3" w:rsidP="000F08F9">
      <w:pPr>
        <w:rPr>
          <w:rFonts w:ascii="Arial" w:eastAsia="Arial" w:hAnsi="Arial" w:cs="Arial"/>
          <w:sz w:val="10"/>
          <w:szCs w:val="10"/>
        </w:rPr>
      </w:pPr>
    </w:p>
    <w:sectPr w:rsidR="004509B3" w:rsidRPr="000F08F9" w:rsidSect="00105068">
      <w:headerReference w:type="default" r:id="rId17"/>
      <w:pgSz w:w="23803" w:h="16817" w:orient="landscape"/>
      <w:pgMar w:top="720" w:right="408" w:bottom="720" w:left="720"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32189" w14:textId="77777777" w:rsidR="00DF1392" w:rsidRDefault="00DF1392" w:rsidP="004F1F2C">
      <w:r>
        <w:separator/>
      </w:r>
    </w:p>
  </w:endnote>
  <w:endnote w:type="continuationSeparator" w:id="0">
    <w:p w14:paraId="10AF84D6" w14:textId="77777777" w:rsidR="00DF1392" w:rsidRDefault="00DF1392" w:rsidP="004F1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C2F6C" w14:textId="77777777" w:rsidR="00074427" w:rsidRDefault="000744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3012E" w14:textId="77777777" w:rsidR="00074427" w:rsidRDefault="000744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2206F" w14:textId="77777777" w:rsidR="00074427" w:rsidRDefault="000744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0C5D3" w14:textId="77777777" w:rsidR="00DF1392" w:rsidRDefault="00DF1392" w:rsidP="004F1F2C">
      <w:r>
        <w:separator/>
      </w:r>
    </w:p>
  </w:footnote>
  <w:footnote w:type="continuationSeparator" w:id="0">
    <w:p w14:paraId="75133041" w14:textId="77777777" w:rsidR="00DF1392" w:rsidRDefault="00DF1392" w:rsidP="004F1F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1456D" w14:textId="77777777" w:rsidR="00074427" w:rsidRDefault="000744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1417"/>
      <w:gridCol w:w="851"/>
      <w:gridCol w:w="1984"/>
      <w:gridCol w:w="1985"/>
      <w:gridCol w:w="1842"/>
      <w:gridCol w:w="1134"/>
      <w:gridCol w:w="1134"/>
      <w:gridCol w:w="1701"/>
      <w:gridCol w:w="1843"/>
      <w:gridCol w:w="2126"/>
      <w:gridCol w:w="2127"/>
      <w:gridCol w:w="992"/>
      <w:gridCol w:w="2541"/>
    </w:tblGrid>
    <w:tr w:rsidR="005B6A90" w:rsidRPr="00D46A71" w14:paraId="11AB659E" w14:textId="77777777" w:rsidTr="00105068">
      <w:trPr>
        <w:trHeight w:val="699"/>
      </w:trPr>
      <w:tc>
        <w:tcPr>
          <w:tcW w:w="22665" w:type="dxa"/>
          <w:gridSpan w:val="14"/>
          <w:shd w:val="clear" w:color="auto" w:fill="D9D9D9" w:themeFill="background1" w:themeFillShade="D9"/>
        </w:tcPr>
        <w:p w14:paraId="66D4ED95" w14:textId="628D7850" w:rsidR="005B6A90" w:rsidRPr="00AE3FAF" w:rsidRDefault="005B6A90" w:rsidP="00AE3FAF">
          <w:pPr>
            <w:spacing w:before="120" w:after="120"/>
            <w:jc w:val="center"/>
            <w:rPr>
              <w:b/>
              <w:color w:val="000000"/>
              <w:sz w:val="36"/>
              <w:szCs w:val="36"/>
            </w:rPr>
          </w:pPr>
          <w:r>
            <w:rPr>
              <w:b/>
              <w:color w:val="000000"/>
              <w:sz w:val="36"/>
              <w:szCs w:val="36"/>
            </w:rPr>
            <w:t xml:space="preserve">Systematic Reviews – </w:t>
          </w:r>
          <w:r w:rsidR="00074427" w:rsidRPr="00853677">
            <w:rPr>
              <w:b/>
              <w:color w:val="000000"/>
              <w:sz w:val="36"/>
              <w:szCs w:val="36"/>
              <w:u w:val="single"/>
            </w:rPr>
            <w:t xml:space="preserve">Review </w:t>
          </w:r>
          <w:r w:rsidRPr="00853677">
            <w:rPr>
              <w:b/>
              <w:color w:val="000000"/>
              <w:sz w:val="36"/>
              <w:szCs w:val="36"/>
              <w:u w:val="single"/>
            </w:rPr>
            <w:t>1</w:t>
          </w:r>
          <w:r w:rsidR="00853677" w:rsidRPr="00853677">
            <w:rPr>
              <w:b/>
              <w:color w:val="000000"/>
              <w:sz w:val="36"/>
              <w:szCs w:val="36"/>
              <w:u w:val="single"/>
            </w:rPr>
            <w:t>, Part 1</w:t>
          </w:r>
        </w:p>
      </w:tc>
    </w:tr>
    <w:tr w:rsidR="005B6A90" w:rsidRPr="00D46A71" w14:paraId="4DA87278" w14:textId="77777777" w:rsidTr="00D32BBB">
      <w:trPr>
        <w:trHeight w:val="699"/>
      </w:trPr>
      <w:tc>
        <w:tcPr>
          <w:tcW w:w="988" w:type="dxa"/>
          <w:shd w:val="clear" w:color="auto" w:fill="D9D9D9" w:themeFill="background1" w:themeFillShade="D9"/>
        </w:tcPr>
        <w:p w14:paraId="556BA7A1" w14:textId="762BA68C" w:rsidR="005B6A90" w:rsidRPr="003F7220" w:rsidRDefault="005B6A90" w:rsidP="00D72824">
          <w:pPr>
            <w:rPr>
              <w:b/>
              <w:color w:val="000000"/>
              <w:sz w:val="18"/>
              <w:szCs w:val="18"/>
            </w:rPr>
          </w:pPr>
          <w:r w:rsidRPr="003F7220">
            <w:rPr>
              <w:b/>
              <w:color w:val="000000"/>
              <w:sz w:val="18"/>
              <w:szCs w:val="18"/>
            </w:rPr>
            <w:t>Study ID</w:t>
          </w:r>
        </w:p>
      </w:tc>
      <w:tc>
        <w:tcPr>
          <w:tcW w:w="1417" w:type="dxa"/>
          <w:shd w:val="clear" w:color="auto" w:fill="D9D9D9" w:themeFill="background1" w:themeFillShade="D9"/>
        </w:tcPr>
        <w:p w14:paraId="1E0ABB23" w14:textId="0E0DD014" w:rsidR="005B6A90" w:rsidRPr="003F7220" w:rsidRDefault="005B6A90" w:rsidP="00D72824">
          <w:pPr>
            <w:rPr>
              <w:b/>
              <w:color w:val="000000"/>
              <w:sz w:val="18"/>
              <w:szCs w:val="18"/>
            </w:rPr>
          </w:pPr>
          <w:r>
            <w:rPr>
              <w:b/>
              <w:color w:val="000000"/>
              <w:sz w:val="18"/>
              <w:szCs w:val="18"/>
            </w:rPr>
            <w:t>Title</w:t>
          </w:r>
        </w:p>
      </w:tc>
      <w:tc>
        <w:tcPr>
          <w:tcW w:w="851" w:type="dxa"/>
          <w:shd w:val="clear" w:color="auto" w:fill="D9D9D9" w:themeFill="background1" w:themeFillShade="D9"/>
        </w:tcPr>
        <w:p w14:paraId="3C2B616C" w14:textId="371F1567" w:rsidR="005B6A90" w:rsidRPr="003F7220" w:rsidRDefault="005B6A90" w:rsidP="003F7220">
          <w:pPr>
            <w:ind w:right="-107"/>
            <w:rPr>
              <w:b/>
              <w:color w:val="000000"/>
              <w:sz w:val="18"/>
              <w:szCs w:val="18"/>
            </w:rPr>
          </w:pPr>
          <w:r>
            <w:rPr>
              <w:b/>
              <w:color w:val="000000"/>
              <w:sz w:val="18"/>
              <w:szCs w:val="18"/>
            </w:rPr>
            <w:t xml:space="preserve">Country </w:t>
          </w:r>
        </w:p>
      </w:tc>
      <w:tc>
        <w:tcPr>
          <w:tcW w:w="1984" w:type="dxa"/>
          <w:shd w:val="clear" w:color="auto" w:fill="D9D9D9" w:themeFill="background1" w:themeFillShade="D9"/>
        </w:tcPr>
        <w:p w14:paraId="12D9A696" w14:textId="65543891" w:rsidR="005B6A90" w:rsidRPr="003F7220" w:rsidRDefault="005B6A90" w:rsidP="001C3B97">
          <w:pPr>
            <w:ind w:left="-73" w:right="-238"/>
            <w:rPr>
              <w:b/>
              <w:color w:val="000000"/>
              <w:sz w:val="18"/>
              <w:szCs w:val="18"/>
            </w:rPr>
          </w:pPr>
          <w:r>
            <w:rPr>
              <w:b/>
              <w:color w:val="000000"/>
              <w:sz w:val="18"/>
              <w:szCs w:val="18"/>
            </w:rPr>
            <w:t>Search Criteria</w:t>
          </w:r>
        </w:p>
      </w:tc>
      <w:tc>
        <w:tcPr>
          <w:tcW w:w="1985" w:type="dxa"/>
          <w:shd w:val="clear" w:color="auto" w:fill="D9D9D9" w:themeFill="background1" w:themeFillShade="D9"/>
        </w:tcPr>
        <w:p w14:paraId="07C3139F" w14:textId="1913C167" w:rsidR="005B6A90" w:rsidRPr="003F7220" w:rsidRDefault="005B6A90" w:rsidP="001C3B97">
          <w:pPr>
            <w:ind w:left="-73" w:right="-238"/>
            <w:rPr>
              <w:b/>
              <w:color w:val="000000"/>
              <w:sz w:val="18"/>
              <w:szCs w:val="18"/>
            </w:rPr>
          </w:pPr>
          <w:r>
            <w:rPr>
              <w:b/>
              <w:color w:val="000000"/>
              <w:sz w:val="18"/>
              <w:szCs w:val="18"/>
            </w:rPr>
            <w:t>Aim of Study</w:t>
          </w:r>
        </w:p>
      </w:tc>
      <w:tc>
        <w:tcPr>
          <w:tcW w:w="1842" w:type="dxa"/>
          <w:shd w:val="clear" w:color="auto" w:fill="D9D9D9" w:themeFill="background1" w:themeFillShade="D9"/>
        </w:tcPr>
        <w:p w14:paraId="2D218504" w14:textId="6F94D443" w:rsidR="005B6A90" w:rsidRPr="003F7220" w:rsidRDefault="005B6A90" w:rsidP="001C3B97">
          <w:pPr>
            <w:ind w:left="-46"/>
            <w:rPr>
              <w:b/>
              <w:color w:val="000000"/>
              <w:sz w:val="18"/>
              <w:szCs w:val="18"/>
            </w:rPr>
          </w:pPr>
          <w:r>
            <w:rPr>
              <w:b/>
              <w:color w:val="000000"/>
              <w:sz w:val="18"/>
              <w:szCs w:val="18"/>
            </w:rPr>
            <w:t>Study Design</w:t>
          </w:r>
        </w:p>
      </w:tc>
      <w:tc>
        <w:tcPr>
          <w:tcW w:w="1134" w:type="dxa"/>
          <w:shd w:val="clear" w:color="auto" w:fill="D9D9D9" w:themeFill="background1" w:themeFillShade="D9"/>
        </w:tcPr>
        <w:p w14:paraId="23367174" w14:textId="183D7728" w:rsidR="005B6A90" w:rsidRPr="003F7220" w:rsidRDefault="005B6A90" w:rsidP="00A57D35">
          <w:pPr>
            <w:ind w:right="-226"/>
            <w:rPr>
              <w:b/>
              <w:color w:val="000000"/>
              <w:sz w:val="18"/>
              <w:szCs w:val="18"/>
            </w:rPr>
          </w:pPr>
          <w:r>
            <w:rPr>
              <w:b/>
              <w:color w:val="000000"/>
              <w:sz w:val="18"/>
              <w:szCs w:val="18"/>
            </w:rPr>
            <w:t>Start Date</w:t>
          </w:r>
        </w:p>
      </w:tc>
      <w:tc>
        <w:tcPr>
          <w:tcW w:w="1134" w:type="dxa"/>
          <w:shd w:val="clear" w:color="auto" w:fill="D9D9D9" w:themeFill="background1" w:themeFillShade="D9"/>
        </w:tcPr>
        <w:p w14:paraId="7AAB44DB" w14:textId="3156DA71" w:rsidR="005B6A90" w:rsidRPr="003F7220" w:rsidRDefault="005B6A90" w:rsidP="001C3B97">
          <w:pPr>
            <w:ind w:left="-72" w:right="-218"/>
            <w:rPr>
              <w:b/>
              <w:color w:val="000000"/>
              <w:sz w:val="18"/>
              <w:szCs w:val="18"/>
            </w:rPr>
          </w:pPr>
          <w:r>
            <w:rPr>
              <w:b/>
              <w:color w:val="000000"/>
              <w:sz w:val="18"/>
              <w:szCs w:val="18"/>
            </w:rPr>
            <w:t>End Date</w:t>
          </w:r>
        </w:p>
      </w:tc>
      <w:tc>
        <w:tcPr>
          <w:tcW w:w="1701" w:type="dxa"/>
          <w:shd w:val="clear" w:color="auto" w:fill="D9D9D9" w:themeFill="background1" w:themeFillShade="D9"/>
        </w:tcPr>
        <w:p w14:paraId="093024CC" w14:textId="2DC52F8F" w:rsidR="005B6A90" w:rsidRPr="003F7220" w:rsidRDefault="005B6A90" w:rsidP="00D72824">
          <w:pPr>
            <w:rPr>
              <w:b/>
              <w:color w:val="000000"/>
              <w:sz w:val="18"/>
              <w:szCs w:val="18"/>
            </w:rPr>
          </w:pPr>
          <w:r>
            <w:rPr>
              <w:b/>
              <w:color w:val="000000"/>
              <w:sz w:val="18"/>
              <w:szCs w:val="18"/>
            </w:rPr>
            <w:t>Study Funding Sources</w:t>
          </w:r>
        </w:p>
      </w:tc>
      <w:tc>
        <w:tcPr>
          <w:tcW w:w="1843" w:type="dxa"/>
          <w:shd w:val="clear" w:color="auto" w:fill="D9D9D9" w:themeFill="background1" w:themeFillShade="D9"/>
        </w:tcPr>
        <w:p w14:paraId="61D46BD7" w14:textId="4BD48299" w:rsidR="005B6A90" w:rsidRPr="003F7220" w:rsidRDefault="005B6A90" w:rsidP="00D72824">
          <w:pPr>
            <w:rPr>
              <w:b/>
              <w:color w:val="000000"/>
              <w:sz w:val="18"/>
              <w:szCs w:val="18"/>
            </w:rPr>
          </w:pPr>
          <w:r>
            <w:rPr>
              <w:b/>
              <w:color w:val="000000"/>
              <w:sz w:val="18"/>
              <w:szCs w:val="18"/>
            </w:rPr>
            <w:t>Population Description</w:t>
          </w:r>
        </w:p>
      </w:tc>
      <w:tc>
        <w:tcPr>
          <w:tcW w:w="2126" w:type="dxa"/>
          <w:shd w:val="clear" w:color="auto" w:fill="D9D9D9" w:themeFill="background1" w:themeFillShade="D9"/>
        </w:tcPr>
        <w:p w14:paraId="2D39EFF9" w14:textId="619C0B54" w:rsidR="005B6A90" w:rsidRPr="003F7220" w:rsidRDefault="005B6A90" w:rsidP="00D72824">
          <w:pPr>
            <w:ind w:right="-107"/>
            <w:rPr>
              <w:b/>
              <w:color w:val="000000"/>
              <w:sz w:val="18"/>
              <w:szCs w:val="18"/>
            </w:rPr>
          </w:pPr>
          <w:r>
            <w:rPr>
              <w:b/>
              <w:color w:val="000000"/>
              <w:sz w:val="18"/>
              <w:szCs w:val="18"/>
            </w:rPr>
            <w:t>Inclusion Criteria</w:t>
          </w:r>
        </w:p>
      </w:tc>
      <w:tc>
        <w:tcPr>
          <w:tcW w:w="2127" w:type="dxa"/>
          <w:shd w:val="clear" w:color="auto" w:fill="D9D9D9" w:themeFill="background1" w:themeFillShade="D9"/>
        </w:tcPr>
        <w:p w14:paraId="22B7E745" w14:textId="3C7CB87A" w:rsidR="005B6A90" w:rsidRPr="003F7220" w:rsidRDefault="005B6A90" w:rsidP="00D72824">
          <w:pPr>
            <w:rPr>
              <w:b/>
              <w:color w:val="000000"/>
              <w:sz w:val="18"/>
              <w:szCs w:val="18"/>
            </w:rPr>
          </w:pPr>
          <w:r>
            <w:rPr>
              <w:b/>
              <w:color w:val="000000"/>
              <w:sz w:val="18"/>
              <w:szCs w:val="18"/>
            </w:rPr>
            <w:t>Exclusion Criteria</w:t>
          </w:r>
        </w:p>
      </w:tc>
      <w:tc>
        <w:tcPr>
          <w:tcW w:w="992" w:type="dxa"/>
          <w:shd w:val="clear" w:color="auto" w:fill="D9D9D9" w:themeFill="background1" w:themeFillShade="D9"/>
        </w:tcPr>
        <w:p w14:paraId="79CCC9F1" w14:textId="13338953" w:rsidR="005B6A90" w:rsidRPr="003F7220" w:rsidRDefault="005B6A90" w:rsidP="00D32BBB">
          <w:pPr>
            <w:ind w:right="-115"/>
            <w:rPr>
              <w:b/>
              <w:color w:val="000000"/>
              <w:sz w:val="18"/>
              <w:szCs w:val="18"/>
            </w:rPr>
          </w:pPr>
          <w:r>
            <w:rPr>
              <w:b/>
              <w:color w:val="000000"/>
              <w:sz w:val="18"/>
              <w:szCs w:val="18"/>
            </w:rPr>
            <w:t xml:space="preserve">Total </w:t>
          </w:r>
          <w:proofErr w:type="spellStart"/>
          <w:r>
            <w:rPr>
              <w:b/>
              <w:color w:val="000000"/>
              <w:sz w:val="18"/>
              <w:szCs w:val="18"/>
            </w:rPr>
            <w:t>No.of</w:t>
          </w:r>
          <w:proofErr w:type="spellEnd"/>
          <w:r>
            <w:rPr>
              <w:b/>
              <w:color w:val="000000"/>
              <w:sz w:val="18"/>
              <w:szCs w:val="18"/>
            </w:rPr>
            <w:t xml:space="preserve"> Studies Included</w:t>
          </w:r>
        </w:p>
      </w:tc>
      <w:tc>
        <w:tcPr>
          <w:tcW w:w="2541" w:type="dxa"/>
          <w:shd w:val="clear" w:color="auto" w:fill="D9D9D9" w:themeFill="background1" w:themeFillShade="D9"/>
        </w:tcPr>
        <w:p w14:paraId="4121EDB1" w14:textId="694F7716" w:rsidR="005B6A90" w:rsidRPr="003F7220" w:rsidRDefault="005B6A90" w:rsidP="00D72824">
          <w:pPr>
            <w:rPr>
              <w:b/>
              <w:color w:val="000000"/>
              <w:sz w:val="18"/>
              <w:szCs w:val="18"/>
            </w:rPr>
          </w:pPr>
          <w:r>
            <w:rPr>
              <w:b/>
              <w:color w:val="000000"/>
              <w:sz w:val="18"/>
              <w:szCs w:val="18"/>
            </w:rPr>
            <w:t>Notes</w:t>
          </w:r>
        </w:p>
      </w:tc>
    </w:tr>
  </w:tbl>
  <w:p w14:paraId="523C5742" w14:textId="77777777" w:rsidR="005B6A90" w:rsidRPr="004F1F2C" w:rsidRDefault="005B6A90" w:rsidP="00760799">
    <w:pPr>
      <w:pStyle w:val="Header"/>
      <w:rPr>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C0B86" w14:textId="77777777" w:rsidR="00074427" w:rsidRDefault="0007442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59"/>
      <w:gridCol w:w="1488"/>
      <w:gridCol w:w="7725"/>
      <w:gridCol w:w="7726"/>
      <w:gridCol w:w="4667"/>
    </w:tblGrid>
    <w:tr w:rsidR="005B6A90" w:rsidRPr="00D46A71" w14:paraId="1578832B" w14:textId="77777777" w:rsidTr="00105068">
      <w:trPr>
        <w:trHeight w:val="699"/>
      </w:trPr>
      <w:tc>
        <w:tcPr>
          <w:tcW w:w="22665" w:type="dxa"/>
          <w:gridSpan w:val="5"/>
          <w:shd w:val="clear" w:color="auto" w:fill="D9D9D9" w:themeFill="background1" w:themeFillShade="D9"/>
        </w:tcPr>
        <w:p w14:paraId="20A28296" w14:textId="0DA24E4B" w:rsidR="005B6A90" w:rsidRPr="00AE3FAF" w:rsidRDefault="005B6A90" w:rsidP="00AE3FAF">
          <w:pPr>
            <w:spacing w:before="120" w:after="120"/>
            <w:jc w:val="center"/>
            <w:rPr>
              <w:b/>
              <w:color w:val="000000"/>
              <w:sz w:val="36"/>
              <w:szCs w:val="36"/>
            </w:rPr>
          </w:pPr>
          <w:r>
            <w:rPr>
              <w:b/>
              <w:color w:val="000000"/>
              <w:sz w:val="36"/>
              <w:szCs w:val="36"/>
            </w:rPr>
            <w:t xml:space="preserve">Systematic Reviews – </w:t>
          </w:r>
          <w:r w:rsidR="00853677" w:rsidRPr="00853677">
            <w:rPr>
              <w:b/>
              <w:color w:val="000000"/>
              <w:sz w:val="36"/>
              <w:szCs w:val="36"/>
              <w:u w:val="single"/>
            </w:rPr>
            <w:t xml:space="preserve">Review 1, </w:t>
          </w:r>
          <w:r w:rsidRPr="00853677">
            <w:rPr>
              <w:b/>
              <w:color w:val="000000"/>
              <w:sz w:val="36"/>
              <w:szCs w:val="36"/>
              <w:u w:val="single"/>
            </w:rPr>
            <w:t>PART 2</w:t>
          </w:r>
        </w:p>
      </w:tc>
    </w:tr>
    <w:tr w:rsidR="005B6A90" w:rsidRPr="00D46A71" w14:paraId="0DF30012" w14:textId="77777777" w:rsidTr="008B5E8D">
      <w:trPr>
        <w:trHeight w:val="699"/>
      </w:trPr>
      <w:tc>
        <w:tcPr>
          <w:tcW w:w="1059" w:type="dxa"/>
          <w:shd w:val="clear" w:color="auto" w:fill="D9D9D9" w:themeFill="background1" w:themeFillShade="D9"/>
        </w:tcPr>
        <w:p w14:paraId="4B4CD7D2" w14:textId="77777777" w:rsidR="005B6A90" w:rsidRPr="003F7220" w:rsidRDefault="005B6A90" w:rsidP="00590EC7">
          <w:pPr>
            <w:rPr>
              <w:b/>
              <w:color w:val="000000"/>
              <w:sz w:val="18"/>
              <w:szCs w:val="18"/>
            </w:rPr>
          </w:pPr>
          <w:r w:rsidRPr="003F7220">
            <w:rPr>
              <w:b/>
              <w:color w:val="000000"/>
              <w:sz w:val="18"/>
              <w:szCs w:val="18"/>
            </w:rPr>
            <w:t>Study ID</w:t>
          </w:r>
        </w:p>
      </w:tc>
      <w:tc>
        <w:tcPr>
          <w:tcW w:w="1488" w:type="dxa"/>
          <w:shd w:val="clear" w:color="auto" w:fill="D9D9D9" w:themeFill="background1" w:themeFillShade="D9"/>
        </w:tcPr>
        <w:p w14:paraId="5E006CE7" w14:textId="77777777" w:rsidR="005B6A90" w:rsidRPr="003F7220" w:rsidRDefault="005B6A90" w:rsidP="00590EC7">
          <w:pPr>
            <w:rPr>
              <w:b/>
              <w:color w:val="000000"/>
              <w:sz w:val="18"/>
              <w:szCs w:val="18"/>
            </w:rPr>
          </w:pPr>
          <w:r>
            <w:rPr>
              <w:b/>
              <w:color w:val="000000"/>
              <w:sz w:val="18"/>
              <w:szCs w:val="18"/>
            </w:rPr>
            <w:t>Title</w:t>
          </w:r>
        </w:p>
      </w:tc>
      <w:tc>
        <w:tcPr>
          <w:tcW w:w="7725" w:type="dxa"/>
          <w:shd w:val="clear" w:color="auto" w:fill="D9D9D9" w:themeFill="background1" w:themeFillShade="D9"/>
        </w:tcPr>
        <w:p w14:paraId="227C77BC" w14:textId="2A4D4139" w:rsidR="005B6A90" w:rsidRPr="003F7220" w:rsidRDefault="005B6A90" w:rsidP="00590EC7">
          <w:pPr>
            <w:rPr>
              <w:b/>
              <w:color w:val="000000"/>
              <w:sz w:val="18"/>
              <w:szCs w:val="18"/>
            </w:rPr>
          </w:pPr>
          <w:r>
            <w:rPr>
              <w:b/>
              <w:color w:val="000000"/>
              <w:sz w:val="18"/>
              <w:szCs w:val="18"/>
            </w:rPr>
            <w:t>Paper Symptoms and Clinical Features</w:t>
          </w:r>
        </w:p>
      </w:tc>
      <w:tc>
        <w:tcPr>
          <w:tcW w:w="7726" w:type="dxa"/>
          <w:shd w:val="clear" w:color="auto" w:fill="D9D9D9" w:themeFill="background1" w:themeFillShade="D9"/>
        </w:tcPr>
        <w:p w14:paraId="4B80E64A" w14:textId="77777777" w:rsidR="005B6A90" w:rsidRPr="003F7220" w:rsidRDefault="005B6A90" w:rsidP="00590EC7">
          <w:pPr>
            <w:rPr>
              <w:b/>
              <w:color w:val="000000"/>
              <w:sz w:val="18"/>
              <w:szCs w:val="18"/>
            </w:rPr>
          </w:pPr>
          <w:r>
            <w:rPr>
              <w:b/>
              <w:color w:val="000000"/>
              <w:sz w:val="18"/>
              <w:szCs w:val="18"/>
            </w:rPr>
            <w:t>Paper Mechanisms</w:t>
          </w:r>
        </w:p>
      </w:tc>
      <w:tc>
        <w:tcPr>
          <w:tcW w:w="4667" w:type="dxa"/>
          <w:shd w:val="clear" w:color="auto" w:fill="D9D9D9" w:themeFill="background1" w:themeFillShade="D9"/>
        </w:tcPr>
        <w:p w14:paraId="2B0F8877" w14:textId="77777777" w:rsidR="005B6A90" w:rsidRPr="003F7220" w:rsidRDefault="005B6A90" w:rsidP="00590EC7">
          <w:pPr>
            <w:rPr>
              <w:b/>
              <w:color w:val="000000"/>
              <w:sz w:val="18"/>
              <w:szCs w:val="18"/>
            </w:rPr>
          </w:pPr>
          <w:r>
            <w:rPr>
              <w:b/>
              <w:color w:val="000000"/>
              <w:sz w:val="18"/>
              <w:szCs w:val="18"/>
            </w:rPr>
            <w:t>Paper Overall Conclusions</w:t>
          </w:r>
        </w:p>
      </w:tc>
    </w:tr>
  </w:tbl>
  <w:p w14:paraId="3E5666EA" w14:textId="77777777" w:rsidR="005B6A90" w:rsidRPr="004F1F2C" w:rsidRDefault="005B6A90" w:rsidP="00760799">
    <w:pPr>
      <w:pStyle w:val="Header"/>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55D67"/>
    <w:multiLevelType w:val="hybridMultilevel"/>
    <w:tmpl w:val="0D640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5C7FFE"/>
    <w:multiLevelType w:val="hybridMultilevel"/>
    <w:tmpl w:val="BC489136"/>
    <w:lvl w:ilvl="0" w:tplc="6896B9D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5D1920"/>
    <w:multiLevelType w:val="hybridMultilevel"/>
    <w:tmpl w:val="32EC15BE"/>
    <w:lvl w:ilvl="0" w:tplc="7E7001E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F726BF"/>
    <w:multiLevelType w:val="hybridMultilevel"/>
    <w:tmpl w:val="5BEE3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327BAC"/>
    <w:multiLevelType w:val="hybridMultilevel"/>
    <w:tmpl w:val="9A260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0906C6"/>
    <w:multiLevelType w:val="hybridMultilevel"/>
    <w:tmpl w:val="FD622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B27432"/>
    <w:multiLevelType w:val="hybridMultilevel"/>
    <w:tmpl w:val="DF3EE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09770A"/>
    <w:multiLevelType w:val="hybridMultilevel"/>
    <w:tmpl w:val="39E0B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2A78FD"/>
    <w:multiLevelType w:val="hybridMultilevel"/>
    <w:tmpl w:val="83FAA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060098"/>
    <w:multiLevelType w:val="hybridMultilevel"/>
    <w:tmpl w:val="DEDC4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D03EC9"/>
    <w:multiLevelType w:val="hybridMultilevel"/>
    <w:tmpl w:val="CB3E7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D76D40"/>
    <w:multiLevelType w:val="hybridMultilevel"/>
    <w:tmpl w:val="79D09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7F6442"/>
    <w:multiLevelType w:val="hybridMultilevel"/>
    <w:tmpl w:val="06229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4B2C8C"/>
    <w:multiLevelType w:val="hybridMultilevel"/>
    <w:tmpl w:val="7710084C"/>
    <w:lvl w:ilvl="0" w:tplc="49129C3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0B30AF"/>
    <w:multiLevelType w:val="hybridMultilevel"/>
    <w:tmpl w:val="EF1CB090"/>
    <w:lvl w:ilvl="0" w:tplc="F4E0C604">
      <w:start w:val="1"/>
      <w:numFmt w:val="bullet"/>
      <w:lvlText w:val=""/>
      <w:lvlJc w:val="left"/>
      <w:pPr>
        <w:ind w:left="720" w:hanging="360"/>
      </w:pPr>
      <w:rPr>
        <w:rFonts w:ascii="Symbol" w:hAnsi="Symbol" w:hint="default"/>
        <w:color w:val="000000" w:themeColor="text1"/>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1E424A"/>
    <w:multiLevelType w:val="hybridMultilevel"/>
    <w:tmpl w:val="C4F0C350"/>
    <w:lvl w:ilvl="0" w:tplc="04090001">
      <w:start w:val="1"/>
      <w:numFmt w:val="bullet"/>
      <w:lvlText w:val=""/>
      <w:lvlJc w:val="left"/>
      <w:pPr>
        <w:ind w:left="683" w:hanging="360"/>
      </w:pPr>
      <w:rPr>
        <w:rFonts w:ascii="Symbol" w:hAnsi="Symbol" w:hint="default"/>
      </w:rPr>
    </w:lvl>
    <w:lvl w:ilvl="1" w:tplc="04090003" w:tentative="1">
      <w:start w:val="1"/>
      <w:numFmt w:val="bullet"/>
      <w:lvlText w:val="o"/>
      <w:lvlJc w:val="left"/>
      <w:pPr>
        <w:ind w:left="1403" w:hanging="360"/>
      </w:pPr>
      <w:rPr>
        <w:rFonts w:ascii="Courier New" w:hAnsi="Courier New" w:cs="Courier New" w:hint="default"/>
      </w:rPr>
    </w:lvl>
    <w:lvl w:ilvl="2" w:tplc="04090005" w:tentative="1">
      <w:start w:val="1"/>
      <w:numFmt w:val="bullet"/>
      <w:lvlText w:val=""/>
      <w:lvlJc w:val="left"/>
      <w:pPr>
        <w:ind w:left="2123" w:hanging="360"/>
      </w:pPr>
      <w:rPr>
        <w:rFonts w:ascii="Wingdings" w:hAnsi="Wingdings" w:hint="default"/>
      </w:rPr>
    </w:lvl>
    <w:lvl w:ilvl="3" w:tplc="04090001" w:tentative="1">
      <w:start w:val="1"/>
      <w:numFmt w:val="bullet"/>
      <w:lvlText w:val=""/>
      <w:lvlJc w:val="left"/>
      <w:pPr>
        <w:ind w:left="2843" w:hanging="360"/>
      </w:pPr>
      <w:rPr>
        <w:rFonts w:ascii="Symbol" w:hAnsi="Symbol" w:hint="default"/>
      </w:rPr>
    </w:lvl>
    <w:lvl w:ilvl="4" w:tplc="04090003" w:tentative="1">
      <w:start w:val="1"/>
      <w:numFmt w:val="bullet"/>
      <w:lvlText w:val="o"/>
      <w:lvlJc w:val="left"/>
      <w:pPr>
        <w:ind w:left="3563" w:hanging="360"/>
      </w:pPr>
      <w:rPr>
        <w:rFonts w:ascii="Courier New" w:hAnsi="Courier New" w:cs="Courier New" w:hint="default"/>
      </w:rPr>
    </w:lvl>
    <w:lvl w:ilvl="5" w:tplc="04090005" w:tentative="1">
      <w:start w:val="1"/>
      <w:numFmt w:val="bullet"/>
      <w:lvlText w:val=""/>
      <w:lvlJc w:val="left"/>
      <w:pPr>
        <w:ind w:left="4283" w:hanging="360"/>
      </w:pPr>
      <w:rPr>
        <w:rFonts w:ascii="Wingdings" w:hAnsi="Wingdings" w:hint="default"/>
      </w:rPr>
    </w:lvl>
    <w:lvl w:ilvl="6" w:tplc="04090001" w:tentative="1">
      <w:start w:val="1"/>
      <w:numFmt w:val="bullet"/>
      <w:lvlText w:val=""/>
      <w:lvlJc w:val="left"/>
      <w:pPr>
        <w:ind w:left="5003" w:hanging="360"/>
      </w:pPr>
      <w:rPr>
        <w:rFonts w:ascii="Symbol" w:hAnsi="Symbol" w:hint="default"/>
      </w:rPr>
    </w:lvl>
    <w:lvl w:ilvl="7" w:tplc="04090003" w:tentative="1">
      <w:start w:val="1"/>
      <w:numFmt w:val="bullet"/>
      <w:lvlText w:val="o"/>
      <w:lvlJc w:val="left"/>
      <w:pPr>
        <w:ind w:left="5723" w:hanging="360"/>
      </w:pPr>
      <w:rPr>
        <w:rFonts w:ascii="Courier New" w:hAnsi="Courier New" w:cs="Courier New" w:hint="default"/>
      </w:rPr>
    </w:lvl>
    <w:lvl w:ilvl="8" w:tplc="04090005" w:tentative="1">
      <w:start w:val="1"/>
      <w:numFmt w:val="bullet"/>
      <w:lvlText w:val=""/>
      <w:lvlJc w:val="left"/>
      <w:pPr>
        <w:ind w:left="6443" w:hanging="360"/>
      </w:pPr>
      <w:rPr>
        <w:rFonts w:ascii="Wingdings" w:hAnsi="Wingdings" w:hint="default"/>
      </w:rPr>
    </w:lvl>
  </w:abstractNum>
  <w:abstractNum w:abstractNumId="16" w15:restartNumberingAfterBreak="0">
    <w:nsid w:val="7C3668A7"/>
    <w:multiLevelType w:val="hybridMultilevel"/>
    <w:tmpl w:val="4C748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437773">
    <w:abstractNumId w:val="6"/>
  </w:num>
  <w:num w:numId="2" w16cid:durableId="26177328">
    <w:abstractNumId w:val="7"/>
  </w:num>
  <w:num w:numId="3" w16cid:durableId="1769736349">
    <w:abstractNumId w:val="5"/>
  </w:num>
  <w:num w:numId="4" w16cid:durableId="979572676">
    <w:abstractNumId w:val="15"/>
  </w:num>
  <w:num w:numId="5" w16cid:durableId="989291958">
    <w:abstractNumId w:val="4"/>
  </w:num>
  <w:num w:numId="6" w16cid:durableId="1122648200">
    <w:abstractNumId w:val="3"/>
  </w:num>
  <w:num w:numId="7" w16cid:durableId="1253852777">
    <w:abstractNumId w:val="16"/>
  </w:num>
  <w:num w:numId="8" w16cid:durableId="259991478">
    <w:abstractNumId w:val="12"/>
  </w:num>
  <w:num w:numId="9" w16cid:durableId="574127510">
    <w:abstractNumId w:val="13"/>
  </w:num>
  <w:num w:numId="10" w16cid:durableId="360669758">
    <w:abstractNumId w:val="14"/>
  </w:num>
  <w:num w:numId="11" w16cid:durableId="1101798984">
    <w:abstractNumId w:val="10"/>
  </w:num>
  <w:num w:numId="12" w16cid:durableId="1200895014">
    <w:abstractNumId w:val="8"/>
  </w:num>
  <w:num w:numId="13" w16cid:durableId="895824859">
    <w:abstractNumId w:val="9"/>
  </w:num>
  <w:num w:numId="14" w16cid:durableId="1345281548">
    <w:abstractNumId w:val="0"/>
  </w:num>
  <w:num w:numId="15" w16cid:durableId="856163773">
    <w:abstractNumId w:val="11"/>
  </w:num>
  <w:num w:numId="16" w16cid:durableId="2059162479">
    <w:abstractNumId w:val="2"/>
  </w:num>
  <w:num w:numId="17" w16cid:durableId="111085755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821"/>
    <w:rsid w:val="00011BFD"/>
    <w:rsid w:val="00011CA0"/>
    <w:rsid w:val="000157F2"/>
    <w:rsid w:val="0001674C"/>
    <w:rsid w:val="0002052C"/>
    <w:rsid w:val="000205F0"/>
    <w:rsid w:val="0002208E"/>
    <w:rsid w:val="000229D8"/>
    <w:rsid w:val="000235E0"/>
    <w:rsid w:val="00025689"/>
    <w:rsid w:val="000275B1"/>
    <w:rsid w:val="00027B78"/>
    <w:rsid w:val="00030217"/>
    <w:rsid w:val="00031B5E"/>
    <w:rsid w:val="00032C6B"/>
    <w:rsid w:val="00035ED9"/>
    <w:rsid w:val="00040D94"/>
    <w:rsid w:val="0005114B"/>
    <w:rsid w:val="000540C1"/>
    <w:rsid w:val="000619D5"/>
    <w:rsid w:val="00064B1F"/>
    <w:rsid w:val="000650A1"/>
    <w:rsid w:val="0006551A"/>
    <w:rsid w:val="0006552E"/>
    <w:rsid w:val="00065592"/>
    <w:rsid w:val="00066173"/>
    <w:rsid w:val="00073E15"/>
    <w:rsid w:val="00074427"/>
    <w:rsid w:val="000801DD"/>
    <w:rsid w:val="00086F04"/>
    <w:rsid w:val="000905C4"/>
    <w:rsid w:val="000907A8"/>
    <w:rsid w:val="00090D75"/>
    <w:rsid w:val="00091E6C"/>
    <w:rsid w:val="000954AC"/>
    <w:rsid w:val="000A01F9"/>
    <w:rsid w:val="000A3350"/>
    <w:rsid w:val="000A3885"/>
    <w:rsid w:val="000A4D24"/>
    <w:rsid w:val="000A4E22"/>
    <w:rsid w:val="000A681D"/>
    <w:rsid w:val="000A766B"/>
    <w:rsid w:val="000B1CC0"/>
    <w:rsid w:val="000B2EAB"/>
    <w:rsid w:val="000B3575"/>
    <w:rsid w:val="000B4E25"/>
    <w:rsid w:val="000B6836"/>
    <w:rsid w:val="000C0276"/>
    <w:rsid w:val="000C3C93"/>
    <w:rsid w:val="000C4749"/>
    <w:rsid w:val="000C4B2D"/>
    <w:rsid w:val="000C5755"/>
    <w:rsid w:val="000C788D"/>
    <w:rsid w:val="000E2CB5"/>
    <w:rsid w:val="000E3609"/>
    <w:rsid w:val="000E5B3A"/>
    <w:rsid w:val="000F08F9"/>
    <w:rsid w:val="000F2A88"/>
    <w:rsid w:val="000F36D3"/>
    <w:rsid w:val="000F52BA"/>
    <w:rsid w:val="00100841"/>
    <w:rsid w:val="001038A1"/>
    <w:rsid w:val="00105068"/>
    <w:rsid w:val="00105700"/>
    <w:rsid w:val="00105FAB"/>
    <w:rsid w:val="0011521E"/>
    <w:rsid w:val="0012184C"/>
    <w:rsid w:val="00123887"/>
    <w:rsid w:val="0012434C"/>
    <w:rsid w:val="0013028B"/>
    <w:rsid w:val="001309B6"/>
    <w:rsid w:val="00131299"/>
    <w:rsid w:val="001331F2"/>
    <w:rsid w:val="0014316E"/>
    <w:rsid w:val="00143951"/>
    <w:rsid w:val="00146864"/>
    <w:rsid w:val="0014762B"/>
    <w:rsid w:val="001507F8"/>
    <w:rsid w:val="00151286"/>
    <w:rsid w:val="00151400"/>
    <w:rsid w:val="00160033"/>
    <w:rsid w:val="00160F08"/>
    <w:rsid w:val="0016625D"/>
    <w:rsid w:val="001708A2"/>
    <w:rsid w:val="00183697"/>
    <w:rsid w:val="00190821"/>
    <w:rsid w:val="00190C86"/>
    <w:rsid w:val="00195031"/>
    <w:rsid w:val="001A0268"/>
    <w:rsid w:val="001A22DB"/>
    <w:rsid w:val="001A5282"/>
    <w:rsid w:val="001A60DA"/>
    <w:rsid w:val="001A6C15"/>
    <w:rsid w:val="001B1AFB"/>
    <w:rsid w:val="001B1F6B"/>
    <w:rsid w:val="001B2A49"/>
    <w:rsid w:val="001B3B5D"/>
    <w:rsid w:val="001B3BF2"/>
    <w:rsid w:val="001B5A93"/>
    <w:rsid w:val="001C0F80"/>
    <w:rsid w:val="001C3B97"/>
    <w:rsid w:val="001C3C84"/>
    <w:rsid w:val="001C5345"/>
    <w:rsid w:val="001E03E6"/>
    <w:rsid w:val="001E1FCA"/>
    <w:rsid w:val="001E33D9"/>
    <w:rsid w:val="001E514B"/>
    <w:rsid w:val="001F1DDC"/>
    <w:rsid w:val="001F25B4"/>
    <w:rsid w:val="001F7D01"/>
    <w:rsid w:val="002104A2"/>
    <w:rsid w:val="00210ED8"/>
    <w:rsid w:val="00213089"/>
    <w:rsid w:val="00214AA4"/>
    <w:rsid w:val="0022032C"/>
    <w:rsid w:val="00220686"/>
    <w:rsid w:val="00220966"/>
    <w:rsid w:val="002209BB"/>
    <w:rsid w:val="00221DC5"/>
    <w:rsid w:val="002224B4"/>
    <w:rsid w:val="00223AFB"/>
    <w:rsid w:val="00223E96"/>
    <w:rsid w:val="00224CB0"/>
    <w:rsid w:val="0022636E"/>
    <w:rsid w:val="00226DCB"/>
    <w:rsid w:val="00232E6D"/>
    <w:rsid w:val="00232EEA"/>
    <w:rsid w:val="002354A0"/>
    <w:rsid w:val="002406CE"/>
    <w:rsid w:val="002422A3"/>
    <w:rsid w:val="00243EBD"/>
    <w:rsid w:val="00244E06"/>
    <w:rsid w:val="00246C8B"/>
    <w:rsid w:val="00251F0C"/>
    <w:rsid w:val="002526EC"/>
    <w:rsid w:val="00254875"/>
    <w:rsid w:val="002620A3"/>
    <w:rsid w:val="002626AB"/>
    <w:rsid w:val="002669E3"/>
    <w:rsid w:val="00273399"/>
    <w:rsid w:val="00280F75"/>
    <w:rsid w:val="00284694"/>
    <w:rsid w:val="002864FA"/>
    <w:rsid w:val="00291DAC"/>
    <w:rsid w:val="0029580B"/>
    <w:rsid w:val="0029676B"/>
    <w:rsid w:val="002974F4"/>
    <w:rsid w:val="002A0708"/>
    <w:rsid w:val="002A26F1"/>
    <w:rsid w:val="002A2B17"/>
    <w:rsid w:val="002A3C9A"/>
    <w:rsid w:val="002A682F"/>
    <w:rsid w:val="002B0662"/>
    <w:rsid w:val="002B1278"/>
    <w:rsid w:val="002B300F"/>
    <w:rsid w:val="002C39B3"/>
    <w:rsid w:val="002C4479"/>
    <w:rsid w:val="002C4D2C"/>
    <w:rsid w:val="002C6C2A"/>
    <w:rsid w:val="002C7293"/>
    <w:rsid w:val="002C730B"/>
    <w:rsid w:val="002D14D7"/>
    <w:rsid w:val="002D3913"/>
    <w:rsid w:val="002D3917"/>
    <w:rsid w:val="002D4E41"/>
    <w:rsid w:val="002D57A2"/>
    <w:rsid w:val="002E031A"/>
    <w:rsid w:val="002E05CC"/>
    <w:rsid w:val="002E110F"/>
    <w:rsid w:val="002E2F03"/>
    <w:rsid w:val="002E549D"/>
    <w:rsid w:val="002E7831"/>
    <w:rsid w:val="002E7961"/>
    <w:rsid w:val="002F1CB6"/>
    <w:rsid w:val="002F1E4A"/>
    <w:rsid w:val="00302736"/>
    <w:rsid w:val="0030323D"/>
    <w:rsid w:val="003073F1"/>
    <w:rsid w:val="003233BB"/>
    <w:rsid w:val="0032474A"/>
    <w:rsid w:val="00324829"/>
    <w:rsid w:val="00327811"/>
    <w:rsid w:val="003317A7"/>
    <w:rsid w:val="003319F2"/>
    <w:rsid w:val="00332D8B"/>
    <w:rsid w:val="00334209"/>
    <w:rsid w:val="00336853"/>
    <w:rsid w:val="00336FEE"/>
    <w:rsid w:val="003414A5"/>
    <w:rsid w:val="00343A97"/>
    <w:rsid w:val="00346F0F"/>
    <w:rsid w:val="00347C37"/>
    <w:rsid w:val="00352DF3"/>
    <w:rsid w:val="00353A49"/>
    <w:rsid w:val="00354495"/>
    <w:rsid w:val="0035563F"/>
    <w:rsid w:val="00355B84"/>
    <w:rsid w:val="003611EA"/>
    <w:rsid w:val="003615FC"/>
    <w:rsid w:val="003634D8"/>
    <w:rsid w:val="00365C30"/>
    <w:rsid w:val="00370036"/>
    <w:rsid w:val="00371A3A"/>
    <w:rsid w:val="0038254A"/>
    <w:rsid w:val="00384113"/>
    <w:rsid w:val="00384C27"/>
    <w:rsid w:val="00385693"/>
    <w:rsid w:val="00386066"/>
    <w:rsid w:val="00390D69"/>
    <w:rsid w:val="0039183E"/>
    <w:rsid w:val="00392509"/>
    <w:rsid w:val="0039262C"/>
    <w:rsid w:val="00394E31"/>
    <w:rsid w:val="00395275"/>
    <w:rsid w:val="003A1D42"/>
    <w:rsid w:val="003A2E56"/>
    <w:rsid w:val="003A3026"/>
    <w:rsid w:val="003A6C3A"/>
    <w:rsid w:val="003B057E"/>
    <w:rsid w:val="003B3C65"/>
    <w:rsid w:val="003B654A"/>
    <w:rsid w:val="003C3165"/>
    <w:rsid w:val="003D0B1B"/>
    <w:rsid w:val="003D0CA7"/>
    <w:rsid w:val="003D3F36"/>
    <w:rsid w:val="003D455A"/>
    <w:rsid w:val="003E0325"/>
    <w:rsid w:val="003E2386"/>
    <w:rsid w:val="003E3A3D"/>
    <w:rsid w:val="003E4C7B"/>
    <w:rsid w:val="003F2B9E"/>
    <w:rsid w:val="003F3218"/>
    <w:rsid w:val="003F7220"/>
    <w:rsid w:val="00404351"/>
    <w:rsid w:val="00404856"/>
    <w:rsid w:val="0041188B"/>
    <w:rsid w:val="00411B01"/>
    <w:rsid w:val="0041264C"/>
    <w:rsid w:val="004129B8"/>
    <w:rsid w:val="00412CEA"/>
    <w:rsid w:val="00414E6D"/>
    <w:rsid w:val="00417F01"/>
    <w:rsid w:val="00424089"/>
    <w:rsid w:val="0043079C"/>
    <w:rsid w:val="00430FBD"/>
    <w:rsid w:val="0043153E"/>
    <w:rsid w:val="0044430D"/>
    <w:rsid w:val="004469EB"/>
    <w:rsid w:val="00447819"/>
    <w:rsid w:val="00447FD9"/>
    <w:rsid w:val="004509B3"/>
    <w:rsid w:val="004648E0"/>
    <w:rsid w:val="00467514"/>
    <w:rsid w:val="0046757B"/>
    <w:rsid w:val="004767FF"/>
    <w:rsid w:val="00480E20"/>
    <w:rsid w:val="004843A2"/>
    <w:rsid w:val="00484C89"/>
    <w:rsid w:val="00486F5C"/>
    <w:rsid w:val="00490F5F"/>
    <w:rsid w:val="00494286"/>
    <w:rsid w:val="004946AC"/>
    <w:rsid w:val="00496489"/>
    <w:rsid w:val="0049661D"/>
    <w:rsid w:val="004A024C"/>
    <w:rsid w:val="004A0646"/>
    <w:rsid w:val="004A0960"/>
    <w:rsid w:val="004A130E"/>
    <w:rsid w:val="004A1AC9"/>
    <w:rsid w:val="004B029A"/>
    <w:rsid w:val="004B1EE5"/>
    <w:rsid w:val="004B531C"/>
    <w:rsid w:val="004B7BF9"/>
    <w:rsid w:val="004C0F6E"/>
    <w:rsid w:val="004C2249"/>
    <w:rsid w:val="004C3355"/>
    <w:rsid w:val="004C3B73"/>
    <w:rsid w:val="004C506F"/>
    <w:rsid w:val="004D179E"/>
    <w:rsid w:val="004D3FAA"/>
    <w:rsid w:val="004D72D0"/>
    <w:rsid w:val="004D7716"/>
    <w:rsid w:val="004E074D"/>
    <w:rsid w:val="004E1C7D"/>
    <w:rsid w:val="004E231B"/>
    <w:rsid w:val="004E28C0"/>
    <w:rsid w:val="004E2A5B"/>
    <w:rsid w:val="004E7F73"/>
    <w:rsid w:val="004F01EC"/>
    <w:rsid w:val="004F1F2C"/>
    <w:rsid w:val="004F4A98"/>
    <w:rsid w:val="004F7D75"/>
    <w:rsid w:val="005003C8"/>
    <w:rsid w:val="00501782"/>
    <w:rsid w:val="0050447C"/>
    <w:rsid w:val="0050617B"/>
    <w:rsid w:val="005076B1"/>
    <w:rsid w:val="00512C71"/>
    <w:rsid w:val="00513264"/>
    <w:rsid w:val="005207B0"/>
    <w:rsid w:val="005237B0"/>
    <w:rsid w:val="00524F95"/>
    <w:rsid w:val="00525BA1"/>
    <w:rsid w:val="005273EB"/>
    <w:rsid w:val="0053416D"/>
    <w:rsid w:val="00534BA8"/>
    <w:rsid w:val="0053554E"/>
    <w:rsid w:val="00536FB5"/>
    <w:rsid w:val="00540994"/>
    <w:rsid w:val="00543377"/>
    <w:rsid w:val="0055104A"/>
    <w:rsid w:val="005527DF"/>
    <w:rsid w:val="00553507"/>
    <w:rsid w:val="00557343"/>
    <w:rsid w:val="00557BA5"/>
    <w:rsid w:val="00557E63"/>
    <w:rsid w:val="005614F0"/>
    <w:rsid w:val="00561C61"/>
    <w:rsid w:val="00563467"/>
    <w:rsid w:val="0056346E"/>
    <w:rsid w:val="0056631D"/>
    <w:rsid w:val="005709A2"/>
    <w:rsid w:val="00573CE7"/>
    <w:rsid w:val="00580720"/>
    <w:rsid w:val="00580A6F"/>
    <w:rsid w:val="005810AB"/>
    <w:rsid w:val="0058368B"/>
    <w:rsid w:val="00590423"/>
    <w:rsid w:val="00590A95"/>
    <w:rsid w:val="00590EC7"/>
    <w:rsid w:val="00592CC1"/>
    <w:rsid w:val="005934C0"/>
    <w:rsid w:val="005949AC"/>
    <w:rsid w:val="00594C67"/>
    <w:rsid w:val="005969DA"/>
    <w:rsid w:val="00596BC3"/>
    <w:rsid w:val="005976F2"/>
    <w:rsid w:val="005978F6"/>
    <w:rsid w:val="00597FA2"/>
    <w:rsid w:val="005A0EA7"/>
    <w:rsid w:val="005A20F4"/>
    <w:rsid w:val="005A37CE"/>
    <w:rsid w:val="005A4497"/>
    <w:rsid w:val="005A557D"/>
    <w:rsid w:val="005A5FE9"/>
    <w:rsid w:val="005B2481"/>
    <w:rsid w:val="005B3B24"/>
    <w:rsid w:val="005B4794"/>
    <w:rsid w:val="005B4C66"/>
    <w:rsid w:val="005B51BB"/>
    <w:rsid w:val="005B5322"/>
    <w:rsid w:val="005B6A90"/>
    <w:rsid w:val="005C53FA"/>
    <w:rsid w:val="005C66C9"/>
    <w:rsid w:val="005D1E0D"/>
    <w:rsid w:val="005D43F8"/>
    <w:rsid w:val="005D4B0F"/>
    <w:rsid w:val="005D4EF8"/>
    <w:rsid w:val="005D678B"/>
    <w:rsid w:val="005E2AB2"/>
    <w:rsid w:val="005E4476"/>
    <w:rsid w:val="005E6BEE"/>
    <w:rsid w:val="005E6C14"/>
    <w:rsid w:val="005E721B"/>
    <w:rsid w:val="005E7866"/>
    <w:rsid w:val="00604351"/>
    <w:rsid w:val="006044AB"/>
    <w:rsid w:val="006104E4"/>
    <w:rsid w:val="006110FB"/>
    <w:rsid w:val="00616033"/>
    <w:rsid w:val="00621421"/>
    <w:rsid w:val="00624D94"/>
    <w:rsid w:val="0063022D"/>
    <w:rsid w:val="00633E14"/>
    <w:rsid w:val="006374B2"/>
    <w:rsid w:val="006377C6"/>
    <w:rsid w:val="0064039C"/>
    <w:rsid w:val="00643229"/>
    <w:rsid w:val="006473B7"/>
    <w:rsid w:val="006514F0"/>
    <w:rsid w:val="006556D2"/>
    <w:rsid w:val="00655EE6"/>
    <w:rsid w:val="006572A1"/>
    <w:rsid w:val="0065749B"/>
    <w:rsid w:val="00661092"/>
    <w:rsid w:val="006628E5"/>
    <w:rsid w:val="00664C98"/>
    <w:rsid w:val="00664F62"/>
    <w:rsid w:val="0066640F"/>
    <w:rsid w:val="006700C7"/>
    <w:rsid w:val="00671250"/>
    <w:rsid w:val="00671B3B"/>
    <w:rsid w:val="006737EF"/>
    <w:rsid w:val="00677DDC"/>
    <w:rsid w:val="00680360"/>
    <w:rsid w:val="006838C4"/>
    <w:rsid w:val="00683A0E"/>
    <w:rsid w:val="00692F35"/>
    <w:rsid w:val="00694D33"/>
    <w:rsid w:val="00695866"/>
    <w:rsid w:val="00696D3F"/>
    <w:rsid w:val="006A00B9"/>
    <w:rsid w:val="006A4A61"/>
    <w:rsid w:val="006A4C7D"/>
    <w:rsid w:val="006A51FB"/>
    <w:rsid w:val="006B3837"/>
    <w:rsid w:val="006B66AB"/>
    <w:rsid w:val="006B6B8B"/>
    <w:rsid w:val="006C09BA"/>
    <w:rsid w:val="006C362C"/>
    <w:rsid w:val="006C4842"/>
    <w:rsid w:val="006C5031"/>
    <w:rsid w:val="006C58AE"/>
    <w:rsid w:val="006D090C"/>
    <w:rsid w:val="006D0B33"/>
    <w:rsid w:val="006D139E"/>
    <w:rsid w:val="006D1612"/>
    <w:rsid w:val="006D35C9"/>
    <w:rsid w:val="006D65F7"/>
    <w:rsid w:val="006D6B4E"/>
    <w:rsid w:val="006E018C"/>
    <w:rsid w:val="006E33DB"/>
    <w:rsid w:val="006E58D5"/>
    <w:rsid w:val="006F2129"/>
    <w:rsid w:val="006F3DDB"/>
    <w:rsid w:val="006F4025"/>
    <w:rsid w:val="006F41A6"/>
    <w:rsid w:val="006F7C6B"/>
    <w:rsid w:val="0070357D"/>
    <w:rsid w:val="007052A8"/>
    <w:rsid w:val="00705F57"/>
    <w:rsid w:val="007208A6"/>
    <w:rsid w:val="00721C00"/>
    <w:rsid w:val="0072395A"/>
    <w:rsid w:val="00725132"/>
    <w:rsid w:val="00733426"/>
    <w:rsid w:val="0073494E"/>
    <w:rsid w:val="00737668"/>
    <w:rsid w:val="00740AD9"/>
    <w:rsid w:val="00740DDA"/>
    <w:rsid w:val="00740E40"/>
    <w:rsid w:val="007458FD"/>
    <w:rsid w:val="00745ABD"/>
    <w:rsid w:val="00746C06"/>
    <w:rsid w:val="00746F15"/>
    <w:rsid w:val="007563C4"/>
    <w:rsid w:val="00760799"/>
    <w:rsid w:val="00764F31"/>
    <w:rsid w:val="007678CF"/>
    <w:rsid w:val="007703ED"/>
    <w:rsid w:val="00774088"/>
    <w:rsid w:val="00774A73"/>
    <w:rsid w:val="00780C42"/>
    <w:rsid w:val="00782024"/>
    <w:rsid w:val="007823D3"/>
    <w:rsid w:val="007869B2"/>
    <w:rsid w:val="00793A91"/>
    <w:rsid w:val="0079682F"/>
    <w:rsid w:val="007A51B4"/>
    <w:rsid w:val="007B2851"/>
    <w:rsid w:val="007B28A4"/>
    <w:rsid w:val="007B463A"/>
    <w:rsid w:val="007C23E3"/>
    <w:rsid w:val="007C585A"/>
    <w:rsid w:val="007C5FB5"/>
    <w:rsid w:val="007C605A"/>
    <w:rsid w:val="007D0A76"/>
    <w:rsid w:val="007D1228"/>
    <w:rsid w:val="007D166C"/>
    <w:rsid w:val="007D6692"/>
    <w:rsid w:val="007D7205"/>
    <w:rsid w:val="007E4BC4"/>
    <w:rsid w:val="007F0A86"/>
    <w:rsid w:val="007F30D3"/>
    <w:rsid w:val="007F5082"/>
    <w:rsid w:val="007F6D2B"/>
    <w:rsid w:val="007F7BF5"/>
    <w:rsid w:val="007F7CD8"/>
    <w:rsid w:val="00805D3D"/>
    <w:rsid w:val="008064C2"/>
    <w:rsid w:val="0080797E"/>
    <w:rsid w:val="00807DAE"/>
    <w:rsid w:val="0081663D"/>
    <w:rsid w:val="008166AB"/>
    <w:rsid w:val="008214E8"/>
    <w:rsid w:val="00824B11"/>
    <w:rsid w:val="00830427"/>
    <w:rsid w:val="00837FA6"/>
    <w:rsid w:val="0084622F"/>
    <w:rsid w:val="00850537"/>
    <w:rsid w:val="00853033"/>
    <w:rsid w:val="00853677"/>
    <w:rsid w:val="008548FA"/>
    <w:rsid w:val="00860F3D"/>
    <w:rsid w:val="00861B7F"/>
    <w:rsid w:val="0086328D"/>
    <w:rsid w:val="00865A68"/>
    <w:rsid w:val="00865D72"/>
    <w:rsid w:val="00874CE8"/>
    <w:rsid w:val="00880DCE"/>
    <w:rsid w:val="0088131C"/>
    <w:rsid w:val="008815C5"/>
    <w:rsid w:val="008855E6"/>
    <w:rsid w:val="00886A1A"/>
    <w:rsid w:val="00886BD8"/>
    <w:rsid w:val="008877D5"/>
    <w:rsid w:val="00890089"/>
    <w:rsid w:val="00893B17"/>
    <w:rsid w:val="00895D92"/>
    <w:rsid w:val="00897CA7"/>
    <w:rsid w:val="00897F94"/>
    <w:rsid w:val="008A0ED0"/>
    <w:rsid w:val="008A186C"/>
    <w:rsid w:val="008A1C60"/>
    <w:rsid w:val="008A4B10"/>
    <w:rsid w:val="008B086C"/>
    <w:rsid w:val="008B0EF6"/>
    <w:rsid w:val="008B1273"/>
    <w:rsid w:val="008B2E5D"/>
    <w:rsid w:val="008B5E8D"/>
    <w:rsid w:val="008C1B2E"/>
    <w:rsid w:val="008C3E84"/>
    <w:rsid w:val="008C6652"/>
    <w:rsid w:val="008C7E0F"/>
    <w:rsid w:val="008D14E6"/>
    <w:rsid w:val="008D3012"/>
    <w:rsid w:val="008D76A2"/>
    <w:rsid w:val="008E043F"/>
    <w:rsid w:val="008E2FBE"/>
    <w:rsid w:val="008E4E1B"/>
    <w:rsid w:val="008F144A"/>
    <w:rsid w:val="008F3130"/>
    <w:rsid w:val="008F3DA0"/>
    <w:rsid w:val="008F448B"/>
    <w:rsid w:val="009014C0"/>
    <w:rsid w:val="00902B87"/>
    <w:rsid w:val="00905B65"/>
    <w:rsid w:val="009110DC"/>
    <w:rsid w:val="0091179B"/>
    <w:rsid w:val="00913702"/>
    <w:rsid w:val="0091491C"/>
    <w:rsid w:val="00915292"/>
    <w:rsid w:val="00915F8C"/>
    <w:rsid w:val="0091769F"/>
    <w:rsid w:val="00917E5B"/>
    <w:rsid w:val="009225B4"/>
    <w:rsid w:val="00922C9A"/>
    <w:rsid w:val="00925DF4"/>
    <w:rsid w:val="009269D2"/>
    <w:rsid w:val="009302DB"/>
    <w:rsid w:val="00931B27"/>
    <w:rsid w:val="009373A2"/>
    <w:rsid w:val="00940926"/>
    <w:rsid w:val="00945D54"/>
    <w:rsid w:val="00945F01"/>
    <w:rsid w:val="0094689A"/>
    <w:rsid w:val="00946BD2"/>
    <w:rsid w:val="00952298"/>
    <w:rsid w:val="00952FF4"/>
    <w:rsid w:val="00955885"/>
    <w:rsid w:val="0095694B"/>
    <w:rsid w:val="00960768"/>
    <w:rsid w:val="00960DC9"/>
    <w:rsid w:val="009632E9"/>
    <w:rsid w:val="00965B25"/>
    <w:rsid w:val="00971407"/>
    <w:rsid w:val="0097207F"/>
    <w:rsid w:val="0098125C"/>
    <w:rsid w:val="00987E42"/>
    <w:rsid w:val="00994581"/>
    <w:rsid w:val="00994ED6"/>
    <w:rsid w:val="00996539"/>
    <w:rsid w:val="009971AC"/>
    <w:rsid w:val="009A1139"/>
    <w:rsid w:val="009B1698"/>
    <w:rsid w:val="009B2CD3"/>
    <w:rsid w:val="009B5210"/>
    <w:rsid w:val="009B536B"/>
    <w:rsid w:val="009B5587"/>
    <w:rsid w:val="009B770C"/>
    <w:rsid w:val="009C0B2A"/>
    <w:rsid w:val="009C0E4C"/>
    <w:rsid w:val="009C11C4"/>
    <w:rsid w:val="009C214E"/>
    <w:rsid w:val="009C3291"/>
    <w:rsid w:val="009C3341"/>
    <w:rsid w:val="009C6A60"/>
    <w:rsid w:val="009C7E27"/>
    <w:rsid w:val="009D4C62"/>
    <w:rsid w:val="009D66F8"/>
    <w:rsid w:val="009E0C60"/>
    <w:rsid w:val="009E4AD5"/>
    <w:rsid w:val="009E4CDF"/>
    <w:rsid w:val="009E4D9D"/>
    <w:rsid w:val="009E600D"/>
    <w:rsid w:val="009E6B9A"/>
    <w:rsid w:val="009E7619"/>
    <w:rsid w:val="009F412B"/>
    <w:rsid w:val="009F7378"/>
    <w:rsid w:val="00A018BA"/>
    <w:rsid w:val="00A05130"/>
    <w:rsid w:val="00A06286"/>
    <w:rsid w:val="00A1542B"/>
    <w:rsid w:val="00A214D5"/>
    <w:rsid w:val="00A22FD3"/>
    <w:rsid w:val="00A24E29"/>
    <w:rsid w:val="00A25019"/>
    <w:rsid w:val="00A313C5"/>
    <w:rsid w:val="00A323B9"/>
    <w:rsid w:val="00A32F40"/>
    <w:rsid w:val="00A33344"/>
    <w:rsid w:val="00A342FB"/>
    <w:rsid w:val="00A34C5C"/>
    <w:rsid w:val="00A37745"/>
    <w:rsid w:val="00A4009A"/>
    <w:rsid w:val="00A4649E"/>
    <w:rsid w:val="00A536F6"/>
    <w:rsid w:val="00A55176"/>
    <w:rsid w:val="00A57D35"/>
    <w:rsid w:val="00A60984"/>
    <w:rsid w:val="00A63E97"/>
    <w:rsid w:val="00A666AF"/>
    <w:rsid w:val="00A70C08"/>
    <w:rsid w:val="00A7224F"/>
    <w:rsid w:val="00A806AF"/>
    <w:rsid w:val="00A81151"/>
    <w:rsid w:val="00A81CCC"/>
    <w:rsid w:val="00A81FFB"/>
    <w:rsid w:val="00A83409"/>
    <w:rsid w:val="00A92B97"/>
    <w:rsid w:val="00A92F15"/>
    <w:rsid w:val="00A938C0"/>
    <w:rsid w:val="00A93D1A"/>
    <w:rsid w:val="00A95432"/>
    <w:rsid w:val="00A96E31"/>
    <w:rsid w:val="00A97AF0"/>
    <w:rsid w:val="00AA1196"/>
    <w:rsid w:val="00AA78E5"/>
    <w:rsid w:val="00AB01CD"/>
    <w:rsid w:val="00AB5F61"/>
    <w:rsid w:val="00AC24FC"/>
    <w:rsid w:val="00AC4CD6"/>
    <w:rsid w:val="00AC6147"/>
    <w:rsid w:val="00AC68AF"/>
    <w:rsid w:val="00AD1479"/>
    <w:rsid w:val="00AD23DF"/>
    <w:rsid w:val="00AD26C7"/>
    <w:rsid w:val="00AD3DC6"/>
    <w:rsid w:val="00AD795A"/>
    <w:rsid w:val="00AE3FAF"/>
    <w:rsid w:val="00AF2DDC"/>
    <w:rsid w:val="00AF3A2D"/>
    <w:rsid w:val="00AF4B1F"/>
    <w:rsid w:val="00B00B14"/>
    <w:rsid w:val="00B015C9"/>
    <w:rsid w:val="00B01E2D"/>
    <w:rsid w:val="00B05C7D"/>
    <w:rsid w:val="00B100CA"/>
    <w:rsid w:val="00B11D42"/>
    <w:rsid w:val="00B12B51"/>
    <w:rsid w:val="00B14A36"/>
    <w:rsid w:val="00B159D5"/>
    <w:rsid w:val="00B17491"/>
    <w:rsid w:val="00B26687"/>
    <w:rsid w:val="00B26B82"/>
    <w:rsid w:val="00B2786D"/>
    <w:rsid w:val="00B3124C"/>
    <w:rsid w:val="00B33115"/>
    <w:rsid w:val="00B3377F"/>
    <w:rsid w:val="00B3391F"/>
    <w:rsid w:val="00B35375"/>
    <w:rsid w:val="00B431CC"/>
    <w:rsid w:val="00B436E9"/>
    <w:rsid w:val="00B43D29"/>
    <w:rsid w:val="00B44CC1"/>
    <w:rsid w:val="00B4615A"/>
    <w:rsid w:val="00B511B0"/>
    <w:rsid w:val="00B51AB2"/>
    <w:rsid w:val="00B52BB8"/>
    <w:rsid w:val="00B55182"/>
    <w:rsid w:val="00B5776A"/>
    <w:rsid w:val="00B6211B"/>
    <w:rsid w:val="00B62801"/>
    <w:rsid w:val="00B63081"/>
    <w:rsid w:val="00B65939"/>
    <w:rsid w:val="00B72241"/>
    <w:rsid w:val="00B75FD7"/>
    <w:rsid w:val="00B80519"/>
    <w:rsid w:val="00B80959"/>
    <w:rsid w:val="00B82357"/>
    <w:rsid w:val="00B83F04"/>
    <w:rsid w:val="00B84BC9"/>
    <w:rsid w:val="00B86176"/>
    <w:rsid w:val="00B86533"/>
    <w:rsid w:val="00B877A3"/>
    <w:rsid w:val="00B87C83"/>
    <w:rsid w:val="00B91E5F"/>
    <w:rsid w:val="00B966B6"/>
    <w:rsid w:val="00BA1B33"/>
    <w:rsid w:val="00BA2C7F"/>
    <w:rsid w:val="00BA6FEF"/>
    <w:rsid w:val="00BB2D0E"/>
    <w:rsid w:val="00BB3463"/>
    <w:rsid w:val="00BB48E7"/>
    <w:rsid w:val="00BC0F60"/>
    <w:rsid w:val="00BC4F97"/>
    <w:rsid w:val="00BC75EA"/>
    <w:rsid w:val="00BD082C"/>
    <w:rsid w:val="00BD488F"/>
    <w:rsid w:val="00BD4C1F"/>
    <w:rsid w:val="00BE14F0"/>
    <w:rsid w:val="00BE28A2"/>
    <w:rsid w:val="00BE4F72"/>
    <w:rsid w:val="00BE755F"/>
    <w:rsid w:val="00BF1AE0"/>
    <w:rsid w:val="00BF1D91"/>
    <w:rsid w:val="00BF1E12"/>
    <w:rsid w:val="00BF5E37"/>
    <w:rsid w:val="00BF6BE0"/>
    <w:rsid w:val="00C01798"/>
    <w:rsid w:val="00C01BF1"/>
    <w:rsid w:val="00C12FE2"/>
    <w:rsid w:val="00C14C39"/>
    <w:rsid w:val="00C1710A"/>
    <w:rsid w:val="00C20866"/>
    <w:rsid w:val="00C20C9C"/>
    <w:rsid w:val="00C21DFA"/>
    <w:rsid w:val="00C27181"/>
    <w:rsid w:val="00C30C1C"/>
    <w:rsid w:val="00C30D97"/>
    <w:rsid w:val="00C333D9"/>
    <w:rsid w:val="00C339C1"/>
    <w:rsid w:val="00C35653"/>
    <w:rsid w:val="00C36697"/>
    <w:rsid w:val="00C37B87"/>
    <w:rsid w:val="00C4172E"/>
    <w:rsid w:val="00C46D19"/>
    <w:rsid w:val="00C50284"/>
    <w:rsid w:val="00C51214"/>
    <w:rsid w:val="00C616C1"/>
    <w:rsid w:val="00C62548"/>
    <w:rsid w:val="00C63256"/>
    <w:rsid w:val="00C640D1"/>
    <w:rsid w:val="00C66258"/>
    <w:rsid w:val="00C720DC"/>
    <w:rsid w:val="00C73680"/>
    <w:rsid w:val="00C742DF"/>
    <w:rsid w:val="00C75360"/>
    <w:rsid w:val="00C76557"/>
    <w:rsid w:val="00C7706D"/>
    <w:rsid w:val="00C800A6"/>
    <w:rsid w:val="00C812FE"/>
    <w:rsid w:val="00C93B63"/>
    <w:rsid w:val="00CA046C"/>
    <w:rsid w:val="00CA370F"/>
    <w:rsid w:val="00CA3759"/>
    <w:rsid w:val="00CA448E"/>
    <w:rsid w:val="00CB1BB3"/>
    <w:rsid w:val="00CC4F9E"/>
    <w:rsid w:val="00CC7ADD"/>
    <w:rsid w:val="00CD1C6A"/>
    <w:rsid w:val="00CD59E7"/>
    <w:rsid w:val="00CE1E7D"/>
    <w:rsid w:val="00CE2D08"/>
    <w:rsid w:val="00CE4125"/>
    <w:rsid w:val="00CE4C1F"/>
    <w:rsid w:val="00CE4F22"/>
    <w:rsid w:val="00CE669C"/>
    <w:rsid w:val="00CE74BB"/>
    <w:rsid w:val="00CF34FE"/>
    <w:rsid w:val="00CF3571"/>
    <w:rsid w:val="00CF417E"/>
    <w:rsid w:val="00CF4FC7"/>
    <w:rsid w:val="00CF56DA"/>
    <w:rsid w:val="00CF6A43"/>
    <w:rsid w:val="00CF6B54"/>
    <w:rsid w:val="00CF774F"/>
    <w:rsid w:val="00D01012"/>
    <w:rsid w:val="00D03CFD"/>
    <w:rsid w:val="00D0791D"/>
    <w:rsid w:val="00D153E3"/>
    <w:rsid w:val="00D156DA"/>
    <w:rsid w:val="00D1735B"/>
    <w:rsid w:val="00D26E11"/>
    <w:rsid w:val="00D274FF"/>
    <w:rsid w:val="00D30531"/>
    <w:rsid w:val="00D32BBB"/>
    <w:rsid w:val="00D33976"/>
    <w:rsid w:val="00D342BA"/>
    <w:rsid w:val="00D34D01"/>
    <w:rsid w:val="00D36BCC"/>
    <w:rsid w:val="00D3714D"/>
    <w:rsid w:val="00D3740D"/>
    <w:rsid w:val="00D40E04"/>
    <w:rsid w:val="00D45A0A"/>
    <w:rsid w:val="00D468C8"/>
    <w:rsid w:val="00D46A71"/>
    <w:rsid w:val="00D51C2B"/>
    <w:rsid w:val="00D573FD"/>
    <w:rsid w:val="00D611D1"/>
    <w:rsid w:val="00D65F05"/>
    <w:rsid w:val="00D70831"/>
    <w:rsid w:val="00D72824"/>
    <w:rsid w:val="00D735D6"/>
    <w:rsid w:val="00D74B9F"/>
    <w:rsid w:val="00D801D6"/>
    <w:rsid w:val="00D8695B"/>
    <w:rsid w:val="00D87518"/>
    <w:rsid w:val="00D930DD"/>
    <w:rsid w:val="00D9573B"/>
    <w:rsid w:val="00D96B6C"/>
    <w:rsid w:val="00DA0A4E"/>
    <w:rsid w:val="00DA0C2B"/>
    <w:rsid w:val="00DA6511"/>
    <w:rsid w:val="00DB4837"/>
    <w:rsid w:val="00DB75A4"/>
    <w:rsid w:val="00DC0D17"/>
    <w:rsid w:val="00DC3243"/>
    <w:rsid w:val="00DC3D78"/>
    <w:rsid w:val="00DD57B0"/>
    <w:rsid w:val="00DD6744"/>
    <w:rsid w:val="00DE2069"/>
    <w:rsid w:val="00DE40BA"/>
    <w:rsid w:val="00DE7B12"/>
    <w:rsid w:val="00DF1392"/>
    <w:rsid w:val="00DF1FEE"/>
    <w:rsid w:val="00DF2BDA"/>
    <w:rsid w:val="00DF2DE7"/>
    <w:rsid w:val="00DF373E"/>
    <w:rsid w:val="00DF39B2"/>
    <w:rsid w:val="00DF685F"/>
    <w:rsid w:val="00E0003A"/>
    <w:rsid w:val="00E00CF5"/>
    <w:rsid w:val="00E018CB"/>
    <w:rsid w:val="00E04B72"/>
    <w:rsid w:val="00E0638C"/>
    <w:rsid w:val="00E13659"/>
    <w:rsid w:val="00E13F6E"/>
    <w:rsid w:val="00E1516D"/>
    <w:rsid w:val="00E1577E"/>
    <w:rsid w:val="00E17DBF"/>
    <w:rsid w:val="00E20837"/>
    <w:rsid w:val="00E2450A"/>
    <w:rsid w:val="00E30B71"/>
    <w:rsid w:val="00E30FF3"/>
    <w:rsid w:val="00E31515"/>
    <w:rsid w:val="00E362E0"/>
    <w:rsid w:val="00E367A8"/>
    <w:rsid w:val="00E370F9"/>
    <w:rsid w:val="00E46557"/>
    <w:rsid w:val="00E51387"/>
    <w:rsid w:val="00E538DB"/>
    <w:rsid w:val="00E630A7"/>
    <w:rsid w:val="00E70108"/>
    <w:rsid w:val="00E70865"/>
    <w:rsid w:val="00E70C11"/>
    <w:rsid w:val="00E77DB8"/>
    <w:rsid w:val="00E80014"/>
    <w:rsid w:val="00E80B4A"/>
    <w:rsid w:val="00E84B6F"/>
    <w:rsid w:val="00E86AC0"/>
    <w:rsid w:val="00E86BA6"/>
    <w:rsid w:val="00E8725C"/>
    <w:rsid w:val="00E87443"/>
    <w:rsid w:val="00E969EB"/>
    <w:rsid w:val="00E9745B"/>
    <w:rsid w:val="00EA07D1"/>
    <w:rsid w:val="00EA09E0"/>
    <w:rsid w:val="00EA1462"/>
    <w:rsid w:val="00EA1758"/>
    <w:rsid w:val="00EA1AF3"/>
    <w:rsid w:val="00EA32E9"/>
    <w:rsid w:val="00EA3BE1"/>
    <w:rsid w:val="00EA6966"/>
    <w:rsid w:val="00EB1C1E"/>
    <w:rsid w:val="00EB236C"/>
    <w:rsid w:val="00EB6C65"/>
    <w:rsid w:val="00EB6ED1"/>
    <w:rsid w:val="00EC235F"/>
    <w:rsid w:val="00ED398E"/>
    <w:rsid w:val="00ED4ED4"/>
    <w:rsid w:val="00ED63DD"/>
    <w:rsid w:val="00EE1E50"/>
    <w:rsid w:val="00EE4045"/>
    <w:rsid w:val="00EF0B4F"/>
    <w:rsid w:val="00F013FF"/>
    <w:rsid w:val="00F01AA0"/>
    <w:rsid w:val="00F03632"/>
    <w:rsid w:val="00F071CF"/>
    <w:rsid w:val="00F1003A"/>
    <w:rsid w:val="00F1067C"/>
    <w:rsid w:val="00F106DE"/>
    <w:rsid w:val="00F1299C"/>
    <w:rsid w:val="00F21EC4"/>
    <w:rsid w:val="00F238DE"/>
    <w:rsid w:val="00F2479C"/>
    <w:rsid w:val="00F25A2A"/>
    <w:rsid w:val="00F30F88"/>
    <w:rsid w:val="00F318A6"/>
    <w:rsid w:val="00F32D1D"/>
    <w:rsid w:val="00F35A82"/>
    <w:rsid w:val="00F371F1"/>
    <w:rsid w:val="00F4532F"/>
    <w:rsid w:val="00F45CC6"/>
    <w:rsid w:val="00F502B8"/>
    <w:rsid w:val="00F517AE"/>
    <w:rsid w:val="00F51A79"/>
    <w:rsid w:val="00F52EFE"/>
    <w:rsid w:val="00F53CE3"/>
    <w:rsid w:val="00F53D7A"/>
    <w:rsid w:val="00F60DBC"/>
    <w:rsid w:val="00F62127"/>
    <w:rsid w:val="00F640BB"/>
    <w:rsid w:val="00F7090D"/>
    <w:rsid w:val="00F7266A"/>
    <w:rsid w:val="00F8255A"/>
    <w:rsid w:val="00F82F38"/>
    <w:rsid w:val="00F86C49"/>
    <w:rsid w:val="00F94909"/>
    <w:rsid w:val="00F94AF0"/>
    <w:rsid w:val="00F95259"/>
    <w:rsid w:val="00FA2EA3"/>
    <w:rsid w:val="00FA4AFD"/>
    <w:rsid w:val="00FA5636"/>
    <w:rsid w:val="00FA580F"/>
    <w:rsid w:val="00FB2277"/>
    <w:rsid w:val="00FB23CF"/>
    <w:rsid w:val="00FB4814"/>
    <w:rsid w:val="00FB4ADF"/>
    <w:rsid w:val="00FB6D14"/>
    <w:rsid w:val="00FC03D8"/>
    <w:rsid w:val="00FC073F"/>
    <w:rsid w:val="00FC1C64"/>
    <w:rsid w:val="00FD23B4"/>
    <w:rsid w:val="00FD66E8"/>
    <w:rsid w:val="00FD79DA"/>
    <w:rsid w:val="00FD7E1E"/>
    <w:rsid w:val="00FE1BCF"/>
    <w:rsid w:val="00FE2F0A"/>
    <w:rsid w:val="00FE5C51"/>
    <w:rsid w:val="00FF0514"/>
    <w:rsid w:val="00FF1BFD"/>
    <w:rsid w:val="00FF4847"/>
    <w:rsid w:val="00FF7A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BDF557"/>
  <w15:docId w15:val="{3CAD242D-75EA-2941-8498-533B81FC8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555444"/>
    <w:rPr>
      <w:color w:val="0563C1"/>
      <w:u w:val="single"/>
    </w:rPr>
  </w:style>
  <w:style w:type="character" w:styleId="FollowedHyperlink">
    <w:name w:val="FollowedHyperlink"/>
    <w:basedOn w:val="DefaultParagraphFont"/>
    <w:uiPriority w:val="99"/>
    <w:semiHidden/>
    <w:unhideWhenUsed/>
    <w:rsid w:val="00555444"/>
    <w:rPr>
      <w:color w:val="954F72"/>
      <w:u w:val="single"/>
    </w:rPr>
  </w:style>
  <w:style w:type="paragraph" w:customStyle="1" w:styleId="msonormal0">
    <w:name w:val="msonormal"/>
    <w:basedOn w:val="Normal"/>
    <w:rsid w:val="00555444"/>
    <w:pPr>
      <w:spacing w:before="100" w:beforeAutospacing="1" w:after="100" w:afterAutospacing="1"/>
    </w:pPr>
    <w:rPr>
      <w:rFonts w:ascii="Times New Roman" w:eastAsia="Times New Roman" w:hAnsi="Times New Roman" w:cs="Times New Roman"/>
    </w:rPr>
  </w:style>
  <w:style w:type="paragraph" w:customStyle="1" w:styleId="xl63">
    <w:name w:val="xl63"/>
    <w:basedOn w:val="Normal"/>
    <w:rsid w:val="00555444"/>
    <w:pPr>
      <w:spacing w:before="100" w:beforeAutospacing="1" w:after="100" w:afterAutospacing="1"/>
      <w:textAlignment w:val="top"/>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4F1F2C"/>
    <w:pPr>
      <w:tabs>
        <w:tab w:val="center" w:pos="4513"/>
        <w:tab w:val="right" w:pos="9026"/>
      </w:tabs>
    </w:pPr>
  </w:style>
  <w:style w:type="character" w:customStyle="1" w:styleId="HeaderChar">
    <w:name w:val="Header Char"/>
    <w:basedOn w:val="DefaultParagraphFont"/>
    <w:link w:val="Header"/>
    <w:uiPriority w:val="99"/>
    <w:rsid w:val="004F1F2C"/>
  </w:style>
  <w:style w:type="paragraph" w:styleId="Footer">
    <w:name w:val="footer"/>
    <w:basedOn w:val="Normal"/>
    <w:link w:val="FooterChar"/>
    <w:uiPriority w:val="99"/>
    <w:unhideWhenUsed/>
    <w:rsid w:val="004F1F2C"/>
    <w:pPr>
      <w:tabs>
        <w:tab w:val="center" w:pos="4513"/>
        <w:tab w:val="right" w:pos="9026"/>
      </w:tabs>
    </w:pPr>
  </w:style>
  <w:style w:type="character" w:customStyle="1" w:styleId="FooterChar">
    <w:name w:val="Footer Char"/>
    <w:basedOn w:val="DefaultParagraphFont"/>
    <w:link w:val="Footer"/>
    <w:uiPriority w:val="99"/>
    <w:rsid w:val="004F1F2C"/>
  </w:style>
  <w:style w:type="paragraph" w:styleId="ListParagraph">
    <w:name w:val="List Paragraph"/>
    <w:basedOn w:val="Normal"/>
    <w:uiPriority w:val="34"/>
    <w:qFormat/>
    <w:rsid w:val="00447FD9"/>
    <w:pPr>
      <w:ind w:left="720"/>
      <w:contextualSpacing/>
    </w:pPr>
  </w:style>
  <w:style w:type="table" w:styleId="TableGrid">
    <w:name w:val="Table Grid"/>
    <w:basedOn w:val="TableNormal"/>
    <w:uiPriority w:val="39"/>
    <w:rsid w:val="00A92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2172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VvIN7BuY6EvFWVm6lZdnYOoKqZA==">AMUW2mUp6wej+ElxDGTqeWDrf60bGQhQIkcdqUt8adSQdhrLet72P55+xPf9zHcoFerBQHt9C+LTGEcnABrfLCC1EBoItfOSDHLvx98YQOyLTQlEPzxNqj8=</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87DA0E74580B2A46AEDCC957C5B5CBE9" ma:contentTypeVersion="2" ma:contentTypeDescription="Create a new document." ma:contentTypeScope="" ma:versionID="b0c54d8b83b61b8d70e90cc876749564">
  <xsd:schema xmlns:xsd="http://www.w3.org/2001/XMLSchema" xmlns:xs="http://www.w3.org/2001/XMLSchema" xmlns:p="http://schemas.microsoft.com/office/2006/metadata/properties" xmlns:ns2="4340291b-8978-46b8-8ee0-aa36f8d1feb9" targetNamespace="http://schemas.microsoft.com/office/2006/metadata/properties" ma:root="true" ma:fieldsID="5e810bea44ed8b7619e8d867dab3f6e0" ns2:_="">
    <xsd:import namespace="4340291b-8978-46b8-8ee0-aa36f8d1feb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40291b-8978-46b8-8ee0-aa36f8d1f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FF1073F-44A7-4CB3-BFC3-E4E7AB9DAC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40291b-8978-46b8-8ee0-aa36f8d1f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9F3E37-E365-45CB-A415-4721BE7A1684}">
  <ds:schemaRefs>
    <ds:schemaRef ds:uri="http://schemas.microsoft.com/sharepoint/v3/contenttype/forms"/>
  </ds:schemaRefs>
</ds:datastoreItem>
</file>

<file path=customXml/itemProps4.xml><?xml version="1.0" encoding="utf-8"?>
<ds:datastoreItem xmlns:ds="http://schemas.openxmlformats.org/officeDocument/2006/customXml" ds:itemID="{7CE0D06F-694A-4D54-A7B7-1620FD861BB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20</Pages>
  <Words>13928</Words>
  <Characters>79391</Characters>
  <Application>Microsoft Office Word</Application>
  <DocSecurity>0</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Delaney, Brendan C</dc:creator>
  <cp:lastModifiedBy>Nawar Bakerly</cp:lastModifiedBy>
  <cp:revision>18</cp:revision>
  <dcterms:created xsi:type="dcterms:W3CDTF">2023-08-29T12:37:00Z</dcterms:created>
  <dcterms:modified xsi:type="dcterms:W3CDTF">2023-09-17T20:19:00Z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0x01010087DA0E74580B2A46AEDCC957C5B5CBE9</vt:lpwstr>
  </property>
</Properties>
</file>