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1A83" w14:textId="77777777" w:rsidR="006E1F05" w:rsidRDefault="006E1F05" w:rsidP="006E1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D42BE">
        <w:rPr>
          <w:rFonts w:ascii="Times New Roman" w:hAnsi="Times New Roman" w:cs="Times New Roman"/>
          <w:sz w:val="24"/>
          <w:szCs w:val="24"/>
        </w:rPr>
        <w:t xml:space="preserve">upplemental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D42BE">
        <w:rPr>
          <w:rFonts w:ascii="Times New Roman" w:hAnsi="Times New Roman" w:cs="Times New Roman"/>
          <w:sz w:val="24"/>
          <w:szCs w:val="24"/>
        </w:rPr>
        <w:t>igure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4"/>
        <w:gridCol w:w="4272"/>
      </w:tblGrid>
      <w:tr w:rsidR="006E1F05" w14:paraId="5BA0939C" w14:textId="77777777" w:rsidTr="008E58C6">
        <w:tc>
          <w:tcPr>
            <w:tcW w:w="4034" w:type="dxa"/>
          </w:tcPr>
          <w:p w14:paraId="2990C4BF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3D1049" wp14:editId="55A687C6">
                  <wp:extent cx="2425485" cy="1593778"/>
                  <wp:effectExtent l="0" t="0" r="0" b="6985"/>
                  <wp:docPr id="3500833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724" cy="1616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2" w:type="dxa"/>
          </w:tcPr>
          <w:p w14:paraId="31D88CDC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B3AD2A" wp14:editId="38071639">
                  <wp:extent cx="2576297" cy="1588577"/>
                  <wp:effectExtent l="0" t="0" r="0" b="0"/>
                  <wp:docPr id="103185087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510" cy="1616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BB0A6" w14:textId="77777777" w:rsidR="006E1F05" w:rsidRPr="006C0BDA" w:rsidRDefault="006E1F05" w:rsidP="006E1F0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0BDA">
        <w:rPr>
          <w:rFonts w:ascii="Times New Roman" w:hAnsi="Times New Roman" w:cs="Times New Roman"/>
          <w:sz w:val="24"/>
          <w:szCs w:val="24"/>
        </w:rPr>
        <w:t>Supplementary Figure 1</w:t>
      </w:r>
    </w:p>
    <w:p w14:paraId="04C49624" w14:textId="77777777" w:rsidR="006E1F05" w:rsidRDefault="006E1F05" w:rsidP="006E1F05">
      <w:pPr>
        <w:jc w:val="left"/>
        <w:rPr>
          <w:rFonts w:ascii="Times New Roman" w:hAnsi="Times New Roman" w:cs="Times New Roman"/>
          <w:sz w:val="24"/>
          <w:szCs w:val="24"/>
        </w:rPr>
      </w:pPr>
      <w:r w:rsidRPr="006C0BDA">
        <w:rPr>
          <w:rFonts w:ascii="Times New Roman" w:hAnsi="Times New Roman" w:cs="Times New Roman"/>
          <w:sz w:val="24"/>
          <w:szCs w:val="24"/>
        </w:rPr>
        <w:t>Kaplan-Meier analyses of progression-free survival and overall survival according to BCLC stage (B and C) in the patients receiving dual therapy of PD-1 inhibitor and TACE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4191"/>
      </w:tblGrid>
      <w:tr w:rsidR="006E1F05" w14:paraId="1AD8D030" w14:textId="77777777" w:rsidTr="008E58C6">
        <w:tc>
          <w:tcPr>
            <w:tcW w:w="4115" w:type="dxa"/>
          </w:tcPr>
          <w:p w14:paraId="04C0A1A6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EC6D31" wp14:editId="4325942B">
                  <wp:extent cx="2560320" cy="1682794"/>
                  <wp:effectExtent l="0" t="0" r="0" b="0"/>
                  <wp:docPr id="4502062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285" cy="1693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1" w:type="dxa"/>
          </w:tcPr>
          <w:p w14:paraId="6D06041D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B20546" wp14:editId="2F811C22">
                  <wp:extent cx="2609883" cy="1672675"/>
                  <wp:effectExtent l="0" t="0" r="0" b="3810"/>
                  <wp:docPr id="110271501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560" cy="1685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77A76" w14:textId="77777777" w:rsidR="006E1F05" w:rsidRPr="006C0BDA" w:rsidRDefault="006E1F05" w:rsidP="006E1F05">
      <w:pPr>
        <w:jc w:val="center"/>
        <w:rPr>
          <w:rFonts w:ascii="Times New Roman" w:hAnsi="Times New Roman" w:cs="Times New Roman"/>
          <w:sz w:val="22"/>
        </w:rPr>
      </w:pPr>
      <w:r w:rsidRPr="006C0BDA">
        <w:rPr>
          <w:rFonts w:ascii="Times New Roman" w:hAnsi="Times New Roman" w:cs="Times New Roman"/>
          <w:sz w:val="22"/>
        </w:rPr>
        <w:t>Supplementary Figure 2</w:t>
      </w:r>
    </w:p>
    <w:p w14:paraId="3BE1BD1C" w14:textId="77777777" w:rsidR="006E1F05" w:rsidRPr="009332FF" w:rsidRDefault="006E1F05" w:rsidP="006E1F05">
      <w:pPr>
        <w:rPr>
          <w:rFonts w:ascii="Times New Roman" w:hAnsi="Times New Roman" w:cs="Times New Roman"/>
          <w:sz w:val="24"/>
          <w:szCs w:val="24"/>
        </w:rPr>
      </w:pPr>
      <w:r w:rsidRPr="006C0BDA">
        <w:rPr>
          <w:rFonts w:ascii="Times New Roman" w:hAnsi="Times New Roman" w:cs="Times New Roman"/>
          <w:sz w:val="22"/>
        </w:rPr>
        <w:t xml:space="preserve">Kaplan-Meier analyses of progression-free survival and overall survival according to </w:t>
      </w:r>
      <w:r>
        <w:rPr>
          <w:rFonts w:ascii="Times New Roman" w:hAnsi="Times New Roman" w:cs="Times New Roman"/>
          <w:sz w:val="22"/>
        </w:rPr>
        <w:t>t</w:t>
      </w:r>
      <w:r w:rsidRPr="006C0BDA">
        <w:rPr>
          <w:rFonts w:ascii="Times New Roman" w:hAnsi="Times New Roman" w:cs="Times New Roman"/>
          <w:sz w:val="22"/>
        </w:rPr>
        <w:t>he sequence of use of PD-1 inhibitor and TACE</w:t>
      </w:r>
      <w:r>
        <w:rPr>
          <w:rFonts w:ascii="Times New Roman" w:hAnsi="Times New Roman" w:cs="Times New Roman"/>
          <w:sz w:val="22"/>
        </w:rPr>
        <w:t xml:space="preserve"> </w:t>
      </w:r>
      <w:r w:rsidRPr="006C0BDA">
        <w:rPr>
          <w:rFonts w:ascii="Times New Roman" w:hAnsi="Times New Roman" w:cs="Times New Roman"/>
          <w:sz w:val="22"/>
        </w:rPr>
        <w:t>(TACE in front and PD-1 inhibitor in front) in the patients receiving dual therapy of PD-1 inhibitor and TACE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4089"/>
      </w:tblGrid>
      <w:tr w:rsidR="006E1F05" w14:paraId="1CE3290C" w14:textId="77777777" w:rsidTr="008E58C6">
        <w:tc>
          <w:tcPr>
            <w:tcW w:w="4217" w:type="dxa"/>
          </w:tcPr>
          <w:p w14:paraId="5E20B682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2105B1" wp14:editId="18E419C4">
                  <wp:extent cx="2834095" cy="1799641"/>
                  <wp:effectExtent l="0" t="0" r="4445" b="0"/>
                  <wp:docPr id="60610318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586" cy="1810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9" w:type="dxa"/>
          </w:tcPr>
          <w:p w14:paraId="2806832D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BD2C1B" wp14:editId="5151A840">
                  <wp:extent cx="2747187" cy="1795112"/>
                  <wp:effectExtent l="0" t="0" r="0" b="0"/>
                  <wp:docPr id="3880302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376" cy="180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A60B7" w14:textId="77777777" w:rsidR="006E1F05" w:rsidRPr="00D15357" w:rsidRDefault="006E1F05" w:rsidP="006E1F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357">
        <w:rPr>
          <w:rFonts w:ascii="Times New Roman" w:hAnsi="Times New Roman" w:cs="Times New Roman"/>
          <w:sz w:val="24"/>
          <w:szCs w:val="24"/>
        </w:rPr>
        <w:t>Supplementary Figure 3</w:t>
      </w:r>
    </w:p>
    <w:p w14:paraId="104D1E88" w14:textId="77777777" w:rsidR="006E1F05" w:rsidRPr="009332FF" w:rsidRDefault="006E1F05" w:rsidP="006E1F05">
      <w:pPr>
        <w:rPr>
          <w:rFonts w:ascii="Times New Roman" w:hAnsi="Times New Roman" w:cs="Times New Roman"/>
          <w:sz w:val="24"/>
          <w:szCs w:val="24"/>
        </w:rPr>
      </w:pPr>
      <w:r w:rsidRPr="00D15357">
        <w:rPr>
          <w:rFonts w:ascii="Times New Roman" w:hAnsi="Times New Roman" w:cs="Times New Roman"/>
          <w:sz w:val="24"/>
          <w:szCs w:val="24"/>
        </w:rPr>
        <w:t>Kaplan-Meier analyses of progression-free survival and overall survival according to different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15357">
        <w:rPr>
          <w:rFonts w:ascii="Times New Roman" w:hAnsi="Times New Roman" w:cs="Times New Roman"/>
          <w:sz w:val="24"/>
          <w:szCs w:val="24"/>
        </w:rPr>
        <w:t>PD-1 inhibitors (Tislelizumab and Camrelizumab) in the patients receiving dual therapy of PD-1 inhibitor and TACE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4164"/>
      </w:tblGrid>
      <w:tr w:rsidR="006E1F05" w14:paraId="04347631" w14:textId="77777777" w:rsidTr="008E58C6">
        <w:tc>
          <w:tcPr>
            <w:tcW w:w="4142" w:type="dxa"/>
          </w:tcPr>
          <w:p w14:paraId="7998F6E8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4B0920B" wp14:editId="44DF84F7">
                  <wp:extent cx="2579571" cy="1659789"/>
                  <wp:effectExtent l="0" t="0" r="0" b="0"/>
                  <wp:docPr id="18643137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93" cy="1673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14:paraId="7C4528A0" w14:textId="77777777" w:rsidR="006E1F05" w:rsidRDefault="006E1F05" w:rsidP="008E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FCD0D2" wp14:editId="76E3E100">
                  <wp:extent cx="2594280" cy="1697756"/>
                  <wp:effectExtent l="0" t="0" r="0" b="0"/>
                  <wp:docPr id="171919123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59" cy="1705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6F736" w14:textId="77777777" w:rsidR="006E1F05" w:rsidRPr="007D034C" w:rsidRDefault="006E1F05" w:rsidP="006E1F0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705890"/>
      <w:r w:rsidRPr="007D034C">
        <w:rPr>
          <w:rFonts w:ascii="Times New Roman" w:hAnsi="Times New Roman" w:cs="Times New Roman"/>
          <w:sz w:val="24"/>
          <w:szCs w:val="24"/>
        </w:rPr>
        <w:t>Supplementary Figure 4</w:t>
      </w:r>
    </w:p>
    <w:p w14:paraId="2AF5C651" w14:textId="7F66C268" w:rsidR="00673384" w:rsidRDefault="006E1F05" w:rsidP="006E1F05">
      <w:pPr>
        <w:rPr>
          <w:rFonts w:ascii="Times New Roman" w:hAnsi="Times New Roman" w:cs="Times New Roman"/>
          <w:sz w:val="24"/>
          <w:szCs w:val="24"/>
        </w:rPr>
      </w:pPr>
      <w:bookmarkStart w:id="1" w:name="_Hlk145705915"/>
      <w:bookmarkEnd w:id="0"/>
      <w:r w:rsidRPr="007D034C">
        <w:rPr>
          <w:rFonts w:ascii="Times New Roman" w:hAnsi="Times New Roman" w:cs="Times New Roman"/>
          <w:sz w:val="24"/>
          <w:szCs w:val="24"/>
        </w:rPr>
        <w:t>Kaplan-Meier analyses of progression-free survival and overall survival according to different TACE type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D034C">
        <w:rPr>
          <w:rFonts w:ascii="Times New Roman" w:hAnsi="Times New Roman" w:cs="Times New Roman"/>
          <w:sz w:val="24"/>
          <w:szCs w:val="24"/>
        </w:rPr>
        <w:t xml:space="preserve"> (c-TACE and DEB-TACE) in the patients receiving dual therapy of PD-1 inhibitor and TACE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  <w:gridCol w:w="4162"/>
      </w:tblGrid>
      <w:tr w:rsidR="00AF1348" w14:paraId="3A2DBF16" w14:textId="77777777" w:rsidTr="00AF1348">
        <w:tc>
          <w:tcPr>
            <w:tcW w:w="4148" w:type="dxa"/>
          </w:tcPr>
          <w:bookmarkEnd w:id="1"/>
          <w:p w14:paraId="356076BC" w14:textId="34C2758E" w:rsidR="00AF1348" w:rsidRDefault="00AF1348" w:rsidP="006E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39DD21" wp14:editId="1F5BE506">
                  <wp:extent cx="2579370" cy="1869821"/>
                  <wp:effectExtent l="0" t="0" r="0" b="0"/>
                  <wp:docPr id="175196964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406" cy="188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50B7E735" w14:textId="0D762009" w:rsidR="00AF1348" w:rsidRDefault="00D43DFE" w:rsidP="006E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DE3BC9" wp14:editId="1011F3F9">
                  <wp:extent cx="2583915" cy="1928116"/>
                  <wp:effectExtent l="0" t="0" r="6985" b="0"/>
                  <wp:docPr id="172087570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898" cy="194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D84A5" w14:textId="5E6E7702" w:rsidR="00846BEF" w:rsidRPr="007D034C" w:rsidRDefault="00846BEF" w:rsidP="00D43DFE">
      <w:pPr>
        <w:jc w:val="center"/>
        <w:rPr>
          <w:rFonts w:ascii="Times New Roman" w:hAnsi="Times New Roman" w:cs="Times New Roman"/>
          <w:sz w:val="24"/>
          <w:szCs w:val="24"/>
        </w:rPr>
      </w:pPr>
      <w:r w:rsidRPr="007D034C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A52923F" w14:textId="7D9EFCA0" w:rsidR="00846BEF" w:rsidRPr="00846BEF" w:rsidRDefault="00846BEF" w:rsidP="00846BEF">
      <w:pPr>
        <w:rPr>
          <w:rFonts w:ascii="Times New Roman" w:hAnsi="Times New Roman" w:cs="Times New Roman"/>
          <w:sz w:val="24"/>
          <w:szCs w:val="24"/>
        </w:rPr>
      </w:pPr>
      <w:r w:rsidRPr="00846BEF">
        <w:rPr>
          <w:rFonts w:ascii="Times New Roman" w:hAnsi="Times New Roman" w:cs="Times New Roman"/>
          <w:sz w:val="24"/>
          <w:szCs w:val="24"/>
        </w:rPr>
        <w:t>Kaplan-Meier analyses of progression-free survival and overall survival according to AFP(AFP</w:t>
      </w:r>
      <w:r w:rsidRPr="00846BEF">
        <w:rPr>
          <w:rFonts w:ascii="Times New Roman" w:hAnsi="Times New Roman" w:cs="Times New Roman"/>
          <w:sz w:val="24"/>
          <w:szCs w:val="24"/>
        </w:rPr>
        <w:t>＜</w:t>
      </w:r>
      <w:r w:rsidRPr="00846BEF">
        <w:rPr>
          <w:rFonts w:ascii="Times New Roman" w:hAnsi="Times New Roman" w:cs="Times New Roman"/>
          <w:sz w:val="24"/>
          <w:szCs w:val="24"/>
        </w:rPr>
        <w:t>400</w:t>
      </w:r>
      <w:r w:rsidR="00FD17A9">
        <w:rPr>
          <w:rFonts w:ascii="Times New Roman" w:hAnsi="Times New Roman" w:cs="Times New Roman"/>
          <w:sz w:val="24"/>
          <w:szCs w:val="24"/>
        </w:rPr>
        <w:t>ng/ml</w:t>
      </w:r>
      <w:r w:rsidRPr="00846BEF">
        <w:rPr>
          <w:rFonts w:ascii="Times New Roman" w:hAnsi="Times New Roman" w:cs="Times New Roman"/>
          <w:sz w:val="24"/>
          <w:szCs w:val="24"/>
        </w:rPr>
        <w:t xml:space="preserve"> and AFP≥400</w:t>
      </w:r>
      <w:r w:rsidR="00FD17A9">
        <w:rPr>
          <w:rFonts w:ascii="Times New Roman" w:hAnsi="Times New Roman" w:cs="Times New Roman"/>
          <w:sz w:val="24"/>
          <w:szCs w:val="24"/>
        </w:rPr>
        <w:t>ng/ml</w:t>
      </w:r>
      <w:r w:rsidRPr="00846BEF">
        <w:rPr>
          <w:rFonts w:ascii="Times New Roman" w:hAnsi="Times New Roman" w:cs="Times New Roman"/>
          <w:sz w:val="24"/>
          <w:szCs w:val="24"/>
        </w:rPr>
        <w:t>) in the patients receiving dual therapy of PD-1 inhibitor and TACE</w:t>
      </w:r>
    </w:p>
    <w:sectPr w:rsidR="00846BEF" w:rsidRPr="00846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4F37F" w14:textId="77777777" w:rsidR="00DD5F73" w:rsidRDefault="00DD5F73" w:rsidP="006E1F05">
      <w:r>
        <w:separator/>
      </w:r>
    </w:p>
  </w:endnote>
  <w:endnote w:type="continuationSeparator" w:id="0">
    <w:p w14:paraId="10D047E8" w14:textId="77777777" w:rsidR="00DD5F73" w:rsidRDefault="00DD5F73" w:rsidP="006E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F21A1" w14:textId="77777777" w:rsidR="00DD5F73" w:rsidRDefault="00DD5F73" w:rsidP="006E1F05">
      <w:r>
        <w:separator/>
      </w:r>
    </w:p>
  </w:footnote>
  <w:footnote w:type="continuationSeparator" w:id="0">
    <w:p w14:paraId="7FE2EA5B" w14:textId="77777777" w:rsidR="00DD5F73" w:rsidRDefault="00DD5F73" w:rsidP="006E1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FC"/>
    <w:rsid w:val="00263323"/>
    <w:rsid w:val="00331529"/>
    <w:rsid w:val="00673384"/>
    <w:rsid w:val="006E1F05"/>
    <w:rsid w:val="007B797E"/>
    <w:rsid w:val="00846BEF"/>
    <w:rsid w:val="00AB2790"/>
    <w:rsid w:val="00AF1348"/>
    <w:rsid w:val="00C50FFC"/>
    <w:rsid w:val="00D43DFE"/>
    <w:rsid w:val="00DD478A"/>
    <w:rsid w:val="00DD5F73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385D2"/>
  <w15:chartTrackingRefBased/>
  <w15:docId w15:val="{199AB2E9-2B28-42F4-9102-E6C2C37B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F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1F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1F05"/>
    <w:rPr>
      <w:sz w:val="18"/>
      <w:szCs w:val="18"/>
    </w:rPr>
  </w:style>
  <w:style w:type="table" w:styleId="a7">
    <w:name w:val="Table Grid"/>
    <w:basedOn w:val="a1"/>
    <w:uiPriority w:val="39"/>
    <w:rsid w:val="006E1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jiu</dc:creator>
  <cp:keywords/>
  <dc:description/>
  <cp:lastModifiedBy>QQ 刘</cp:lastModifiedBy>
  <cp:revision>7</cp:revision>
  <dcterms:created xsi:type="dcterms:W3CDTF">2023-09-15T05:31:00Z</dcterms:created>
  <dcterms:modified xsi:type="dcterms:W3CDTF">2023-09-16T08:06:00Z</dcterms:modified>
</cp:coreProperties>
</file>