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9C47A9" w14:textId="3818A2AF" w:rsidR="001377A5" w:rsidRPr="003A5535" w:rsidRDefault="001377A5" w:rsidP="003E160D">
      <w:pPr>
        <w:jc w:val="center"/>
        <w:rPr>
          <w:rFonts w:ascii="Times New Roman" w:hAnsi="Times New Roman" w:cs="Times New Roman"/>
          <w:sz w:val="40"/>
          <w:szCs w:val="40"/>
        </w:rPr>
      </w:pPr>
      <w:r w:rsidRPr="003A5535">
        <w:rPr>
          <w:rFonts w:ascii="Times New Roman" w:hAnsi="Times New Roman" w:cs="Times New Roman"/>
          <w:sz w:val="40"/>
          <w:szCs w:val="40"/>
        </w:rPr>
        <w:t>Supplementary material</w:t>
      </w:r>
      <w:r w:rsidR="005801DF" w:rsidRPr="003A5535">
        <w:rPr>
          <w:rFonts w:ascii="Times New Roman" w:hAnsi="Times New Roman" w:cs="Times New Roman"/>
          <w:sz w:val="40"/>
          <w:szCs w:val="40"/>
        </w:rPr>
        <w:t xml:space="preserve"> </w:t>
      </w:r>
    </w:p>
    <w:p w14:paraId="40774AD3" w14:textId="77777777" w:rsidR="004E346D" w:rsidRPr="003E160D" w:rsidRDefault="004E346D" w:rsidP="003E160D">
      <w:pPr>
        <w:jc w:val="center"/>
        <w:rPr>
          <w:rFonts w:ascii="Times New Roman" w:hAnsi="Times New Roman" w:cs="Times New Roman"/>
          <w:sz w:val="36"/>
          <w:szCs w:val="36"/>
        </w:rPr>
      </w:pPr>
    </w:p>
    <w:p w14:paraId="22AD2697" w14:textId="139892DD" w:rsidR="00A651E3" w:rsidRPr="005F0BFE" w:rsidRDefault="004E346D" w:rsidP="005F0BFE">
      <w:pPr>
        <w:jc w:val="center"/>
        <w:rPr>
          <w:rFonts w:ascii="Times New Roman" w:hAnsi="Times New Roman" w:cs="Times New Roman"/>
          <w:b/>
          <w:sz w:val="24"/>
          <w:szCs w:val="24"/>
        </w:rPr>
      </w:pPr>
      <w:r>
        <w:rPr>
          <w:rFonts w:ascii="Times New Roman" w:hAnsi="Times New Roman" w:cs="Times New Roman"/>
          <w:b/>
          <w:sz w:val="24"/>
          <w:szCs w:val="24"/>
        </w:rPr>
        <w:t>BITE FORCE CALCULATION</w:t>
      </w:r>
    </w:p>
    <w:p w14:paraId="127B02A1" w14:textId="39118EB3" w:rsidR="009A562F" w:rsidRDefault="009A562F" w:rsidP="009A562F">
      <w:pPr>
        <w:spacing w:line="480" w:lineRule="auto"/>
        <w:rPr>
          <w:rFonts w:ascii="Times New Roman" w:hAnsi="Times New Roman" w:cs="Times New Roman"/>
          <w:i/>
          <w:sz w:val="24"/>
          <w:szCs w:val="24"/>
        </w:rPr>
      </w:pPr>
      <w:r>
        <w:rPr>
          <w:rFonts w:ascii="Times New Roman" w:hAnsi="Times New Roman" w:cs="Times New Roman"/>
          <w:i/>
          <w:sz w:val="24"/>
          <w:szCs w:val="24"/>
        </w:rPr>
        <w:t>Material characterisation</w:t>
      </w:r>
    </w:p>
    <w:p w14:paraId="14208487" w14:textId="387F4B0A" w:rsidR="009A562F" w:rsidRDefault="009A562F" w:rsidP="009A562F">
      <w:pPr>
        <w:spacing w:line="480" w:lineRule="auto"/>
        <w:jc w:val="both"/>
        <w:rPr>
          <w:rFonts w:ascii="Times New Roman" w:hAnsi="Times New Roman" w:cs="Times New Roman"/>
          <w:iCs/>
          <w:sz w:val="24"/>
          <w:szCs w:val="24"/>
        </w:rPr>
      </w:pPr>
      <w:r>
        <w:rPr>
          <w:rFonts w:ascii="Times New Roman" w:hAnsi="Times New Roman" w:cs="Times New Roman"/>
          <w:i/>
          <w:sz w:val="24"/>
          <w:szCs w:val="24"/>
        </w:rPr>
        <w:tab/>
      </w:r>
      <w:r>
        <w:rPr>
          <w:rFonts w:ascii="Times New Roman" w:hAnsi="Times New Roman" w:cs="Times New Roman"/>
          <w:iCs/>
          <w:sz w:val="24"/>
          <w:szCs w:val="24"/>
        </w:rPr>
        <w:t xml:space="preserve">The rubber </w:t>
      </w:r>
      <w:r w:rsidR="007D15F5">
        <w:rPr>
          <w:rFonts w:ascii="Times New Roman" w:hAnsi="Times New Roman" w:cs="Times New Roman"/>
          <w:iCs/>
          <w:sz w:val="24"/>
          <w:szCs w:val="24"/>
        </w:rPr>
        <w:t>sample</w:t>
      </w:r>
      <w:r>
        <w:rPr>
          <w:rFonts w:ascii="Times New Roman" w:hAnsi="Times New Roman" w:cs="Times New Roman"/>
          <w:iCs/>
          <w:sz w:val="24"/>
          <w:szCs w:val="24"/>
        </w:rPr>
        <w:t xml:space="preserve"> </w:t>
      </w:r>
      <w:r w:rsidR="007D15F5">
        <w:rPr>
          <w:rFonts w:ascii="Times New Roman" w:hAnsi="Times New Roman" w:cs="Times New Roman"/>
          <w:iCs/>
          <w:sz w:val="24"/>
          <w:szCs w:val="24"/>
        </w:rPr>
        <w:t>was</w:t>
      </w:r>
      <w:r>
        <w:rPr>
          <w:rFonts w:ascii="Times New Roman" w:hAnsi="Times New Roman" w:cs="Times New Roman"/>
          <w:iCs/>
          <w:sz w:val="24"/>
          <w:szCs w:val="24"/>
        </w:rPr>
        <w:t xml:space="preserve"> modelled as a visco-hyperelastic material with a near incompressible material response. The material properties of the rubber sample were derived experimentally following the authors previously published protocol. The hyperelastic response was modelled using the phenomenological Ogden model, with the strain energy density function defined as:</w:t>
      </w:r>
    </w:p>
    <w:p w14:paraId="3E88DEB3" w14:textId="77777777" w:rsidR="009A562F" w:rsidRPr="007C2C4F" w:rsidRDefault="009A562F" w:rsidP="009A562F">
      <w:pPr>
        <w:spacing w:line="480" w:lineRule="auto"/>
        <w:ind w:firstLine="720"/>
        <w:jc w:val="center"/>
        <w:rPr>
          <w:rFonts w:cstheme="minorHAnsi"/>
          <w:sz w:val="24"/>
          <w:szCs w:val="24"/>
        </w:rPr>
      </w:pPr>
      <m:oMath>
        <m:r>
          <w:rPr>
            <w:rFonts w:ascii="Cambria Math" w:hAnsi="Cambria Math" w:cstheme="minorHAnsi"/>
            <w:sz w:val="24"/>
            <w:szCs w:val="24"/>
          </w:rPr>
          <m:t>W(</m:t>
        </m:r>
        <m:sSub>
          <m:sSubPr>
            <m:ctrlPr>
              <w:rPr>
                <w:rFonts w:ascii="Cambria Math" w:hAnsi="Cambria Math" w:cstheme="minorHAnsi"/>
                <w:i/>
                <w:sz w:val="24"/>
                <w:szCs w:val="24"/>
              </w:rPr>
            </m:ctrlPr>
          </m:sSubPr>
          <m:e>
            <m:r>
              <w:rPr>
                <w:rFonts w:ascii="Cambria Math" w:hAnsi="Cambria Math" w:cstheme="minorHAnsi"/>
                <w:sz w:val="24"/>
                <w:szCs w:val="24"/>
              </w:rPr>
              <m:t>λ</m:t>
            </m:r>
          </m:e>
          <m:sub>
            <m:r>
              <w:rPr>
                <w:rFonts w:ascii="Cambria Math" w:hAnsi="Cambria Math" w:cstheme="minorHAnsi"/>
                <w:sz w:val="24"/>
                <w:szCs w:val="24"/>
              </w:rPr>
              <m:t>1</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λ</m:t>
            </m:r>
          </m:e>
          <m:sub>
            <m:r>
              <w:rPr>
                <w:rFonts w:ascii="Cambria Math" w:hAnsi="Cambria Math" w:cstheme="minorHAnsi"/>
                <w:sz w:val="24"/>
                <w:szCs w:val="24"/>
              </w:rPr>
              <m:t>2</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λ</m:t>
            </m:r>
          </m:e>
          <m:sub>
            <m:r>
              <w:rPr>
                <w:rFonts w:ascii="Cambria Math" w:hAnsi="Cambria Math" w:cstheme="minorHAnsi"/>
                <w:sz w:val="24"/>
                <w:szCs w:val="24"/>
              </w:rPr>
              <m:t>3</m:t>
            </m:r>
          </m:sub>
        </m:sSub>
        <m:r>
          <w:rPr>
            <w:rFonts w:ascii="Cambria Math" w:hAnsi="Cambria Math" w:cstheme="minorHAnsi"/>
            <w:sz w:val="24"/>
            <w:szCs w:val="24"/>
          </w:rPr>
          <m:t xml:space="preserve">)= </m:t>
        </m:r>
        <m:nary>
          <m:naryPr>
            <m:chr m:val="∑"/>
            <m:limLoc m:val="undOvr"/>
            <m:ctrlPr>
              <w:rPr>
                <w:rFonts w:ascii="Cambria Math" w:hAnsi="Cambria Math" w:cstheme="minorHAnsi"/>
                <w:i/>
                <w:sz w:val="24"/>
                <w:szCs w:val="24"/>
              </w:rPr>
            </m:ctrlPr>
          </m:naryPr>
          <m:sub>
            <m:r>
              <w:rPr>
                <w:rFonts w:ascii="Cambria Math" w:hAnsi="Cambria Math" w:cstheme="minorHAnsi"/>
                <w:sz w:val="24"/>
                <w:szCs w:val="24"/>
              </w:rPr>
              <m:t>i=1</m:t>
            </m:r>
          </m:sub>
          <m:sup>
            <m:r>
              <w:rPr>
                <w:rFonts w:ascii="Cambria Math" w:hAnsi="Cambria Math" w:cstheme="minorHAnsi"/>
                <w:sz w:val="24"/>
                <w:szCs w:val="24"/>
              </w:rPr>
              <m:t>N</m:t>
            </m:r>
          </m:sup>
          <m:e>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μ</m:t>
                    </m:r>
                  </m:e>
                  <m:sub>
                    <m:r>
                      <w:rPr>
                        <w:rFonts w:ascii="Cambria Math" w:hAnsi="Cambria Math" w:cstheme="minorHAnsi"/>
                        <w:sz w:val="24"/>
                        <w:szCs w:val="24"/>
                      </w:rPr>
                      <m:t>i</m:t>
                    </m:r>
                  </m:sub>
                </m:sSub>
              </m:num>
              <m:den>
                <m:sSub>
                  <m:sSubPr>
                    <m:ctrlPr>
                      <w:rPr>
                        <w:rFonts w:ascii="Cambria Math" w:hAnsi="Cambria Math" w:cstheme="minorHAnsi"/>
                        <w:i/>
                        <w:sz w:val="24"/>
                        <w:szCs w:val="24"/>
                      </w:rPr>
                    </m:ctrlPr>
                  </m:sSubPr>
                  <m:e>
                    <m:r>
                      <w:rPr>
                        <w:rFonts w:ascii="Cambria Math" w:hAnsi="Cambria Math" w:cstheme="minorHAnsi"/>
                        <w:sz w:val="24"/>
                        <w:szCs w:val="24"/>
                      </w:rPr>
                      <m:t>α</m:t>
                    </m:r>
                  </m:e>
                  <m:sub>
                    <m:r>
                      <w:rPr>
                        <w:rFonts w:ascii="Cambria Math" w:hAnsi="Cambria Math" w:cstheme="minorHAnsi"/>
                        <w:sz w:val="24"/>
                        <w:szCs w:val="24"/>
                      </w:rPr>
                      <m:t>i</m:t>
                    </m:r>
                  </m:sub>
                </m:sSub>
              </m:den>
            </m:f>
            <m:r>
              <w:rPr>
                <w:rFonts w:ascii="Cambria Math" w:hAnsi="Cambria Math" w:cstheme="minorHAnsi"/>
                <w:sz w:val="24"/>
                <w:szCs w:val="24"/>
              </w:rPr>
              <m:t>(</m:t>
            </m:r>
            <m:sSubSup>
              <m:sSubSupPr>
                <m:ctrlPr>
                  <w:rPr>
                    <w:rFonts w:ascii="Cambria Math" w:hAnsi="Cambria Math" w:cstheme="minorHAnsi"/>
                    <w:i/>
                    <w:sz w:val="24"/>
                    <w:szCs w:val="24"/>
                  </w:rPr>
                </m:ctrlPr>
              </m:sSubSupPr>
              <m:e>
                <m:r>
                  <w:rPr>
                    <w:rFonts w:ascii="Cambria Math" w:hAnsi="Cambria Math" w:cstheme="minorHAnsi"/>
                    <w:sz w:val="24"/>
                    <w:szCs w:val="24"/>
                  </w:rPr>
                  <m:t>λ</m:t>
                </m:r>
              </m:e>
              <m:sub>
                <m:r>
                  <w:rPr>
                    <w:rFonts w:ascii="Cambria Math" w:hAnsi="Cambria Math" w:cstheme="minorHAnsi"/>
                    <w:sz w:val="24"/>
                    <w:szCs w:val="24"/>
                  </w:rPr>
                  <m:t>1</m:t>
                </m:r>
              </m:sub>
              <m:sup>
                <m:sSub>
                  <m:sSubPr>
                    <m:ctrlPr>
                      <w:rPr>
                        <w:rFonts w:ascii="Cambria Math" w:hAnsi="Cambria Math" w:cstheme="minorHAnsi"/>
                        <w:i/>
                        <w:sz w:val="24"/>
                        <w:szCs w:val="24"/>
                      </w:rPr>
                    </m:ctrlPr>
                  </m:sSubPr>
                  <m:e>
                    <m:r>
                      <w:rPr>
                        <w:rFonts w:ascii="Cambria Math" w:hAnsi="Cambria Math" w:cstheme="minorHAnsi"/>
                        <w:sz w:val="24"/>
                        <w:szCs w:val="24"/>
                      </w:rPr>
                      <m:t>α</m:t>
                    </m:r>
                  </m:e>
                  <m:sub>
                    <m:r>
                      <w:rPr>
                        <w:rFonts w:ascii="Cambria Math" w:hAnsi="Cambria Math" w:cstheme="minorHAnsi"/>
                        <w:sz w:val="24"/>
                        <w:szCs w:val="24"/>
                      </w:rPr>
                      <m:t>i</m:t>
                    </m:r>
                  </m:sub>
                </m:sSub>
              </m:sup>
            </m:sSubSup>
            <m:r>
              <w:rPr>
                <w:rFonts w:ascii="Cambria Math" w:hAnsi="Cambria Math" w:cstheme="minorHAnsi"/>
                <w:sz w:val="24"/>
                <w:szCs w:val="24"/>
              </w:rPr>
              <m:t>+</m:t>
            </m:r>
            <m:sSubSup>
              <m:sSubSupPr>
                <m:ctrlPr>
                  <w:rPr>
                    <w:rFonts w:ascii="Cambria Math" w:hAnsi="Cambria Math" w:cstheme="minorHAnsi"/>
                    <w:i/>
                    <w:sz w:val="24"/>
                    <w:szCs w:val="24"/>
                  </w:rPr>
                </m:ctrlPr>
              </m:sSubSupPr>
              <m:e>
                <m:r>
                  <w:rPr>
                    <w:rFonts w:ascii="Cambria Math" w:hAnsi="Cambria Math" w:cstheme="minorHAnsi"/>
                    <w:sz w:val="24"/>
                    <w:szCs w:val="24"/>
                  </w:rPr>
                  <m:t>λ</m:t>
                </m:r>
              </m:e>
              <m:sub>
                <m:r>
                  <w:rPr>
                    <w:rFonts w:ascii="Cambria Math" w:hAnsi="Cambria Math" w:cstheme="minorHAnsi"/>
                    <w:sz w:val="24"/>
                    <w:szCs w:val="24"/>
                  </w:rPr>
                  <m:t>2</m:t>
                </m:r>
              </m:sub>
              <m:sup>
                <m:sSub>
                  <m:sSubPr>
                    <m:ctrlPr>
                      <w:rPr>
                        <w:rFonts w:ascii="Cambria Math" w:hAnsi="Cambria Math" w:cstheme="minorHAnsi"/>
                        <w:i/>
                        <w:sz w:val="24"/>
                        <w:szCs w:val="24"/>
                      </w:rPr>
                    </m:ctrlPr>
                  </m:sSubPr>
                  <m:e>
                    <m:r>
                      <w:rPr>
                        <w:rFonts w:ascii="Cambria Math" w:hAnsi="Cambria Math" w:cstheme="minorHAnsi"/>
                        <w:sz w:val="24"/>
                        <w:szCs w:val="24"/>
                      </w:rPr>
                      <m:t>α</m:t>
                    </m:r>
                  </m:e>
                  <m:sub>
                    <m:r>
                      <w:rPr>
                        <w:rFonts w:ascii="Cambria Math" w:hAnsi="Cambria Math" w:cstheme="minorHAnsi"/>
                        <w:sz w:val="24"/>
                        <w:szCs w:val="24"/>
                      </w:rPr>
                      <m:t>i</m:t>
                    </m:r>
                  </m:sub>
                </m:sSub>
              </m:sup>
            </m:sSubSup>
            <m:r>
              <w:rPr>
                <w:rFonts w:ascii="Cambria Math" w:hAnsi="Cambria Math" w:cstheme="minorHAnsi"/>
                <w:sz w:val="24"/>
                <w:szCs w:val="24"/>
              </w:rPr>
              <m:t>+</m:t>
            </m:r>
            <m:sSubSup>
              <m:sSubSupPr>
                <m:ctrlPr>
                  <w:rPr>
                    <w:rFonts w:ascii="Cambria Math" w:hAnsi="Cambria Math" w:cstheme="minorHAnsi"/>
                    <w:i/>
                    <w:sz w:val="24"/>
                    <w:szCs w:val="24"/>
                  </w:rPr>
                </m:ctrlPr>
              </m:sSubSupPr>
              <m:e>
                <m:r>
                  <w:rPr>
                    <w:rFonts w:ascii="Cambria Math" w:hAnsi="Cambria Math" w:cstheme="minorHAnsi"/>
                    <w:sz w:val="24"/>
                    <w:szCs w:val="24"/>
                  </w:rPr>
                  <m:t>λ</m:t>
                </m:r>
              </m:e>
              <m:sub>
                <m:r>
                  <w:rPr>
                    <w:rFonts w:ascii="Cambria Math" w:hAnsi="Cambria Math" w:cstheme="minorHAnsi"/>
                    <w:sz w:val="24"/>
                    <w:szCs w:val="24"/>
                  </w:rPr>
                  <m:t>3</m:t>
                </m:r>
              </m:sub>
              <m:sup>
                <m:sSub>
                  <m:sSubPr>
                    <m:ctrlPr>
                      <w:rPr>
                        <w:rFonts w:ascii="Cambria Math" w:hAnsi="Cambria Math" w:cstheme="minorHAnsi"/>
                        <w:i/>
                        <w:sz w:val="24"/>
                        <w:szCs w:val="24"/>
                      </w:rPr>
                    </m:ctrlPr>
                  </m:sSubPr>
                  <m:e>
                    <m:r>
                      <w:rPr>
                        <w:rFonts w:ascii="Cambria Math" w:hAnsi="Cambria Math" w:cstheme="minorHAnsi"/>
                        <w:sz w:val="24"/>
                        <w:szCs w:val="24"/>
                      </w:rPr>
                      <m:t>α</m:t>
                    </m:r>
                  </m:e>
                  <m:sub>
                    <m:r>
                      <w:rPr>
                        <w:rFonts w:ascii="Cambria Math" w:hAnsi="Cambria Math" w:cstheme="minorHAnsi"/>
                        <w:sz w:val="24"/>
                        <w:szCs w:val="24"/>
                      </w:rPr>
                      <m:t>i</m:t>
                    </m:r>
                  </m:sub>
                </m:sSub>
              </m:sup>
            </m:sSubSup>
            <m:r>
              <w:rPr>
                <w:rFonts w:ascii="Cambria Math" w:hAnsi="Cambria Math" w:cstheme="minorHAnsi"/>
                <w:sz w:val="24"/>
                <w:szCs w:val="24"/>
              </w:rPr>
              <m:t>-3)</m:t>
            </m:r>
          </m:e>
        </m:nary>
      </m:oMath>
      <w:r w:rsidRPr="007C2C4F">
        <w:rPr>
          <w:rFonts w:eastAsiaTheme="minorEastAsia" w:cstheme="minorHAnsi"/>
          <w:sz w:val="24"/>
          <w:szCs w:val="24"/>
        </w:rPr>
        <w:tab/>
      </w:r>
      <w:r w:rsidRPr="007C2C4F">
        <w:rPr>
          <w:rFonts w:eastAsiaTheme="minorEastAsia" w:cstheme="minorHAnsi"/>
          <w:sz w:val="24"/>
          <w:szCs w:val="24"/>
        </w:rPr>
        <w:tab/>
      </w:r>
      <w:r w:rsidRPr="007C2C4F">
        <w:rPr>
          <w:rFonts w:eastAsiaTheme="minorEastAsia" w:cstheme="minorHAnsi"/>
          <w:sz w:val="24"/>
          <w:szCs w:val="24"/>
        </w:rPr>
        <w:tab/>
      </w:r>
      <w:r w:rsidRPr="007C2C4F">
        <w:rPr>
          <w:rFonts w:eastAsiaTheme="minorEastAsia" w:cstheme="minorHAnsi"/>
          <w:sz w:val="24"/>
          <w:szCs w:val="24"/>
        </w:rPr>
        <w:tab/>
      </w:r>
      <w:r w:rsidRPr="007C2C4F">
        <w:rPr>
          <w:rFonts w:eastAsiaTheme="minorEastAsia" w:cstheme="minorHAnsi"/>
          <w:sz w:val="24"/>
          <w:szCs w:val="24"/>
        </w:rPr>
        <w:tab/>
        <w:t>(1)</w:t>
      </w:r>
    </w:p>
    <w:p w14:paraId="23D44096" w14:textId="4E1EA9BB" w:rsidR="009A562F" w:rsidRDefault="009A562F" w:rsidP="009A562F">
      <w:pPr>
        <w:spacing w:line="480" w:lineRule="auto"/>
        <w:jc w:val="both"/>
        <w:rPr>
          <w:rFonts w:ascii="Times New Roman" w:eastAsiaTheme="minorEastAsia" w:hAnsi="Times New Roman" w:cs="Times New Roman"/>
          <w:iCs/>
          <w:sz w:val="24"/>
          <w:szCs w:val="24"/>
        </w:rPr>
      </w:pPr>
      <w:r>
        <w:rPr>
          <w:rFonts w:ascii="Times New Roman" w:hAnsi="Times New Roman" w:cs="Times New Roman"/>
          <w:iCs/>
          <w:sz w:val="24"/>
          <w:szCs w:val="24"/>
        </w:rPr>
        <w:t xml:space="preserve">Where N = 1, </w:t>
      </w:r>
      <m:oMath>
        <m:sSub>
          <m:sSubPr>
            <m:ctrlPr>
              <w:rPr>
                <w:rFonts w:ascii="Cambria Math" w:hAnsi="Cambria Math" w:cs="Times New Roman"/>
                <w:i/>
                <w:iCs/>
                <w:sz w:val="24"/>
                <w:szCs w:val="24"/>
              </w:rPr>
            </m:ctrlPr>
          </m:sSubPr>
          <m:e>
            <m:r>
              <w:rPr>
                <w:rFonts w:ascii="Cambria Math" w:hAnsi="Cambria Math" w:cs="Times New Roman"/>
                <w:sz w:val="24"/>
                <w:szCs w:val="24"/>
              </w:rPr>
              <m:t>λ</m:t>
            </m:r>
          </m:e>
          <m:sub>
            <m:r>
              <w:rPr>
                <w:rFonts w:ascii="Cambria Math" w:hAnsi="Cambria Math" w:cs="Times New Roman"/>
                <w:sz w:val="24"/>
                <w:szCs w:val="24"/>
              </w:rPr>
              <m:t>i</m:t>
            </m:r>
          </m:sub>
        </m:sSub>
      </m:oMath>
      <w:r>
        <w:rPr>
          <w:rFonts w:ascii="Times New Roman" w:eastAsiaTheme="minorEastAsia" w:hAnsi="Times New Roman" w:cs="Times New Roman"/>
          <w:iCs/>
          <w:sz w:val="24"/>
          <w:szCs w:val="24"/>
        </w:rPr>
        <w:t xml:space="preserve"> are the principle stretch ratios and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µ</m:t>
            </m:r>
          </m:e>
          <m:sub>
            <m:r>
              <w:rPr>
                <w:rFonts w:ascii="Cambria Math" w:eastAsiaTheme="minorEastAsia" w:hAnsi="Cambria Math" w:cs="Times New Roman"/>
                <w:sz w:val="24"/>
                <w:szCs w:val="24"/>
              </w:rPr>
              <m:t>i</m:t>
            </m:r>
          </m:sub>
        </m:sSub>
      </m:oMath>
      <w:r>
        <w:rPr>
          <w:rFonts w:ascii="Times New Roman" w:eastAsiaTheme="minorEastAsia" w:hAnsi="Times New Roman" w:cs="Times New Roman"/>
          <w:iCs/>
          <w:sz w:val="24"/>
          <w:szCs w:val="24"/>
        </w:rPr>
        <w:t xml:space="preserve"> and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m:t>
            </m:r>
          </m:sub>
        </m:sSub>
      </m:oMath>
      <w:r>
        <w:rPr>
          <w:rFonts w:ascii="Times New Roman" w:eastAsiaTheme="minorEastAsia" w:hAnsi="Times New Roman" w:cs="Times New Roman"/>
          <w:iCs/>
          <w:sz w:val="24"/>
          <w:szCs w:val="24"/>
        </w:rPr>
        <w:t xml:space="preserve"> are the phenomenological material constants (4.60 × </w:t>
      </w:r>
      <m:oMath>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5</m:t>
            </m:r>
          </m:sup>
        </m:sSup>
      </m:oMath>
      <w:r>
        <w:rPr>
          <w:rFonts w:ascii="Times New Roman" w:eastAsiaTheme="minorEastAsia" w:hAnsi="Times New Roman" w:cs="Times New Roman"/>
          <w:iCs/>
          <w:sz w:val="24"/>
          <w:szCs w:val="24"/>
        </w:rPr>
        <w:t xml:space="preserve"> and 2.09 Pa, respectively) obtained using least squares optimisation on experimentally measured stress-strain curves (</w:t>
      </w:r>
      <m:oMath>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oMath>
      <w:r>
        <w:rPr>
          <w:rFonts w:ascii="Times New Roman" w:eastAsiaTheme="minorEastAsia" w:hAnsi="Times New Roman" w:cs="Times New Roman"/>
          <w:iCs/>
          <w:sz w:val="24"/>
          <w:szCs w:val="24"/>
        </w:rPr>
        <w:t xml:space="preserve"> = 0.9985)</w:t>
      </w:r>
      <w:r w:rsidR="00250A49">
        <w:rPr>
          <w:rFonts w:ascii="Times New Roman" w:eastAsiaTheme="minorEastAsia" w:hAnsi="Times New Roman" w:cs="Times New Roman"/>
          <w:iCs/>
          <w:sz w:val="24"/>
          <w:szCs w:val="24"/>
        </w:rPr>
        <w:t xml:space="preserve"> (</w:t>
      </w:r>
      <w:r w:rsidR="005801DF">
        <w:rPr>
          <w:rFonts w:ascii="Times New Roman" w:eastAsiaTheme="minorEastAsia" w:hAnsi="Times New Roman" w:cs="Times New Roman"/>
          <w:iCs/>
          <w:sz w:val="24"/>
          <w:szCs w:val="24"/>
        </w:rPr>
        <w:fldChar w:fldCharType="begin"/>
      </w:r>
      <w:r w:rsidR="005801DF">
        <w:rPr>
          <w:rFonts w:ascii="Times New Roman" w:eastAsiaTheme="minorEastAsia" w:hAnsi="Times New Roman" w:cs="Times New Roman"/>
          <w:iCs/>
          <w:sz w:val="24"/>
          <w:szCs w:val="24"/>
        </w:rPr>
        <w:instrText xml:space="preserve"> REF _Ref140135288 \h  \* MERGEFORMAT </w:instrText>
      </w:r>
      <w:r w:rsidR="005801DF">
        <w:rPr>
          <w:rFonts w:ascii="Times New Roman" w:eastAsiaTheme="minorEastAsia" w:hAnsi="Times New Roman" w:cs="Times New Roman"/>
          <w:iCs/>
          <w:sz w:val="24"/>
          <w:szCs w:val="24"/>
        </w:rPr>
      </w:r>
      <w:r w:rsidR="005801DF">
        <w:rPr>
          <w:rFonts w:ascii="Times New Roman" w:eastAsiaTheme="minorEastAsia" w:hAnsi="Times New Roman" w:cs="Times New Roman"/>
          <w:iCs/>
          <w:sz w:val="24"/>
          <w:szCs w:val="24"/>
        </w:rPr>
        <w:fldChar w:fldCharType="separate"/>
      </w:r>
      <w:r w:rsidR="005801DF" w:rsidRPr="005801DF">
        <w:rPr>
          <w:rFonts w:ascii="Times New Roman" w:eastAsiaTheme="minorEastAsia" w:hAnsi="Times New Roman" w:cs="Times New Roman"/>
          <w:iCs/>
          <w:sz w:val="24"/>
          <w:szCs w:val="24"/>
        </w:rPr>
        <w:t>Figure S1</w:t>
      </w:r>
      <w:r w:rsidR="005801DF">
        <w:rPr>
          <w:rFonts w:ascii="Times New Roman" w:eastAsiaTheme="minorEastAsia" w:hAnsi="Times New Roman" w:cs="Times New Roman"/>
          <w:iCs/>
          <w:sz w:val="24"/>
          <w:szCs w:val="24"/>
        </w:rPr>
        <w:fldChar w:fldCharType="end"/>
      </w:r>
      <w:r w:rsidR="005801DF">
        <w:rPr>
          <w:rFonts w:ascii="Times New Roman" w:eastAsiaTheme="minorEastAsia" w:hAnsi="Times New Roman" w:cs="Times New Roman"/>
          <w:iCs/>
          <w:sz w:val="24"/>
          <w:szCs w:val="24"/>
        </w:rPr>
        <w:t>a</w:t>
      </w:r>
      <w:r w:rsidR="00250A49">
        <w:rPr>
          <w:rFonts w:ascii="Times New Roman" w:eastAsiaTheme="minorEastAsia" w:hAnsi="Times New Roman" w:cs="Times New Roman"/>
          <w:iCs/>
          <w:sz w:val="24"/>
          <w:szCs w:val="24"/>
        </w:rPr>
        <w:t>)</w:t>
      </w:r>
      <w:r>
        <w:rPr>
          <w:rFonts w:ascii="Times New Roman" w:eastAsiaTheme="minorEastAsia" w:hAnsi="Times New Roman" w:cs="Times New Roman"/>
          <w:iCs/>
          <w:sz w:val="24"/>
          <w:szCs w:val="24"/>
        </w:rPr>
        <w:t>. The viscoelastic material response was modelled as a second order Prony series, with relaxation modulus given by:</w:t>
      </w:r>
    </w:p>
    <w:p w14:paraId="20BE7FE1" w14:textId="77777777" w:rsidR="009A562F" w:rsidRPr="007C2C4F" w:rsidRDefault="007D15F5" w:rsidP="009A562F">
      <w:pPr>
        <w:spacing w:line="480" w:lineRule="auto"/>
        <w:ind w:firstLine="720"/>
        <w:jc w:val="center"/>
        <w:rPr>
          <w:rFonts w:cstheme="minorHAnsi"/>
          <w:sz w:val="24"/>
          <w:szCs w:val="24"/>
        </w:rPr>
      </w:pPr>
      <m:oMath>
        <m:sSub>
          <m:sSubPr>
            <m:ctrlPr>
              <w:rPr>
                <w:rFonts w:ascii="Cambria Math" w:hAnsi="Cambria Math" w:cstheme="minorHAnsi"/>
                <w:i/>
                <w:sz w:val="24"/>
                <w:szCs w:val="24"/>
              </w:rPr>
            </m:ctrlPr>
          </m:sSubPr>
          <m:e>
            <m:r>
              <w:rPr>
                <w:rFonts w:ascii="Cambria Math" w:hAnsi="Cambria Math" w:cstheme="minorHAnsi"/>
                <w:sz w:val="24"/>
                <w:szCs w:val="24"/>
              </w:rPr>
              <m:t>g</m:t>
            </m:r>
          </m:e>
          <m:sub>
            <m:r>
              <w:rPr>
                <w:rFonts w:ascii="Cambria Math" w:hAnsi="Cambria Math" w:cstheme="minorHAnsi"/>
                <w:sz w:val="24"/>
                <w:szCs w:val="24"/>
              </w:rPr>
              <m:t>R</m:t>
            </m:r>
          </m:sub>
        </m:sSub>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t</m:t>
            </m:r>
          </m:e>
        </m:d>
        <m:r>
          <w:rPr>
            <w:rFonts w:ascii="Cambria Math" w:eastAsiaTheme="minorEastAsia" w:hAnsi="Cambria Math" w:cstheme="minorHAnsi"/>
            <w:sz w:val="24"/>
            <w:szCs w:val="24"/>
          </w:rPr>
          <m:t xml:space="preserve">=1- </m:t>
        </m:r>
        <m:nary>
          <m:naryPr>
            <m:chr m:val="∑"/>
            <m:limLoc m:val="undOvr"/>
            <m:ctrlPr>
              <w:rPr>
                <w:rFonts w:ascii="Cambria Math" w:eastAsiaTheme="minorEastAsia" w:hAnsi="Cambria Math" w:cstheme="minorHAnsi"/>
                <w:i/>
                <w:sz w:val="24"/>
                <w:szCs w:val="24"/>
              </w:rPr>
            </m:ctrlPr>
          </m:naryPr>
          <m:sub>
            <m:r>
              <w:rPr>
                <w:rFonts w:ascii="Cambria Math" w:eastAsiaTheme="minorEastAsia" w:hAnsi="Cambria Math" w:cstheme="minorHAnsi"/>
                <w:sz w:val="24"/>
                <w:szCs w:val="24"/>
              </w:rPr>
              <m:t>i=1</m:t>
            </m:r>
          </m:sub>
          <m:sup>
            <m:r>
              <w:rPr>
                <w:rFonts w:ascii="Cambria Math" w:eastAsiaTheme="minorEastAsia" w:hAnsi="Cambria Math" w:cstheme="minorHAnsi"/>
                <w:sz w:val="24"/>
                <w:szCs w:val="24"/>
              </w:rPr>
              <m:t>N</m:t>
            </m:r>
          </m:sup>
          <m:e>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g</m:t>
                </m:r>
              </m:e>
              <m:sub>
                <m:r>
                  <w:rPr>
                    <w:rFonts w:ascii="Cambria Math" w:eastAsiaTheme="minorEastAsia" w:hAnsi="Cambria Math" w:cstheme="minorHAnsi"/>
                    <w:sz w:val="24"/>
                    <w:szCs w:val="24"/>
                  </w:rPr>
                  <m:t>i</m:t>
                </m:r>
              </m:sub>
            </m:sSub>
            <m:r>
              <w:rPr>
                <w:rFonts w:ascii="Cambria Math" w:eastAsiaTheme="minorEastAsia" w:hAnsi="Cambria Math" w:cstheme="minorHAnsi"/>
                <w:sz w:val="24"/>
                <w:szCs w:val="24"/>
              </w:rPr>
              <m:t>(1-</m:t>
            </m:r>
            <m:func>
              <m:funcPr>
                <m:ctrlPr>
                  <w:rPr>
                    <w:rFonts w:ascii="Cambria Math" w:eastAsiaTheme="minorEastAsia" w:hAnsi="Cambria Math" w:cstheme="minorHAnsi"/>
                    <w:sz w:val="24"/>
                    <w:szCs w:val="24"/>
                  </w:rPr>
                </m:ctrlPr>
              </m:funcPr>
              <m:fName>
                <m:r>
                  <m:rPr>
                    <m:sty m:val="p"/>
                  </m:rPr>
                  <w:rPr>
                    <w:rFonts w:ascii="Cambria Math" w:eastAsiaTheme="minorEastAsia" w:hAnsi="Cambria Math" w:cstheme="minorHAnsi"/>
                    <w:sz w:val="24"/>
                    <w:szCs w:val="24"/>
                  </w:rPr>
                  <m:t>exp</m:t>
                </m:r>
                <m:ctrlPr>
                  <w:rPr>
                    <w:rFonts w:ascii="Cambria Math" w:eastAsiaTheme="minorEastAsia" w:hAnsi="Cambria Math" w:cstheme="minorHAnsi"/>
                    <w:i/>
                    <w:sz w:val="24"/>
                    <w:szCs w:val="24"/>
                  </w:rPr>
                </m:ctrlPr>
              </m:fName>
              <m:e>
                <m:d>
                  <m:dPr>
                    <m:ctrlPr>
                      <w:rPr>
                        <w:rFonts w:ascii="Cambria Math" w:eastAsiaTheme="minorEastAsia" w:hAnsi="Cambria Math" w:cstheme="minorHAnsi"/>
                        <w:i/>
                        <w:sz w:val="24"/>
                        <w:szCs w:val="24"/>
                      </w:rPr>
                    </m:ctrlPr>
                  </m:dPr>
                  <m:e>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-t</m:t>
                        </m:r>
                      </m:num>
                      <m:den>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τ</m:t>
                            </m:r>
                          </m:e>
                          <m:sub>
                            <m:r>
                              <w:rPr>
                                <w:rFonts w:ascii="Cambria Math" w:eastAsiaTheme="minorEastAsia" w:hAnsi="Cambria Math" w:cstheme="minorHAnsi"/>
                                <w:sz w:val="24"/>
                                <w:szCs w:val="24"/>
                              </w:rPr>
                              <m:t>i</m:t>
                            </m:r>
                          </m:sub>
                        </m:sSub>
                      </m:den>
                    </m:f>
                  </m:e>
                </m:d>
              </m:e>
            </m:func>
            <m:r>
              <w:rPr>
                <w:rFonts w:ascii="Cambria Math" w:eastAsiaTheme="minorEastAsia" w:hAnsi="Cambria Math" w:cstheme="minorHAnsi"/>
                <w:sz w:val="24"/>
                <w:szCs w:val="24"/>
              </w:rPr>
              <m:t>)</m:t>
            </m:r>
          </m:e>
        </m:nary>
        <m:r>
          <w:rPr>
            <w:rFonts w:ascii="Cambria Math" w:eastAsiaTheme="minorEastAsia" w:hAnsi="Cambria Math" w:cstheme="minorHAnsi"/>
            <w:sz w:val="24"/>
            <w:szCs w:val="24"/>
          </w:rPr>
          <m:t xml:space="preserve"> </m:t>
        </m:r>
      </m:oMath>
      <w:r w:rsidR="009A562F" w:rsidRPr="007C2C4F">
        <w:rPr>
          <w:rFonts w:eastAsiaTheme="minorEastAsia" w:cstheme="minorHAnsi"/>
          <w:sz w:val="24"/>
          <w:szCs w:val="24"/>
        </w:rPr>
        <w:tab/>
      </w:r>
      <w:r w:rsidR="009A562F" w:rsidRPr="007C2C4F">
        <w:rPr>
          <w:rFonts w:eastAsiaTheme="minorEastAsia" w:cstheme="minorHAnsi"/>
          <w:sz w:val="24"/>
          <w:szCs w:val="24"/>
        </w:rPr>
        <w:tab/>
      </w:r>
      <w:r w:rsidR="009A562F" w:rsidRPr="007C2C4F">
        <w:rPr>
          <w:rFonts w:eastAsiaTheme="minorEastAsia" w:cstheme="minorHAnsi"/>
          <w:sz w:val="24"/>
          <w:szCs w:val="24"/>
        </w:rPr>
        <w:tab/>
      </w:r>
      <w:r w:rsidR="009A562F">
        <w:rPr>
          <w:rFonts w:eastAsiaTheme="minorEastAsia" w:cstheme="minorHAnsi"/>
          <w:sz w:val="24"/>
          <w:szCs w:val="24"/>
        </w:rPr>
        <w:tab/>
      </w:r>
      <w:r w:rsidR="009A562F">
        <w:rPr>
          <w:rFonts w:eastAsiaTheme="minorEastAsia" w:cstheme="minorHAnsi"/>
          <w:sz w:val="24"/>
          <w:szCs w:val="24"/>
        </w:rPr>
        <w:tab/>
      </w:r>
      <w:r w:rsidR="009A562F" w:rsidRPr="007C2C4F">
        <w:rPr>
          <w:rFonts w:eastAsiaTheme="minorEastAsia" w:cstheme="minorHAnsi"/>
          <w:sz w:val="24"/>
          <w:szCs w:val="24"/>
        </w:rPr>
        <w:tab/>
      </w:r>
      <w:r w:rsidR="009A562F" w:rsidRPr="007C2C4F">
        <w:rPr>
          <w:rFonts w:eastAsiaTheme="minorEastAsia" w:cstheme="minorHAnsi"/>
          <w:sz w:val="24"/>
          <w:szCs w:val="24"/>
        </w:rPr>
        <w:tab/>
        <w:t>(2)</w:t>
      </w:r>
    </w:p>
    <w:p w14:paraId="473C95DB" w14:textId="7E40BEC5" w:rsidR="009A562F" w:rsidRDefault="009A562F" w:rsidP="009A562F">
      <w:pPr>
        <w:spacing w:line="480" w:lineRule="auto"/>
        <w:jc w:val="both"/>
        <w:rPr>
          <w:rFonts w:ascii="Times New Roman" w:eastAsiaTheme="minorEastAsia" w:hAnsi="Times New Roman" w:cs="Times New Roman"/>
          <w:iCs/>
          <w:sz w:val="24"/>
          <w:szCs w:val="24"/>
        </w:rPr>
      </w:pPr>
      <w:r>
        <w:rPr>
          <w:rFonts w:ascii="Times New Roman" w:hAnsi="Times New Roman" w:cs="Times New Roman"/>
          <w:iCs/>
          <w:sz w:val="24"/>
          <w:szCs w:val="24"/>
        </w:rPr>
        <w:t xml:space="preserve">Where N = 2, </w:t>
      </w:r>
      <m:oMath>
        <m:r>
          <w:rPr>
            <w:rFonts w:ascii="Cambria Math" w:hAnsi="Cambria Math" w:cs="Times New Roman"/>
            <w:sz w:val="24"/>
            <w:szCs w:val="24"/>
          </w:rPr>
          <m:t>t</m:t>
        </m:r>
      </m:oMath>
      <w:r>
        <w:rPr>
          <w:rFonts w:ascii="Times New Roman" w:eastAsiaTheme="minorEastAsia" w:hAnsi="Times New Roman" w:cs="Times New Roman"/>
          <w:iCs/>
          <w:sz w:val="24"/>
          <w:szCs w:val="24"/>
        </w:rPr>
        <w:t xml:space="preserve"> is time, and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i</m:t>
            </m:r>
          </m:sub>
        </m:sSub>
      </m:oMath>
      <w:r>
        <w:rPr>
          <w:rFonts w:ascii="Times New Roman" w:eastAsiaTheme="minorEastAsia" w:hAnsi="Times New Roman" w:cs="Times New Roman"/>
          <w:iCs/>
          <w:sz w:val="24"/>
          <w:szCs w:val="24"/>
        </w:rPr>
        <w:t xml:space="preserve"> and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i</m:t>
            </m:r>
          </m:sub>
        </m:sSub>
      </m:oMath>
      <w:r>
        <w:rPr>
          <w:rFonts w:ascii="Times New Roman" w:eastAsiaTheme="minorEastAsia" w:hAnsi="Times New Roman" w:cs="Times New Roman"/>
          <w:iCs/>
          <w:sz w:val="24"/>
          <w:szCs w:val="24"/>
        </w:rPr>
        <w:t xml:space="preserve"> are the phenomenological material constants (first order: </w:t>
      </w:r>
      <m:oMath>
        <m:r>
          <w:rPr>
            <w:rFonts w:ascii="Cambria Math" w:eastAsiaTheme="minorEastAsia" w:hAnsi="Cambria Math" w:cs="Times New Roman"/>
            <w:sz w:val="24"/>
            <w:szCs w:val="24"/>
          </w:rPr>
          <m:t xml:space="preserve">6.30 × </m:t>
        </m:r>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-2</m:t>
            </m:r>
          </m:sup>
        </m:sSup>
      </m:oMath>
      <w:r>
        <w:rPr>
          <w:rFonts w:ascii="Times New Roman" w:eastAsiaTheme="minorEastAsia" w:hAnsi="Times New Roman" w:cs="Times New Roman"/>
          <w:iCs/>
          <w:sz w:val="24"/>
          <w:szCs w:val="24"/>
        </w:rPr>
        <w:t xml:space="preserve"> and 0.99 s, second order: </w:t>
      </w:r>
      <m:oMath>
        <m:r>
          <w:rPr>
            <w:rFonts w:ascii="Cambria Math" w:eastAsiaTheme="minorEastAsia" w:hAnsi="Cambria Math" w:cs="Times New Roman"/>
            <w:sz w:val="24"/>
            <w:szCs w:val="24"/>
          </w:rPr>
          <m:t xml:space="preserve">5.58 × </m:t>
        </m:r>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-2</m:t>
            </m:r>
          </m:sup>
        </m:sSup>
      </m:oMath>
      <w:r>
        <w:rPr>
          <w:rFonts w:ascii="Times New Roman" w:eastAsiaTheme="minorEastAsia" w:hAnsi="Times New Roman" w:cs="Times New Roman"/>
          <w:iCs/>
          <w:sz w:val="24"/>
          <w:szCs w:val="24"/>
        </w:rPr>
        <w:t xml:space="preserve"> and 0.19 s, respectively) obtained using least squares optimisation on experimentally measured stress-relaxation curves (</w:t>
      </w:r>
      <m:oMath>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 0.9994</m:t>
        </m:r>
      </m:oMath>
      <w:r>
        <w:rPr>
          <w:rFonts w:ascii="Times New Roman" w:eastAsiaTheme="minorEastAsia" w:hAnsi="Times New Roman" w:cs="Times New Roman"/>
          <w:iCs/>
          <w:sz w:val="24"/>
          <w:szCs w:val="24"/>
        </w:rPr>
        <w:t>)</w:t>
      </w:r>
      <w:r w:rsidR="005801DF">
        <w:rPr>
          <w:rFonts w:ascii="Times New Roman" w:eastAsiaTheme="minorEastAsia" w:hAnsi="Times New Roman" w:cs="Times New Roman"/>
          <w:iCs/>
          <w:sz w:val="24"/>
          <w:szCs w:val="24"/>
        </w:rPr>
        <w:t xml:space="preserve"> (</w:t>
      </w:r>
      <w:r w:rsidR="005801DF">
        <w:rPr>
          <w:rFonts w:ascii="Times New Roman" w:eastAsiaTheme="minorEastAsia" w:hAnsi="Times New Roman" w:cs="Times New Roman"/>
          <w:iCs/>
          <w:sz w:val="24"/>
          <w:szCs w:val="24"/>
        </w:rPr>
        <w:fldChar w:fldCharType="begin"/>
      </w:r>
      <w:r w:rsidR="005801DF">
        <w:rPr>
          <w:rFonts w:ascii="Times New Roman" w:eastAsiaTheme="minorEastAsia" w:hAnsi="Times New Roman" w:cs="Times New Roman"/>
          <w:iCs/>
          <w:sz w:val="24"/>
          <w:szCs w:val="24"/>
        </w:rPr>
        <w:instrText xml:space="preserve"> REF _Ref140135288 \h  \* MERGEFORMAT </w:instrText>
      </w:r>
      <w:r w:rsidR="005801DF">
        <w:rPr>
          <w:rFonts w:ascii="Times New Roman" w:eastAsiaTheme="minorEastAsia" w:hAnsi="Times New Roman" w:cs="Times New Roman"/>
          <w:iCs/>
          <w:sz w:val="24"/>
          <w:szCs w:val="24"/>
        </w:rPr>
      </w:r>
      <w:r w:rsidR="005801DF">
        <w:rPr>
          <w:rFonts w:ascii="Times New Roman" w:eastAsiaTheme="minorEastAsia" w:hAnsi="Times New Roman" w:cs="Times New Roman"/>
          <w:iCs/>
          <w:sz w:val="24"/>
          <w:szCs w:val="24"/>
        </w:rPr>
        <w:fldChar w:fldCharType="separate"/>
      </w:r>
      <w:r w:rsidR="005801DF" w:rsidRPr="005801DF">
        <w:rPr>
          <w:rFonts w:ascii="Times New Roman" w:eastAsiaTheme="minorEastAsia" w:hAnsi="Times New Roman" w:cs="Times New Roman"/>
          <w:iCs/>
          <w:sz w:val="24"/>
          <w:szCs w:val="24"/>
        </w:rPr>
        <w:t>Figure S1</w:t>
      </w:r>
      <w:r w:rsidR="005801DF">
        <w:rPr>
          <w:rFonts w:ascii="Times New Roman" w:eastAsiaTheme="minorEastAsia" w:hAnsi="Times New Roman" w:cs="Times New Roman"/>
          <w:iCs/>
          <w:sz w:val="24"/>
          <w:szCs w:val="24"/>
        </w:rPr>
        <w:fldChar w:fldCharType="end"/>
      </w:r>
      <w:r w:rsidR="005801DF">
        <w:rPr>
          <w:rFonts w:ascii="Times New Roman" w:eastAsiaTheme="minorEastAsia" w:hAnsi="Times New Roman" w:cs="Times New Roman"/>
          <w:iCs/>
          <w:sz w:val="24"/>
          <w:szCs w:val="24"/>
        </w:rPr>
        <w:t>b)</w:t>
      </w:r>
      <w:r>
        <w:rPr>
          <w:rFonts w:ascii="Times New Roman" w:eastAsiaTheme="minorEastAsia" w:hAnsi="Times New Roman" w:cs="Times New Roman"/>
          <w:iCs/>
          <w:sz w:val="24"/>
          <w:szCs w:val="24"/>
        </w:rPr>
        <w:t>.</w:t>
      </w:r>
    </w:p>
    <w:p w14:paraId="714ED5E6" w14:textId="77777777" w:rsidR="003D7686" w:rsidRDefault="003D7686" w:rsidP="009A562F">
      <w:pPr>
        <w:spacing w:line="480" w:lineRule="auto"/>
        <w:jc w:val="both"/>
        <w:rPr>
          <w:rFonts w:ascii="Times New Roman" w:eastAsiaTheme="minorEastAsia" w:hAnsi="Times New Roman" w:cs="Times New Roman"/>
          <w:iCs/>
          <w:sz w:val="24"/>
          <w:szCs w:val="24"/>
        </w:rPr>
      </w:pPr>
    </w:p>
    <w:p w14:paraId="46DF9EF6" w14:textId="29C5BCAC" w:rsidR="00DA0509" w:rsidRDefault="004A272B" w:rsidP="00DA0509">
      <w:pPr>
        <w:keepNext/>
      </w:pPr>
      <w:r>
        <w:rPr>
          <w:noProof/>
        </w:rPr>
        <w:lastRenderedPageBreak/>
        <w:drawing>
          <wp:anchor distT="0" distB="0" distL="114300" distR="114300" simplePos="0" relativeHeight="251658240" behindDoc="0" locked="0" layoutInCell="1" allowOverlap="1" wp14:anchorId="61AF8E84" wp14:editId="3B6791F1">
            <wp:simplePos x="0" y="0"/>
            <wp:positionH relativeFrom="margin">
              <wp:posOffset>-759460</wp:posOffset>
            </wp:positionH>
            <wp:positionV relativeFrom="margin">
              <wp:posOffset>-635</wp:posOffset>
            </wp:positionV>
            <wp:extent cx="7486015" cy="2872740"/>
            <wp:effectExtent l="0" t="0" r="635" b="3810"/>
            <wp:wrapSquare wrapText="bothSides"/>
            <wp:docPr id="2049462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86015" cy="2872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406D55" w14:textId="7F71F3C8" w:rsidR="00A54E1E" w:rsidRDefault="00DA0509" w:rsidP="00311815">
      <w:pPr>
        <w:pStyle w:val="Caption"/>
        <w:jc w:val="center"/>
      </w:pPr>
      <w:bookmarkStart w:id="0" w:name="_Ref140135288"/>
      <w:r>
        <w:t xml:space="preserve">Figure </w:t>
      </w:r>
      <w:r w:rsidR="00CC4E3B">
        <w:t>S</w:t>
      </w:r>
      <w:r>
        <w:fldChar w:fldCharType="begin"/>
      </w:r>
      <w:r>
        <w:instrText xml:space="preserve"> SEQ Figure \* ARABIC </w:instrText>
      </w:r>
      <w:r>
        <w:fldChar w:fldCharType="separate"/>
      </w:r>
      <w:r w:rsidR="00AF5559">
        <w:rPr>
          <w:noProof/>
        </w:rPr>
        <w:t>1</w:t>
      </w:r>
      <w:r>
        <w:fldChar w:fldCharType="end"/>
      </w:r>
      <w:bookmarkEnd w:id="0"/>
      <w:r>
        <w:t xml:space="preserve">: Material model fit to experimental </w:t>
      </w:r>
      <w:r w:rsidR="00311815">
        <w:t>data. (</w:t>
      </w:r>
      <w:r w:rsidR="008C0CC7">
        <w:t>a) Hyperelastic material response, Ogden model (N=1) fit to average experimentally measured stress-strain data. (b) Viscoelastic material response</w:t>
      </w:r>
      <w:r w:rsidR="00B85FB6">
        <w:t>, Prony series (N=2) fit to average experimentally measured stress-rela</w:t>
      </w:r>
      <w:r w:rsidR="00311815">
        <w:t>xation data.</w:t>
      </w:r>
    </w:p>
    <w:p w14:paraId="12A4D45C" w14:textId="34F8E986" w:rsidR="003D7686" w:rsidRPr="00A651E3" w:rsidRDefault="003D7686" w:rsidP="003D7686">
      <w:pPr>
        <w:spacing w:line="480" w:lineRule="auto"/>
        <w:rPr>
          <w:rFonts w:ascii="Times New Roman" w:hAnsi="Times New Roman" w:cs="Times New Roman"/>
          <w:i/>
          <w:sz w:val="24"/>
          <w:szCs w:val="24"/>
        </w:rPr>
      </w:pPr>
      <w:r w:rsidRPr="00A651E3">
        <w:rPr>
          <w:rFonts w:ascii="Times New Roman" w:hAnsi="Times New Roman" w:cs="Times New Roman"/>
          <w:i/>
          <w:sz w:val="24"/>
          <w:szCs w:val="24"/>
        </w:rPr>
        <w:t>Mass scaling</w:t>
      </w:r>
    </w:p>
    <w:p w14:paraId="00980FF8" w14:textId="00FC65BD" w:rsidR="003D7686" w:rsidRDefault="00FE66A7" w:rsidP="000801A9">
      <w:pPr>
        <w:spacing w:line="480" w:lineRule="auto"/>
        <w:ind w:firstLine="720"/>
        <w:jc w:val="both"/>
        <w:rPr>
          <w:rFonts w:ascii="Times New Roman" w:hAnsi="Times New Roman" w:cs="Times New Roman"/>
          <w:iCs/>
          <w:sz w:val="24"/>
          <w:szCs w:val="24"/>
        </w:rPr>
      </w:pPr>
      <w:r w:rsidRPr="000801A9">
        <w:rPr>
          <w:rFonts w:ascii="Times New Roman" w:hAnsi="Times New Roman" w:cs="Times New Roman"/>
          <w:iCs/>
          <w:sz w:val="24"/>
          <w:szCs w:val="24"/>
        </w:rPr>
        <w:t xml:space="preserve">Mass scaling was applied to the simulations to reduce the computation time. To assess whether this addition </w:t>
      </w:r>
      <w:r w:rsidR="00905F57" w:rsidRPr="000801A9">
        <w:rPr>
          <w:rFonts w:ascii="Times New Roman" w:hAnsi="Times New Roman" w:cs="Times New Roman"/>
          <w:iCs/>
          <w:sz w:val="24"/>
          <w:szCs w:val="24"/>
        </w:rPr>
        <w:t xml:space="preserve">still led to a meaningful solution the maximum ratio of kinetic energy to internal energy was calculated as a percentage </w:t>
      </w:r>
      <w:r w:rsidR="0018353B" w:rsidRPr="000801A9">
        <w:rPr>
          <w:rFonts w:ascii="Times New Roman" w:hAnsi="Times New Roman" w:cs="Times New Roman"/>
          <w:iCs/>
          <w:sz w:val="24"/>
          <w:szCs w:val="24"/>
        </w:rPr>
        <w:t xml:space="preserve">for all simulations to ensure that inertial forces remained insignificant throughout the simulations. </w:t>
      </w:r>
      <w:r w:rsidR="00AB0E25" w:rsidRPr="000801A9">
        <w:rPr>
          <w:rFonts w:ascii="Times New Roman" w:hAnsi="Times New Roman" w:cs="Times New Roman"/>
          <w:iCs/>
          <w:sz w:val="24"/>
          <w:szCs w:val="24"/>
        </w:rPr>
        <w:t>The mean ratio of k</w:t>
      </w:r>
      <w:r w:rsidR="000801A9" w:rsidRPr="000801A9">
        <w:rPr>
          <w:rFonts w:ascii="Times New Roman" w:hAnsi="Times New Roman" w:cs="Times New Roman"/>
          <w:iCs/>
          <w:sz w:val="24"/>
          <w:szCs w:val="24"/>
        </w:rPr>
        <w:t>i</w:t>
      </w:r>
      <w:r w:rsidR="00AB0E25" w:rsidRPr="000801A9">
        <w:rPr>
          <w:rFonts w:ascii="Times New Roman" w:hAnsi="Times New Roman" w:cs="Times New Roman"/>
          <w:iCs/>
          <w:sz w:val="24"/>
          <w:szCs w:val="24"/>
        </w:rPr>
        <w:t>netic energy to internal ene</w:t>
      </w:r>
      <w:r w:rsidR="001C6E63" w:rsidRPr="000801A9">
        <w:rPr>
          <w:rFonts w:ascii="Times New Roman" w:hAnsi="Times New Roman" w:cs="Times New Roman"/>
          <w:iCs/>
          <w:sz w:val="24"/>
          <w:szCs w:val="24"/>
        </w:rPr>
        <w:t xml:space="preserve">rgy is </w:t>
      </w:r>
      <m:oMath>
        <m:r>
          <w:rPr>
            <w:rFonts w:ascii="Cambria Math" w:hAnsi="Cambria Math" w:cs="Times New Roman"/>
            <w:sz w:val="24"/>
            <w:szCs w:val="24"/>
          </w:rPr>
          <m:t>7.79×</m:t>
        </m:r>
        <m:sSup>
          <m:sSupPr>
            <m:ctrlPr>
              <w:rPr>
                <w:rFonts w:ascii="Cambria Math" w:hAnsi="Cambria Math" w:cs="Times New Roman"/>
                <w:i/>
                <w:iCs/>
                <w:sz w:val="24"/>
                <w:szCs w:val="24"/>
              </w:rPr>
            </m:ctrlPr>
          </m:sSupPr>
          <m:e>
            <m:r>
              <w:rPr>
                <w:rFonts w:ascii="Cambria Math" w:hAnsi="Cambria Math" w:cs="Times New Roman"/>
                <w:sz w:val="24"/>
                <w:szCs w:val="24"/>
              </w:rPr>
              <m:t>10</m:t>
            </m:r>
          </m:e>
          <m:sup>
            <m:r>
              <w:rPr>
                <w:rFonts w:ascii="Cambria Math" w:hAnsi="Cambria Math" w:cs="Times New Roman"/>
                <w:sz w:val="24"/>
                <w:szCs w:val="24"/>
              </w:rPr>
              <m:t>-5</m:t>
            </m:r>
          </m:sup>
        </m:sSup>
      </m:oMath>
      <w:r w:rsidR="001C6E63" w:rsidRPr="000801A9">
        <w:rPr>
          <w:rFonts w:ascii="Times New Roman" w:hAnsi="Times New Roman" w:cs="Times New Roman"/>
          <w:iCs/>
          <w:sz w:val="24"/>
          <w:szCs w:val="24"/>
        </w:rPr>
        <w:t xml:space="preserve"> </w:t>
      </w:r>
      <w:r w:rsidR="00A667AB">
        <w:rPr>
          <w:rFonts w:ascii="Times New Roman" w:hAnsi="Times New Roman" w:cs="Times New Roman"/>
          <w:iCs/>
          <w:sz w:val="24"/>
          <w:szCs w:val="24"/>
        </w:rPr>
        <w:t xml:space="preserve">± </w:t>
      </w:r>
      <m:oMath>
        <m:r>
          <w:rPr>
            <w:rFonts w:ascii="Cambria Math" w:hAnsi="Cambria Math" w:cs="Times New Roman"/>
            <w:sz w:val="24"/>
            <w:szCs w:val="24"/>
          </w:rPr>
          <m:t>1.60</m:t>
        </m:r>
        <m:sSup>
          <m:sSupPr>
            <m:ctrlPr>
              <w:rPr>
                <w:rFonts w:ascii="Cambria Math" w:hAnsi="Cambria Math" w:cs="Times New Roman"/>
                <w:i/>
                <w:iCs/>
                <w:sz w:val="24"/>
                <w:szCs w:val="24"/>
              </w:rPr>
            </m:ctrlPr>
          </m:sSupPr>
          <m:e>
            <m:r>
              <w:rPr>
                <w:rFonts w:ascii="Cambria Math" w:hAnsi="Cambria Math" w:cs="Times New Roman"/>
                <w:sz w:val="24"/>
                <w:szCs w:val="24"/>
              </w:rPr>
              <m:t>×10</m:t>
            </m:r>
          </m:e>
          <m:sup>
            <m:r>
              <w:rPr>
                <w:rFonts w:ascii="Cambria Math" w:hAnsi="Cambria Math" w:cs="Times New Roman"/>
                <w:sz w:val="24"/>
                <w:szCs w:val="24"/>
              </w:rPr>
              <m:t>-4</m:t>
            </m:r>
          </m:sup>
        </m:sSup>
      </m:oMath>
      <w:r w:rsidR="001C6E63" w:rsidRPr="000801A9">
        <w:rPr>
          <w:rFonts w:ascii="Times New Roman" w:hAnsi="Times New Roman" w:cs="Times New Roman"/>
          <w:iCs/>
          <w:sz w:val="24"/>
          <w:szCs w:val="24"/>
        </w:rPr>
        <w:t xml:space="preserve"> %. All values remained below the accepted 2%.</w:t>
      </w:r>
    </w:p>
    <w:p w14:paraId="1885BD29" w14:textId="34240C99" w:rsidR="004A272B" w:rsidRDefault="004A272B" w:rsidP="000801A9">
      <w:pPr>
        <w:spacing w:line="480" w:lineRule="auto"/>
        <w:ind w:firstLine="720"/>
        <w:jc w:val="both"/>
        <w:rPr>
          <w:rFonts w:ascii="Times New Roman" w:hAnsi="Times New Roman" w:cs="Times New Roman"/>
          <w:iCs/>
          <w:sz w:val="24"/>
          <w:szCs w:val="24"/>
        </w:rPr>
      </w:pPr>
    </w:p>
    <w:p w14:paraId="3EE3FBCB" w14:textId="18856A02" w:rsidR="004A272B" w:rsidRDefault="00054523" w:rsidP="0040103E">
      <w:pPr>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MUSCULOSKELETAL MODELLING</w:t>
      </w:r>
    </w:p>
    <w:p w14:paraId="2303CAD4" w14:textId="51C80B13" w:rsidR="00AF4C3D" w:rsidRDefault="004F69DC" w:rsidP="006057CB">
      <w:pPr>
        <w:spacing w:line="48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The effect of </w:t>
      </w:r>
      <w:r w:rsidR="00824C4B">
        <w:rPr>
          <w:rFonts w:ascii="Times New Roman" w:hAnsi="Times New Roman" w:cs="Times New Roman"/>
          <w:iCs/>
          <w:sz w:val="24"/>
          <w:szCs w:val="24"/>
        </w:rPr>
        <w:t>modelling the masseter and tempo</w:t>
      </w:r>
      <w:r w:rsidR="002172C2">
        <w:rPr>
          <w:rFonts w:ascii="Times New Roman" w:hAnsi="Times New Roman" w:cs="Times New Roman"/>
          <w:iCs/>
          <w:sz w:val="24"/>
          <w:szCs w:val="24"/>
        </w:rPr>
        <w:t xml:space="preserve">ralis muscles </w:t>
      </w:r>
      <w:r w:rsidR="006057CB">
        <w:rPr>
          <w:rFonts w:ascii="Times New Roman" w:hAnsi="Times New Roman" w:cs="Times New Roman"/>
          <w:iCs/>
          <w:sz w:val="24"/>
          <w:szCs w:val="24"/>
        </w:rPr>
        <w:t>with full capacity was investigated through a sensitivity analysis</w:t>
      </w:r>
      <w:r w:rsidR="0015461A">
        <w:rPr>
          <w:rFonts w:ascii="Times New Roman" w:hAnsi="Times New Roman" w:cs="Times New Roman"/>
          <w:iCs/>
          <w:sz w:val="24"/>
          <w:szCs w:val="24"/>
        </w:rPr>
        <w:t>. For one total</w:t>
      </w:r>
      <w:r w:rsidR="007644C7">
        <w:rPr>
          <w:rFonts w:ascii="Times New Roman" w:hAnsi="Times New Roman" w:cs="Times New Roman"/>
          <w:iCs/>
          <w:sz w:val="24"/>
          <w:szCs w:val="24"/>
        </w:rPr>
        <w:t xml:space="preserve"> unilateral TMJR patient </w:t>
      </w:r>
      <w:r w:rsidR="00185B62">
        <w:rPr>
          <w:rFonts w:ascii="Times New Roman" w:hAnsi="Times New Roman" w:cs="Times New Roman"/>
          <w:iCs/>
          <w:sz w:val="24"/>
          <w:szCs w:val="24"/>
        </w:rPr>
        <w:t>musculoskeletal</w:t>
      </w:r>
      <w:r w:rsidR="003A696A">
        <w:rPr>
          <w:rFonts w:ascii="Times New Roman" w:hAnsi="Times New Roman" w:cs="Times New Roman"/>
          <w:iCs/>
          <w:sz w:val="24"/>
          <w:szCs w:val="24"/>
        </w:rPr>
        <w:t xml:space="preserve"> models were setup with the</w:t>
      </w:r>
      <w:r w:rsidR="00DC0FED">
        <w:rPr>
          <w:rFonts w:ascii="Times New Roman" w:hAnsi="Times New Roman" w:cs="Times New Roman"/>
          <w:iCs/>
          <w:sz w:val="24"/>
          <w:szCs w:val="24"/>
        </w:rPr>
        <w:t xml:space="preserve"> maximum isometric forces of the</w:t>
      </w:r>
      <w:r w:rsidR="008015BC">
        <w:rPr>
          <w:rFonts w:ascii="Times New Roman" w:hAnsi="Times New Roman" w:cs="Times New Roman"/>
          <w:iCs/>
          <w:sz w:val="24"/>
          <w:szCs w:val="24"/>
        </w:rPr>
        <w:t xml:space="preserve"> </w:t>
      </w:r>
      <w:r w:rsidR="003D0D10">
        <w:rPr>
          <w:rFonts w:ascii="Times New Roman" w:hAnsi="Times New Roman" w:cs="Times New Roman"/>
          <w:iCs/>
          <w:sz w:val="24"/>
          <w:szCs w:val="24"/>
        </w:rPr>
        <w:t>ipsilateral</w:t>
      </w:r>
      <w:r w:rsidR="003A696A">
        <w:rPr>
          <w:rFonts w:ascii="Times New Roman" w:hAnsi="Times New Roman" w:cs="Times New Roman"/>
          <w:iCs/>
          <w:sz w:val="24"/>
          <w:szCs w:val="24"/>
        </w:rPr>
        <w:t xml:space="preserve"> </w:t>
      </w:r>
      <w:r w:rsidR="0023666F">
        <w:rPr>
          <w:rFonts w:ascii="Times New Roman" w:hAnsi="Times New Roman" w:cs="Times New Roman"/>
          <w:iCs/>
          <w:sz w:val="24"/>
          <w:szCs w:val="24"/>
        </w:rPr>
        <w:t>anterior temporalis, posterior temporalis, superficial masseter, deep anterior masseter and deep posterior masseter</w:t>
      </w:r>
      <w:r w:rsidR="00DC0FED">
        <w:rPr>
          <w:rFonts w:ascii="Times New Roman" w:hAnsi="Times New Roman" w:cs="Times New Roman"/>
          <w:iCs/>
          <w:sz w:val="24"/>
          <w:szCs w:val="24"/>
        </w:rPr>
        <w:t xml:space="preserve"> </w:t>
      </w:r>
      <w:r w:rsidR="00DC0FED">
        <w:rPr>
          <w:rFonts w:ascii="Times New Roman" w:hAnsi="Times New Roman" w:cs="Times New Roman"/>
          <w:iCs/>
          <w:sz w:val="24"/>
          <w:szCs w:val="24"/>
        </w:rPr>
        <w:lastRenderedPageBreak/>
        <w:t xml:space="preserve">muscles </w:t>
      </w:r>
      <w:r w:rsidR="00AF5559">
        <w:rPr>
          <w:rFonts w:ascii="Times New Roman" w:hAnsi="Times New Roman" w:cs="Times New Roman"/>
          <w:iCs/>
          <w:sz w:val="24"/>
          <w:szCs w:val="24"/>
        </w:rPr>
        <w:t>modelled as</w:t>
      </w:r>
      <w:r w:rsidR="00DC0FED">
        <w:rPr>
          <w:rFonts w:ascii="Times New Roman" w:hAnsi="Times New Roman" w:cs="Times New Roman"/>
          <w:iCs/>
          <w:sz w:val="24"/>
          <w:szCs w:val="24"/>
        </w:rPr>
        <w:t xml:space="preserve"> 50%, 60%, 70%, 80%</w:t>
      </w:r>
      <w:r w:rsidR="00AF5559">
        <w:rPr>
          <w:rFonts w:ascii="Times New Roman" w:hAnsi="Times New Roman" w:cs="Times New Roman"/>
          <w:iCs/>
          <w:sz w:val="24"/>
          <w:szCs w:val="24"/>
        </w:rPr>
        <w:t>, 90%</w:t>
      </w:r>
      <w:r w:rsidR="00DC0FED">
        <w:rPr>
          <w:rFonts w:ascii="Times New Roman" w:hAnsi="Times New Roman" w:cs="Times New Roman"/>
          <w:iCs/>
          <w:sz w:val="24"/>
          <w:szCs w:val="24"/>
        </w:rPr>
        <w:t xml:space="preserve"> an</w:t>
      </w:r>
      <w:r w:rsidR="00F518D4">
        <w:rPr>
          <w:rFonts w:ascii="Times New Roman" w:hAnsi="Times New Roman" w:cs="Times New Roman"/>
          <w:iCs/>
          <w:sz w:val="24"/>
          <w:szCs w:val="24"/>
        </w:rPr>
        <w:t xml:space="preserve">d </w:t>
      </w:r>
      <w:r w:rsidR="00AF5559">
        <w:rPr>
          <w:rFonts w:ascii="Times New Roman" w:hAnsi="Times New Roman" w:cs="Times New Roman"/>
          <w:iCs/>
          <w:sz w:val="24"/>
          <w:szCs w:val="24"/>
        </w:rPr>
        <w:t>10</w:t>
      </w:r>
      <w:r w:rsidR="00F518D4">
        <w:rPr>
          <w:rFonts w:ascii="Times New Roman" w:hAnsi="Times New Roman" w:cs="Times New Roman"/>
          <w:iCs/>
          <w:sz w:val="24"/>
          <w:szCs w:val="24"/>
        </w:rPr>
        <w:t>0% of their full capacity.</w:t>
      </w:r>
      <w:r w:rsidR="00F44BEB">
        <w:rPr>
          <w:rFonts w:ascii="Times New Roman" w:hAnsi="Times New Roman" w:cs="Times New Roman"/>
          <w:iCs/>
          <w:sz w:val="24"/>
          <w:szCs w:val="24"/>
        </w:rPr>
        <w:t xml:space="preserve"> The </w:t>
      </w:r>
      <w:r w:rsidR="003D0D10">
        <w:rPr>
          <w:rFonts w:ascii="Times New Roman" w:hAnsi="Times New Roman" w:cs="Times New Roman"/>
          <w:iCs/>
          <w:sz w:val="24"/>
          <w:szCs w:val="24"/>
        </w:rPr>
        <w:t>ipsilateral</w:t>
      </w:r>
      <w:r w:rsidR="00F44BEB">
        <w:rPr>
          <w:rFonts w:ascii="Times New Roman" w:hAnsi="Times New Roman" w:cs="Times New Roman"/>
          <w:iCs/>
          <w:sz w:val="24"/>
          <w:szCs w:val="24"/>
        </w:rPr>
        <w:t xml:space="preserve"> inferior </w:t>
      </w:r>
      <w:r w:rsidR="008015BC">
        <w:rPr>
          <w:rFonts w:ascii="Times New Roman" w:hAnsi="Times New Roman" w:cs="Times New Roman"/>
          <w:iCs/>
          <w:sz w:val="24"/>
          <w:szCs w:val="24"/>
        </w:rPr>
        <w:t>lateral pterygoid and superior lateral pterygoid remained removed from the model</w:t>
      </w:r>
      <w:r w:rsidR="006853D9">
        <w:rPr>
          <w:rFonts w:ascii="Times New Roman" w:hAnsi="Times New Roman" w:cs="Times New Roman"/>
          <w:iCs/>
          <w:sz w:val="24"/>
          <w:szCs w:val="24"/>
        </w:rPr>
        <w:t>, and the applied bite force remained the same</w:t>
      </w:r>
      <w:r w:rsidR="00E2516C">
        <w:rPr>
          <w:rFonts w:ascii="Times New Roman" w:hAnsi="Times New Roman" w:cs="Times New Roman"/>
          <w:iCs/>
          <w:sz w:val="24"/>
          <w:szCs w:val="24"/>
        </w:rPr>
        <w:t>.</w:t>
      </w:r>
      <w:r w:rsidR="006D0529">
        <w:rPr>
          <w:rFonts w:ascii="Times New Roman" w:hAnsi="Times New Roman" w:cs="Times New Roman"/>
          <w:iCs/>
          <w:sz w:val="24"/>
          <w:szCs w:val="24"/>
        </w:rPr>
        <w:t xml:space="preserve"> </w:t>
      </w:r>
      <w:r w:rsidR="0038280C">
        <w:rPr>
          <w:rFonts w:ascii="Times New Roman" w:hAnsi="Times New Roman" w:cs="Times New Roman"/>
          <w:iCs/>
          <w:sz w:val="24"/>
          <w:szCs w:val="24"/>
        </w:rPr>
        <w:t xml:space="preserve">As the </w:t>
      </w:r>
      <w:r w:rsidR="00331E72">
        <w:rPr>
          <w:rFonts w:ascii="Times New Roman" w:hAnsi="Times New Roman" w:cs="Times New Roman"/>
          <w:iCs/>
          <w:sz w:val="24"/>
          <w:szCs w:val="24"/>
        </w:rPr>
        <w:t xml:space="preserve">ipsilateral masseter and temporalis strength is decreased there is higher influence from the </w:t>
      </w:r>
      <w:r w:rsidR="00AF3CDE">
        <w:rPr>
          <w:rFonts w:ascii="Times New Roman" w:hAnsi="Times New Roman" w:cs="Times New Roman"/>
          <w:iCs/>
          <w:sz w:val="24"/>
          <w:szCs w:val="24"/>
        </w:rPr>
        <w:t>contralateral superficial masseter and the ipsilateral medial pterygoid muscles</w:t>
      </w:r>
      <w:r w:rsidR="00BF127D">
        <w:rPr>
          <w:rFonts w:ascii="Times New Roman" w:hAnsi="Times New Roman" w:cs="Times New Roman"/>
          <w:iCs/>
          <w:sz w:val="24"/>
          <w:szCs w:val="24"/>
        </w:rPr>
        <w:t xml:space="preserve"> (</w:t>
      </w:r>
      <w:r w:rsidR="00A5004D">
        <w:rPr>
          <w:rFonts w:ascii="Times New Roman" w:hAnsi="Times New Roman" w:cs="Times New Roman"/>
          <w:iCs/>
          <w:sz w:val="24"/>
          <w:szCs w:val="24"/>
        </w:rPr>
        <w:fldChar w:fldCharType="begin"/>
      </w:r>
      <w:r w:rsidR="00A5004D">
        <w:rPr>
          <w:rFonts w:ascii="Times New Roman" w:hAnsi="Times New Roman" w:cs="Times New Roman"/>
          <w:iCs/>
          <w:sz w:val="24"/>
          <w:szCs w:val="24"/>
        </w:rPr>
        <w:instrText xml:space="preserve"> REF _Ref140223560 \h </w:instrText>
      </w:r>
      <w:r w:rsidR="005D4F4C">
        <w:rPr>
          <w:rFonts w:ascii="Times New Roman" w:hAnsi="Times New Roman" w:cs="Times New Roman"/>
          <w:iCs/>
          <w:sz w:val="24"/>
          <w:szCs w:val="24"/>
        </w:rPr>
        <w:instrText xml:space="preserve"> \* MERGEFORMAT </w:instrText>
      </w:r>
      <w:r w:rsidR="00A5004D">
        <w:rPr>
          <w:rFonts w:ascii="Times New Roman" w:hAnsi="Times New Roman" w:cs="Times New Roman"/>
          <w:iCs/>
          <w:sz w:val="24"/>
          <w:szCs w:val="24"/>
        </w:rPr>
      </w:r>
      <w:r w:rsidR="00A5004D">
        <w:rPr>
          <w:rFonts w:ascii="Times New Roman" w:hAnsi="Times New Roman" w:cs="Times New Roman"/>
          <w:iCs/>
          <w:sz w:val="24"/>
          <w:szCs w:val="24"/>
        </w:rPr>
        <w:fldChar w:fldCharType="separate"/>
      </w:r>
      <w:r w:rsidR="00A5004D" w:rsidRPr="005D4F4C">
        <w:rPr>
          <w:rFonts w:ascii="Times New Roman" w:hAnsi="Times New Roman" w:cs="Times New Roman"/>
          <w:iCs/>
          <w:sz w:val="24"/>
          <w:szCs w:val="24"/>
        </w:rPr>
        <w:t>Figure S2</w:t>
      </w:r>
      <w:r w:rsidR="00A5004D">
        <w:rPr>
          <w:rFonts w:ascii="Times New Roman" w:hAnsi="Times New Roman" w:cs="Times New Roman"/>
          <w:iCs/>
          <w:sz w:val="24"/>
          <w:szCs w:val="24"/>
        </w:rPr>
        <w:fldChar w:fldCharType="end"/>
      </w:r>
      <w:r w:rsidR="00BF127D">
        <w:rPr>
          <w:rFonts w:ascii="Times New Roman" w:hAnsi="Times New Roman" w:cs="Times New Roman"/>
          <w:iCs/>
          <w:sz w:val="24"/>
          <w:szCs w:val="24"/>
        </w:rPr>
        <w:t xml:space="preserve">). This resulted in </w:t>
      </w:r>
      <w:r w:rsidR="008A6E34">
        <w:rPr>
          <w:rFonts w:ascii="Times New Roman" w:hAnsi="Times New Roman" w:cs="Times New Roman"/>
          <w:iCs/>
          <w:sz w:val="24"/>
          <w:szCs w:val="24"/>
        </w:rPr>
        <w:t xml:space="preserve">higher </w:t>
      </w:r>
      <w:r w:rsidR="002D74BC">
        <w:rPr>
          <w:rFonts w:ascii="Times New Roman" w:hAnsi="Times New Roman" w:cs="Times New Roman"/>
          <w:iCs/>
          <w:sz w:val="24"/>
          <w:szCs w:val="24"/>
        </w:rPr>
        <w:t xml:space="preserve">compressive and tensile TMJ loading during ipsilateral molar biting </w:t>
      </w:r>
      <w:r w:rsidR="007B738E">
        <w:rPr>
          <w:rFonts w:ascii="Times New Roman" w:hAnsi="Times New Roman" w:cs="Times New Roman"/>
          <w:iCs/>
          <w:sz w:val="24"/>
          <w:szCs w:val="24"/>
        </w:rPr>
        <w:t>for weakened masseter and temporalis muscles</w:t>
      </w:r>
      <w:r w:rsidR="000627C5">
        <w:rPr>
          <w:rFonts w:ascii="Times New Roman" w:hAnsi="Times New Roman" w:cs="Times New Roman"/>
          <w:iCs/>
          <w:sz w:val="24"/>
          <w:szCs w:val="24"/>
        </w:rPr>
        <w:t xml:space="preserve"> (</w:t>
      </w:r>
      <w:r w:rsidR="00A5004D">
        <w:rPr>
          <w:rFonts w:ascii="Times New Roman" w:hAnsi="Times New Roman" w:cs="Times New Roman"/>
          <w:iCs/>
          <w:sz w:val="24"/>
          <w:szCs w:val="24"/>
        </w:rPr>
        <w:fldChar w:fldCharType="begin"/>
      </w:r>
      <w:r w:rsidR="00A5004D">
        <w:rPr>
          <w:rFonts w:ascii="Times New Roman" w:hAnsi="Times New Roman" w:cs="Times New Roman"/>
          <w:iCs/>
          <w:sz w:val="24"/>
          <w:szCs w:val="24"/>
        </w:rPr>
        <w:instrText xml:space="preserve"> REF _Ref140223567 \h </w:instrText>
      </w:r>
      <w:r w:rsidR="005D4F4C">
        <w:rPr>
          <w:rFonts w:ascii="Times New Roman" w:hAnsi="Times New Roman" w:cs="Times New Roman"/>
          <w:iCs/>
          <w:sz w:val="24"/>
          <w:szCs w:val="24"/>
        </w:rPr>
        <w:instrText xml:space="preserve"> \* MERGEFORMAT </w:instrText>
      </w:r>
      <w:r w:rsidR="00A5004D">
        <w:rPr>
          <w:rFonts w:ascii="Times New Roman" w:hAnsi="Times New Roman" w:cs="Times New Roman"/>
          <w:iCs/>
          <w:sz w:val="24"/>
          <w:szCs w:val="24"/>
        </w:rPr>
      </w:r>
      <w:r w:rsidR="00A5004D">
        <w:rPr>
          <w:rFonts w:ascii="Times New Roman" w:hAnsi="Times New Roman" w:cs="Times New Roman"/>
          <w:iCs/>
          <w:sz w:val="24"/>
          <w:szCs w:val="24"/>
        </w:rPr>
        <w:fldChar w:fldCharType="separate"/>
      </w:r>
      <w:r w:rsidR="00A5004D" w:rsidRPr="005D4F4C">
        <w:rPr>
          <w:rFonts w:ascii="Times New Roman" w:hAnsi="Times New Roman" w:cs="Times New Roman"/>
          <w:iCs/>
          <w:sz w:val="24"/>
          <w:szCs w:val="24"/>
        </w:rPr>
        <w:t>Figure S3</w:t>
      </w:r>
      <w:r w:rsidR="00A5004D">
        <w:rPr>
          <w:rFonts w:ascii="Times New Roman" w:hAnsi="Times New Roman" w:cs="Times New Roman"/>
          <w:iCs/>
          <w:sz w:val="24"/>
          <w:szCs w:val="24"/>
        </w:rPr>
        <w:fldChar w:fldCharType="end"/>
      </w:r>
      <w:r w:rsidR="000627C5">
        <w:rPr>
          <w:rFonts w:ascii="Times New Roman" w:hAnsi="Times New Roman" w:cs="Times New Roman"/>
          <w:iCs/>
          <w:sz w:val="24"/>
          <w:szCs w:val="24"/>
        </w:rPr>
        <w:t>).</w:t>
      </w:r>
      <w:r w:rsidR="00B769AF">
        <w:rPr>
          <w:rFonts w:ascii="Times New Roman" w:hAnsi="Times New Roman" w:cs="Times New Roman"/>
          <w:iCs/>
          <w:sz w:val="24"/>
          <w:szCs w:val="24"/>
        </w:rPr>
        <w:t xml:space="preserve"> </w:t>
      </w:r>
      <w:r w:rsidR="001F4A69">
        <w:rPr>
          <w:rFonts w:ascii="Times New Roman" w:hAnsi="Times New Roman" w:cs="Times New Roman"/>
          <w:iCs/>
          <w:sz w:val="24"/>
          <w:szCs w:val="24"/>
        </w:rPr>
        <w:t>There is</w:t>
      </w:r>
      <w:r w:rsidR="00B769AF">
        <w:rPr>
          <w:rFonts w:ascii="Times New Roman" w:hAnsi="Times New Roman" w:cs="Times New Roman"/>
          <w:iCs/>
          <w:sz w:val="24"/>
          <w:szCs w:val="24"/>
        </w:rPr>
        <w:t xml:space="preserve"> no a</w:t>
      </w:r>
      <w:r w:rsidR="00987CC1">
        <w:rPr>
          <w:rFonts w:ascii="Times New Roman" w:hAnsi="Times New Roman" w:cs="Times New Roman"/>
          <w:iCs/>
          <w:sz w:val="24"/>
          <w:szCs w:val="24"/>
        </w:rPr>
        <w:t xml:space="preserve">vailable literature directly compares EMG activity </w:t>
      </w:r>
      <w:proofErr w:type="spellStart"/>
      <w:r w:rsidR="001F4A69">
        <w:rPr>
          <w:rFonts w:ascii="Times New Roman" w:hAnsi="Times New Roman" w:cs="Times New Roman"/>
          <w:iCs/>
          <w:sz w:val="24"/>
          <w:szCs w:val="24"/>
        </w:rPr>
        <w:t>od</w:t>
      </w:r>
      <w:proofErr w:type="spellEnd"/>
      <w:r w:rsidR="001F4A69">
        <w:rPr>
          <w:rFonts w:ascii="Times New Roman" w:hAnsi="Times New Roman" w:cs="Times New Roman"/>
          <w:iCs/>
          <w:sz w:val="24"/>
          <w:szCs w:val="24"/>
        </w:rPr>
        <w:t xml:space="preserve"> the temporalis and masseter muscles </w:t>
      </w:r>
      <w:r w:rsidR="00987CC1">
        <w:rPr>
          <w:rFonts w:ascii="Times New Roman" w:hAnsi="Times New Roman" w:cs="Times New Roman"/>
          <w:iCs/>
          <w:sz w:val="24"/>
          <w:szCs w:val="24"/>
        </w:rPr>
        <w:t>of TMJR patients to healthy controls</w:t>
      </w:r>
      <w:r w:rsidR="001F4A69">
        <w:rPr>
          <w:rFonts w:ascii="Times New Roman" w:hAnsi="Times New Roman" w:cs="Times New Roman"/>
          <w:iCs/>
          <w:sz w:val="24"/>
          <w:szCs w:val="24"/>
        </w:rPr>
        <w:t>. However,</w:t>
      </w:r>
      <w:r w:rsidR="00987CC1">
        <w:rPr>
          <w:rFonts w:ascii="Times New Roman" w:hAnsi="Times New Roman" w:cs="Times New Roman"/>
          <w:iCs/>
          <w:sz w:val="24"/>
          <w:szCs w:val="24"/>
        </w:rPr>
        <w:t xml:space="preserve"> studies comparing </w:t>
      </w:r>
      <w:r w:rsidR="00842F6F">
        <w:rPr>
          <w:rFonts w:ascii="Times New Roman" w:hAnsi="Times New Roman" w:cs="Times New Roman"/>
          <w:iCs/>
          <w:sz w:val="24"/>
          <w:szCs w:val="24"/>
        </w:rPr>
        <w:t>contralateral to ipsilateral muscle function of unilateral total TMJR patients found</w:t>
      </w:r>
      <w:r w:rsidR="005D429F">
        <w:rPr>
          <w:rFonts w:ascii="Times New Roman" w:hAnsi="Times New Roman" w:cs="Times New Roman"/>
          <w:iCs/>
          <w:sz w:val="24"/>
          <w:szCs w:val="24"/>
        </w:rPr>
        <w:t xml:space="preserve"> operated to non-operated muscle force ratios of </w:t>
      </w:r>
      <w:r w:rsidR="00D22089">
        <w:rPr>
          <w:rFonts w:ascii="Times New Roman" w:hAnsi="Times New Roman" w:cs="Times New Roman"/>
          <w:iCs/>
          <w:sz w:val="24"/>
          <w:szCs w:val="24"/>
        </w:rPr>
        <w:t xml:space="preserve">0.97 and </w:t>
      </w:r>
      <w:r w:rsidR="00526E49">
        <w:rPr>
          <w:rFonts w:ascii="Times New Roman" w:hAnsi="Times New Roman" w:cs="Times New Roman"/>
          <w:iCs/>
          <w:sz w:val="24"/>
          <w:szCs w:val="24"/>
        </w:rPr>
        <w:t>0.89 for the masseter and temporalis, respectively, 12 months after surgery</w:t>
      </w:r>
      <w:r w:rsidR="00AD4661">
        <w:rPr>
          <w:rFonts w:ascii="Times New Roman" w:hAnsi="Times New Roman" w:cs="Times New Roman"/>
          <w:iCs/>
          <w:sz w:val="24"/>
          <w:szCs w:val="24"/>
        </w:rPr>
        <w:t xml:space="preserve"> </w:t>
      </w:r>
      <w:r w:rsidR="00AD4661">
        <w:rPr>
          <w:rFonts w:ascii="Times New Roman" w:hAnsi="Times New Roman" w:cs="Times New Roman"/>
          <w:iCs/>
          <w:sz w:val="24"/>
          <w:szCs w:val="24"/>
        </w:rPr>
        <w:fldChar w:fldCharType="begin" w:fldLock="1"/>
      </w:r>
      <w:r w:rsidR="004E5D05">
        <w:rPr>
          <w:rFonts w:ascii="Times New Roman" w:hAnsi="Times New Roman" w:cs="Times New Roman"/>
          <w:iCs/>
          <w:sz w:val="24"/>
          <w:szCs w:val="24"/>
        </w:rPr>
        <w:instrText>ADDIN CSL_CITATION {"citationItems":[{"id":"ITEM-1","itemData":{"abstract":"The functioning of the masseter and anterior temporal muscles was recorded by electromyography (EMG) in 15 patients with disc interference of the temporomandibular joints, before surgery and three months, six months and one year afterwards. EMG recordings were made during maximal bite in intercuspal position and while chewing. The mean electrical activity in the masseter and anterior temporal muscles, both on the operated and nonoperated sides, decreased markedly three months after surgery, especially during maximal bite in intercuspal position, but increased to above the preoperative values at the one-year recording in both functions. Statistically, significantly lower activities were seen on the operated side in patients with anterior dislocation of the disc without reduction, as compared to patients with reduction of the disc. The EMG activities of the masseter muscles on the nonoperated side were significantly lower in women and in older patients, as well as in patients with a longer duration of symptoms than in men and younger patients.","author":[{"dropping-particle":"","family":"Raustia","given":"Aune M.","non-dropping-particle":"","parse-names":false,"suffix":""},{"dropping-particle":"","family":"Oikarinen","given":"Kyösti S.","non-dropping-particle":"","parse-names":false,"suffix":""},{"dropping-particle":"","family":"Pernu","given":"Hannu","non-dropping-particle":"","parse-names":false,"suffix":""}],"container-title":"International Journal of Oral and Maxillofacial Surgery","id":"ITEM-1","issue":"4","issued":{"date-parts":[["1997"]]},"page":"253-257","title":"Changes in electrical activity of masseter and temporal muscles after temporomandibular joint surgery: A one-year follow up","type":"article-journal","volume":"26"},"uris":["http://www.mendeley.com/documents/?uuid=91feaad0-16b0-4b55-b035-b8785b5edc21"]}],"mendeley":{"formattedCitation":"(Raustia et al. 1997)","plainTextFormattedCitation":"(Raustia et al. 1997)","previouslyFormattedCitation":"(Raustia et al. 1997)"},"properties":{"noteIndex":0},"schema":"https://github.com/citation-style-language/schema/raw/master/csl-citation.json"}</w:instrText>
      </w:r>
      <w:r w:rsidR="00AD4661">
        <w:rPr>
          <w:rFonts w:ascii="Times New Roman" w:hAnsi="Times New Roman" w:cs="Times New Roman"/>
          <w:iCs/>
          <w:sz w:val="24"/>
          <w:szCs w:val="24"/>
        </w:rPr>
        <w:fldChar w:fldCharType="separate"/>
      </w:r>
      <w:r w:rsidR="00AD4661" w:rsidRPr="00AD4661">
        <w:rPr>
          <w:rFonts w:ascii="Times New Roman" w:hAnsi="Times New Roman" w:cs="Times New Roman"/>
          <w:iCs/>
          <w:noProof/>
          <w:sz w:val="24"/>
          <w:szCs w:val="24"/>
        </w:rPr>
        <w:t>(Raustia et al. 1997)</w:t>
      </w:r>
      <w:r w:rsidR="00AD4661">
        <w:rPr>
          <w:rFonts w:ascii="Times New Roman" w:hAnsi="Times New Roman" w:cs="Times New Roman"/>
          <w:iCs/>
          <w:sz w:val="24"/>
          <w:szCs w:val="24"/>
        </w:rPr>
        <w:fldChar w:fldCharType="end"/>
      </w:r>
      <w:r w:rsidR="00373441">
        <w:rPr>
          <w:rFonts w:ascii="Times New Roman" w:hAnsi="Times New Roman" w:cs="Times New Roman"/>
          <w:iCs/>
          <w:sz w:val="24"/>
          <w:szCs w:val="24"/>
        </w:rPr>
        <w:t>. Therefore, it is reasonable to assume that the temporalis and masseter muscles</w:t>
      </w:r>
      <w:r w:rsidR="00163786">
        <w:rPr>
          <w:rFonts w:ascii="Times New Roman" w:hAnsi="Times New Roman" w:cs="Times New Roman"/>
          <w:iCs/>
          <w:sz w:val="24"/>
          <w:szCs w:val="24"/>
        </w:rPr>
        <w:t xml:space="preserve"> of the unilateral total TMJ replacement patients in this study were operating between 90% to 100% of their </w:t>
      </w:r>
      <w:r w:rsidR="00417020">
        <w:rPr>
          <w:rFonts w:ascii="Times New Roman" w:hAnsi="Times New Roman" w:cs="Times New Roman"/>
          <w:iCs/>
          <w:sz w:val="24"/>
          <w:szCs w:val="24"/>
        </w:rPr>
        <w:t>full capacity.</w:t>
      </w:r>
    </w:p>
    <w:p w14:paraId="3BBCFB8E" w14:textId="279C3B2D" w:rsidR="00185B62" w:rsidRDefault="00185B62" w:rsidP="006057CB">
      <w:pPr>
        <w:spacing w:line="480" w:lineRule="auto"/>
        <w:ind w:firstLine="720"/>
        <w:jc w:val="both"/>
        <w:rPr>
          <w:rFonts w:ascii="Times New Roman" w:hAnsi="Times New Roman" w:cs="Times New Roman"/>
          <w:iCs/>
          <w:sz w:val="24"/>
          <w:szCs w:val="24"/>
        </w:rPr>
      </w:pPr>
    </w:p>
    <w:p w14:paraId="1002DA2D" w14:textId="2A793DC5" w:rsidR="00185B62" w:rsidRDefault="00185B62" w:rsidP="006057CB">
      <w:pPr>
        <w:spacing w:line="480" w:lineRule="auto"/>
        <w:ind w:firstLine="720"/>
        <w:jc w:val="both"/>
        <w:rPr>
          <w:rFonts w:ascii="Times New Roman" w:hAnsi="Times New Roman" w:cs="Times New Roman"/>
          <w:iCs/>
          <w:sz w:val="24"/>
          <w:szCs w:val="24"/>
        </w:rPr>
      </w:pPr>
    </w:p>
    <w:p w14:paraId="259C5990" w14:textId="39455469" w:rsidR="00185B62" w:rsidRDefault="00185B62" w:rsidP="006057CB">
      <w:pPr>
        <w:spacing w:line="480" w:lineRule="auto"/>
        <w:ind w:firstLine="720"/>
        <w:jc w:val="both"/>
        <w:rPr>
          <w:rFonts w:ascii="Times New Roman" w:hAnsi="Times New Roman" w:cs="Times New Roman"/>
          <w:iCs/>
          <w:sz w:val="24"/>
          <w:szCs w:val="24"/>
        </w:rPr>
      </w:pPr>
    </w:p>
    <w:p w14:paraId="6A661A21" w14:textId="3DCC7758" w:rsidR="00185B62" w:rsidRDefault="00185B62" w:rsidP="006057CB">
      <w:pPr>
        <w:spacing w:line="480" w:lineRule="auto"/>
        <w:ind w:firstLine="720"/>
        <w:jc w:val="both"/>
        <w:rPr>
          <w:rFonts w:ascii="Times New Roman" w:hAnsi="Times New Roman" w:cs="Times New Roman"/>
          <w:iCs/>
          <w:sz w:val="24"/>
          <w:szCs w:val="24"/>
        </w:rPr>
      </w:pPr>
    </w:p>
    <w:p w14:paraId="69749968" w14:textId="2E0A042A" w:rsidR="00185B62" w:rsidRDefault="000B7632" w:rsidP="006057CB">
      <w:pPr>
        <w:spacing w:line="480" w:lineRule="auto"/>
        <w:ind w:firstLine="720"/>
        <w:jc w:val="both"/>
        <w:rPr>
          <w:rFonts w:ascii="Times New Roman" w:hAnsi="Times New Roman" w:cs="Times New Roman"/>
          <w:iCs/>
          <w:sz w:val="24"/>
          <w:szCs w:val="24"/>
        </w:rPr>
      </w:pPr>
      <w:r>
        <w:rPr>
          <w:noProof/>
        </w:rPr>
        <w:lastRenderedPageBreak/>
        <w:drawing>
          <wp:anchor distT="0" distB="0" distL="114300" distR="114300" simplePos="0" relativeHeight="251659264" behindDoc="0" locked="0" layoutInCell="1" allowOverlap="1" wp14:anchorId="63E01E45" wp14:editId="488834D5">
            <wp:simplePos x="0" y="0"/>
            <wp:positionH relativeFrom="page">
              <wp:posOffset>579120</wp:posOffset>
            </wp:positionH>
            <wp:positionV relativeFrom="margin">
              <wp:posOffset>71755</wp:posOffset>
            </wp:positionV>
            <wp:extent cx="6783705" cy="4343400"/>
            <wp:effectExtent l="0" t="0" r="0" b="0"/>
            <wp:wrapSquare wrapText="bothSides"/>
            <wp:docPr id="19464234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83705" cy="4343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14:anchorId="48D0B0A9" wp14:editId="7B034C04">
                <wp:simplePos x="0" y="0"/>
                <wp:positionH relativeFrom="margin">
                  <wp:posOffset>-377825</wp:posOffset>
                </wp:positionH>
                <wp:positionV relativeFrom="paragraph">
                  <wp:posOffset>4592320</wp:posOffset>
                </wp:positionV>
                <wp:extent cx="6783705" cy="635"/>
                <wp:effectExtent l="0" t="0" r="0" b="6985"/>
                <wp:wrapSquare wrapText="bothSides"/>
                <wp:docPr id="181896095" name="Text Box 1"/>
                <wp:cNvGraphicFramePr/>
                <a:graphic xmlns:a="http://schemas.openxmlformats.org/drawingml/2006/main">
                  <a:graphicData uri="http://schemas.microsoft.com/office/word/2010/wordprocessingShape">
                    <wps:wsp>
                      <wps:cNvSpPr txBox="1"/>
                      <wps:spPr>
                        <a:xfrm>
                          <a:off x="0" y="0"/>
                          <a:ext cx="6783705" cy="635"/>
                        </a:xfrm>
                        <a:prstGeom prst="rect">
                          <a:avLst/>
                        </a:prstGeom>
                        <a:solidFill>
                          <a:prstClr val="white"/>
                        </a:solidFill>
                        <a:ln>
                          <a:noFill/>
                        </a:ln>
                      </wps:spPr>
                      <wps:txbx>
                        <w:txbxContent>
                          <w:p w14:paraId="1746AC4F" w14:textId="166A7FE3" w:rsidR="00185B62" w:rsidRPr="00DE6854" w:rsidRDefault="00185B62" w:rsidP="00AF5559">
                            <w:pPr>
                              <w:pStyle w:val="Caption"/>
                              <w:jc w:val="center"/>
                              <w:rPr>
                                <w:noProof/>
                              </w:rPr>
                            </w:pPr>
                            <w:bookmarkStart w:id="1" w:name="_Ref140223560"/>
                            <w:r>
                              <w:t>Figure S</w:t>
                            </w:r>
                            <w:r>
                              <w:fldChar w:fldCharType="begin"/>
                            </w:r>
                            <w:r>
                              <w:instrText xml:space="preserve"> SEQ Figure \* ARABIC </w:instrText>
                            </w:r>
                            <w:r>
                              <w:fldChar w:fldCharType="separate"/>
                            </w:r>
                            <w:r w:rsidR="00AF5559">
                              <w:rPr>
                                <w:noProof/>
                              </w:rPr>
                              <w:t>2</w:t>
                            </w:r>
                            <w:r>
                              <w:fldChar w:fldCharType="end"/>
                            </w:r>
                            <w:bookmarkEnd w:id="1"/>
                            <w:r>
                              <w:t>:</w:t>
                            </w:r>
                            <w:r w:rsidR="00D77DAB">
                              <w:t xml:space="preserve"> </w:t>
                            </w:r>
                            <w:r w:rsidR="00404094">
                              <w:t>Resultant m</w:t>
                            </w:r>
                            <w:r w:rsidR="00427823">
                              <w:t>uscle forces for the anterior temporalis, posterior temporalis, superficial masseter, medial ptery</w:t>
                            </w:r>
                            <w:r w:rsidR="001A1E48">
                              <w:t>goid and inferior lateral pterygoid muscles</w:t>
                            </w:r>
                            <w:r w:rsidR="00404094">
                              <w:t xml:space="preserve"> when the </w:t>
                            </w:r>
                            <w:r w:rsidR="00E6255F">
                              <w:t xml:space="preserve">maximum isometric force of the </w:t>
                            </w:r>
                            <w:r w:rsidR="00A34FB8">
                              <w:t xml:space="preserve">temporalis and masseter sub-regions are modelled as 50%, 60%, 70%, 80%, 90% and 100% of their </w:t>
                            </w:r>
                            <w:r w:rsidR="00D2161C">
                              <w:t>full</w:t>
                            </w:r>
                            <w:r w:rsidR="00A34FB8">
                              <w:t xml:space="preserve"> capacity.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oel="http://schemas.microsoft.com/office/2019/extlst">
            <w:pict>
              <v:shapetype w14:anchorId="48D0B0A9" id="_x0000_t202" coordsize="21600,21600" o:spt="202" path="m,l,21600r21600,l21600,xe">
                <v:stroke joinstyle="miter"/>
                <v:path gradientshapeok="t" o:connecttype="rect"/>
              </v:shapetype>
              <v:shape id="Text Box 1" o:spid="_x0000_s1026" type="#_x0000_t202" style="position:absolute;left:0;text-align:left;margin-left:-29.75pt;margin-top:361.6pt;width:534.15pt;height:.0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" stroked="f">
                <v:textbox style="mso-fit-shape-to-text:t" inset="0,0,0,0">
                  <w:txbxContent>
                    <w:p w14:paraId="1746AC4F" w14:textId="166A7FE3" w:rsidR="00185B62" w:rsidRPr="00DE6854" w:rsidRDefault="00185B62" w:rsidP="00AF5559">
                      <w:pPr>
                        <w:pStyle w:val="Caption"/>
                        <w:jc w:val="center"/>
                        <w:rPr>
                          <w:noProof/>
                        </w:rPr>
                      </w:pPr>
                      <w:bookmarkStart w:id="2" w:name="_Ref140223560"/>
                      <w:r>
                        <w:t>Figure S</w:t>
                      </w:r>
                      <w:r>
                        <w:fldChar w:fldCharType="begin"/>
                      </w:r>
                      <w:r>
                        <w:instrText xml:space="preserve"> SEQ Figure \* ARABIC </w:instrText>
                      </w:r>
                      <w:r>
                        <w:fldChar w:fldCharType="separate"/>
                      </w:r>
                      <w:r w:rsidR="00AF5559">
                        <w:rPr>
                          <w:noProof/>
                        </w:rPr>
                        <w:t>2</w:t>
                      </w:r>
                      <w:r>
                        <w:fldChar w:fldCharType="end"/>
                      </w:r>
                      <w:bookmarkEnd w:id="2"/>
                      <w:r>
                        <w:t>:</w:t>
                      </w:r>
                      <w:r w:rsidR="00D77DAB">
                        <w:t xml:space="preserve"> </w:t>
                      </w:r>
                      <w:r w:rsidR="00404094">
                        <w:t>Resultant m</w:t>
                      </w:r>
                      <w:r w:rsidR="00427823">
                        <w:t>uscle forces for the anterior temporalis, posterior temporalis, superficial masseter, medial ptery</w:t>
                      </w:r>
                      <w:r w:rsidR="001A1E48">
                        <w:t>goid and inferior lateral pterygoid muscles</w:t>
                      </w:r>
                      <w:r w:rsidR="00404094">
                        <w:t xml:space="preserve"> when the </w:t>
                      </w:r>
                      <w:r w:rsidR="00E6255F">
                        <w:t xml:space="preserve">maximum isometric force of the </w:t>
                      </w:r>
                      <w:r w:rsidR="00A34FB8">
                        <w:t xml:space="preserve">temporalis and masseter sub-regions are modelled as 50%, 60%, 70%, 80%, 90% and 100% of their </w:t>
                      </w:r>
                      <w:r w:rsidR="00D2161C">
                        <w:t>full</w:t>
                      </w:r>
                      <w:r w:rsidR="00A34FB8">
                        <w:t xml:space="preserve"> capacity.</w:t>
                      </w:r>
                    </w:p>
                  </w:txbxContent>
                </v:textbox>
                <w10:wrap type="square" anchorx="margin"/>
              </v:shape>
            </w:pict>
          </mc:Fallback>
        </mc:AlternateContent>
      </w:r>
    </w:p>
    <w:p w14:paraId="368DCCC3" w14:textId="06D905B0" w:rsidR="00185B62" w:rsidRDefault="000B7632" w:rsidP="006057CB">
      <w:pPr>
        <w:spacing w:line="480" w:lineRule="auto"/>
        <w:ind w:firstLine="720"/>
        <w:jc w:val="both"/>
        <w:rPr>
          <w:rFonts w:ascii="Times New Roman" w:hAnsi="Times New Roman" w:cs="Times New Roman"/>
          <w:iCs/>
          <w:sz w:val="24"/>
          <w:szCs w:val="24"/>
        </w:rPr>
      </w:pPr>
      <w:r>
        <w:rPr>
          <w:noProof/>
        </w:rPr>
        <w:drawing>
          <wp:anchor distT="0" distB="0" distL="114300" distR="114300" simplePos="0" relativeHeight="251660288" behindDoc="0" locked="0" layoutInCell="1" allowOverlap="1" wp14:anchorId="5B029AE5" wp14:editId="3AF97B10">
            <wp:simplePos x="0" y="0"/>
            <wp:positionH relativeFrom="margin">
              <wp:posOffset>-267970</wp:posOffset>
            </wp:positionH>
            <wp:positionV relativeFrom="margin">
              <wp:posOffset>5370195</wp:posOffset>
            </wp:positionV>
            <wp:extent cx="6496050" cy="2249170"/>
            <wp:effectExtent l="0" t="0" r="0" b="0"/>
            <wp:wrapSquare wrapText="bothSides"/>
            <wp:docPr id="14644357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96050" cy="22491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0" locked="0" layoutInCell="1" allowOverlap="1" wp14:anchorId="78FF2032" wp14:editId="0624F837">
                <wp:simplePos x="0" y="0"/>
                <wp:positionH relativeFrom="margin">
                  <wp:align>center</wp:align>
                </wp:positionH>
                <wp:positionV relativeFrom="paragraph">
                  <wp:posOffset>2953385</wp:posOffset>
                </wp:positionV>
                <wp:extent cx="6496050" cy="635"/>
                <wp:effectExtent l="0" t="0" r="0" b="0"/>
                <wp:wrapSquare wrapText="bothSides"/>
                <wp:docPr id="1301513192" name="Text Box 1"/>
                <wp:cNvGraphicFramePr/>
                <a:graphic xmlns:a="http://schemas.openxmlformats.org/drawingml/2006/main">
                  <a:graphicData uri="http://schemas.microsoft.com/office/word/2010/wordprocessingShape">
                    <wps:wsp>
                      <wps:cNvSpPr txBox="1"/>
                      <wps:spPr>
                        <a:xfrm>
                          <a:off x="0" y="0"/>
                          <a:ext cx="6496050" cy="635"/>
                        </a:xfrm>
                        <a:prstGeom prst="rect">
                          <a:avLst/>
                        </a:prstGeom>
                        <a:solidFill>
                          <a:prstClr val="white"/>
                        </a:solidFill>
                        <a:ln>
                          <a:noFill/>
                        </a:ln>
                      </wps:spPr>
                      <wps:txbx>
                        <w:txbxContent>
                          <w:p w14:paraId="337DB9E3" w14:textId="5730C3AE" w:rsidR="00AF5559" w:rsidRPr="0036444C" w:rsidRDefault="00AF5559" w:rsidP="00D2161C">
                            <w:pPr>
                              <w:pStyle w:val="Caption"/>
                              <w:jc w:val="center"/>
                              <w:rPr>
                                <w:noProof/>
                              </w:rPr>
                            </w:pPr>
                            <w:bookmarkStart w:id="2" w:name="_Ref140223567"/>
                            <w:r>
                              <w:t>Figure S</w:t>
                            </w:r>
                            <w:r>
                              <w:fldChar w:fldCharType="begin"/>
                            </w:r>
                            <w:r>
                              <w:instrText xml:space="preserve"> SEQ Figure \* ARABIC </w:instrText>
                            </w:r>
                            <w:r>
                              <w:fldChar w:fldCharType="separate"/>
                            </w:r>
                            <w:r>
                              <w:rPr>
                                <w:noProof/>
                              </w:rPr>
                              <w:t>3</w:t>
                            </w:r>
                            <w:r>
                              <w:fldChar w:fldCharType="end"/>
                            </w:r>
                            <w:bookmarkEnd w:id="2"/>
                            <w:r>
                              <w:t xml:space="preserve">: TMJ loading </w:t>
                            </w:r>
                            <w:r w:rsidR="0094787B">
                              <w:t>when the maximum isometric force of the temporalis and masseter sub-regions are modelled as 50%, 60%, 70%, 80%, 90% and 100%</w:t>
                            </w:r>
                            <w:r w:rsidR="00D2161C">
                              <w:t xml:space="preserve"> of their full capacity.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oel="http://schemas.microsoft.com/office/2019/extlst">
            <w:pict>
              <v:shape w14:anchorId="78FF2032" id="_x0000_s1027" type="#_x0000_t202" style="position:absolute;left:0;text-align:left;margin-left:0;margin-top:232.55pt;width:511.5pt;height:.05pt;z-index:2516643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" stroked="f">
                <v:textbox style="mso-fit-shape-to-text:t" inset="0,0,0,0">
                  <w:txbxContent>
                    <w:p w14:paraId="337DB9E3" w14:textId="5730C3AE" w:rsidR="00AF5559" w:rsidRPr="0036444C" w:rsidRDefault="00AF5559" w:rsidP="00D2161C">
                      <w:pPr>
                        <w:pStyle w:val="Caption"/>
                        <w:jc w:val="center"/>
                        <w:rPr>
                          <w:noProof/>
                        </w:rPr>
                      </w:pPr>
                      <w:bookmarkStart w:id="4" w:name="_Ref140223567"/>
                      <w:r>
                        <w:t>Figure S</w:t>
                      </w:r>
                      <w:r>
                        <w:fldChar w:fldCharType="begin"/>
                      </w:r>
                      <w:r>
                        <w:instrText xml:space="preserve"> SEQ Figure \* ARABIC </w:instrText>
                      </w:r>
                      <w:r>
                        <w:fldChar w:fldCharType="separate"/>
                      </w:r>
                      <w:r>
                        <w:rPr>
                          <w:noProof/>
                        </w:rPr>
                        <w:t>3</w:t>
                      </w:r>
                      <w:r>
                        <w:fldChar w:fldCharType="end"/>
                      </w:r>
                      <w:bookmarkEnd w:id="4"/>
                      <w:r>
                        <w:t xml:space="preserve">: TMJ loading </w:t>
                      </w:r>
                      <w:r w:rsidR="0094787B">
                        <w:t>when the maximum isometric force of the temporalis and masseter sub-regions are modelled as 50%, 60%, 70%, 80%, 90% and 100%</w:t>
                      </w:r>
                      <w:r w:rsidR="00D2161C">
                        <w:t xml:space="preserve"> of their full capacity.</w:t>
                      </w:r>
                    </w:p>
                  </w:txbxContent>
                </v:textbox>
                <w10:wrap type="square" anchorx="margin"/>
              </v:shape>
            </w:pict>
          </mc:Fallback>
        </mc:AlternateContent>
      </w:r>
    </w:p>
    <w:p w14:paraId="5D964295" w14:textId="1EF1768C" w:rsidR="004A272B" w:rsidRDefault="004A272B" w:rsidP="008A0F30">
      <w:pPr>
        <w:spacing w:line="480" w:lineRule="auto"/>
        <w:jc w:val="both"/>
        <w:rPr>
          <w:rFonts w:ascii="Times New Roman" w:hAnsi="Times New Roman" w:cs="Times New Roman"/>
          <w:iCs/>
          <w:sz w:val="24"/>
          <w:szCs w:val="24"/>
        </w:rPr>
      </w:pPr>
    </w:p>
    <w:p w14:paraId="6F11DC7A" w14:textId="401DB586" w:rsidR="004E5D05" w:rsidRPr="004E5D05" w:rsidRDefault="004E5D05" w:rsidP="004E5D05">
      <w:pPr>
        <w:widowControl w:val="0"/>
        <w:autoSpaceDE w:val="0"/>
        <w:autoSpaceDN w:val="0"/>
        <w:adjustRightInd w:val="0"/>
        <w:spacing w:line="480" w:lineRule="auto"/>
        <w:ind w:left="480" w:hanging="480"/>
        <w:jc w:val="center"/>
        <w:rPr>
          <w:rFonts w:ascii="Times New Roman" w:hAnsi="Times New Roman" w:cs="Times New Roman"/>
          <w:b/>
          <w:sz w:val="24"/>
          <w:szCs w:val="24"/>
        </w:rPr>
      </w:pPr>
      <w:r>
        <w:rPr>
          <w:rFonts w:ascii="Times New Roman" w:hAnsi="Times New Roman" w:cs="Times New Roman"/>
          <w:b/>
          <w:sz w:val="24"/>
          <w:szCs w:val="24"/>
        </w:rPr>
        <w:lastRenderedPageBreak/>
        <w:t>BIBLIOGRAPHY</w:t>
      </w:r>
    </w:p>
    <w:p w14:paraId="433E0CD1" w14:textId="4C90EE46" w:rsidR="004E5D05" w:rsidRPr="004E5D05" w:rsidRDefault="004E5D05" w:rsidP="004E5D05">
      <w:pPr>
        <w:widowControl w:val="0"/>
        <w:autoSpaceDE w:val="0"/>
        <w:autoSpaceDN w:val="0"/>
        <w:adjustRightInd w:val="0"/>
        <w:spacing w:line="480" w:lineRule="auto"/>
        <w:ind w:left="480" w:hanging="480"/>
        <w:rPr>
          <w:rFonts w:ascii="Times New Roman" w:hAnsi="Times New Roman" w:cs="Times New Roman"/>
          <w:noProof/>
          <w:sz w:val="24"/>
        </w:rPr>
      </w:pPr>
      <w:r>
        <w:rPr>
          <w:rFonts w:ascii="Times New Roman" w:hAnsi="Times New Roman" w:cs="Times New Roman"/>
          <w:iCs/>
          <w:sz w:val="24"/>
          <w:szCs w:val="24"/>
        </w:rPr>
        <w:fldChar w:fldCharType="begin" w:fldLock="1"/>
      </w:r>
      <w:r>
        <w:rPr>
          <w:rFonts w:ascii="Times New Roman" w:hAnsi="Times New Roman" w:cs="Times New Roman"/>
          <w:iCs/>
          <w:sz w:val="24"/>
          <w:szCs w:val="24"/>
        </w:rPr>
        <w:instrText xml:space="preserve">ADDIN Mendeley Bibliography CSL_BIBLIOGRAPHY </w:instrText>
      </w:r>
      <w:r>
        <w:rPr>
          <w:rFonts w:ascii="Times New Roman" w:hAnsi="Times New Roman" w:cs="Times New Roman"/>
          <w:iCs/>
          <w:sz w:val="24"/>
          <w:szCs w:val="24"/>
        </w:rPr>
        <w:fldChar w:fldCharType="separate"/>
      </w:r>
      <w:r w:rsidRPr="004E5D05">
        <w:rPr>
          <w:rFonts w:ascii="Times New Roman" w:hAnsi="Times New Roman" w:cs="Times New Roman"/>
          <w:noProof/>
          <w:sz w:val="24"/>
          <w:szCs w:val="24"/>
        </w:rPr>
        <w:t>Raustia AM, Oikarinen KS, Pernu H (1997) Changes in electrical activity of masseter and temporal muscles after temporomandibular joint surgery: A one-year follow up. Int J Oral Maxillofac Surg 26:253–257</w:t>
      </w:r>
    </w:p>
    <w:p w14:paraId="69EF429C" w14:textId="0A9591AB" w:rsidR="004E5D05" w:rsidRPr="000801A9" w:rsidRDefault="004E5D05" w:rsidP="008A0F30">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fldChar w:fldCharType="end"/>
      </w:r>
    </w:p>
    <w:sectPr w:rsidR="004E5D05" w:rsidRPr="000801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466"/>
    <w:rsid w:val="0000668C"/>
    <w:rsid w:val="00011DB7"/>
    <w:rsid w:val="00036466"/>
    <w:rsid w:val="00054523"/>
    <w:rsid w:val="00061CEC"/>
    <w:rsid w:val="000627C5"/>
    <w:rsid w:val="000801A9"/>
    <w:rsid w:val="000865A2"/>
    <w:rsid w:val="000B7632"/>
    <w:rsid w:val="001377A5"/>
    <w:rsid w:val="0015461A"/>
    <w:rsid w:val="00163786"/>
    <w:rsid w:val="0018353B"/>
    <w:rsid w:val="00185B62"/>
    <w:rsid w:val="001A1E48"/>
    <w:rsid w:val="001C6E63"/>
    <w:rsid w:val="001D78CA"/>
    <w:rsid w:val="001F4A69"/>
    <w:rsid w:val="002172C2"/>
    <w:rsid w:val="0023666F"/>
    <w:rsid w:val="00250A49"/>
    <w:rsid w:val="00261384"/>
    <w:rsid w:val="00281923"/>
    <w:rsid w:val="002C136C"/>
    <w:rsid w:val="002D74BC"/>
    <w:rsid w:val="00311815"/>
    <w:rsid w:val="00331E72"/>
    <w:rsid w:val="00373441"/>
    <w:rsid w:val="0038280C"/>
    <w:rsid w:val="00384F22"/>
    <w:rsid w:val="003A5535"/>
    <w:rsid w:val="003A696A"/>
    <w:rsid w:val="003B3C29"/>
    <w:rsid w:val="003D0D10"/>
    <w:rsid w:val="003D7686"/>
    <w:rsid w:val="003E160D"/>
    <w:rsid w:val="0040103E"/>
    <w:rsid w:val="00404094"/>
    <w:rsid w:val="00407CA2"/>
    <w:rsid w:val="00417020"/>
    <w:rsid w:val="00417A59"/>
    <w:rsid w:val="00427823"/>
    <w:rsid w:val="00471356"/>
    <w:rsid w:val="00480164"/>
    <w:rsid w:val="004910FA"/>
    <w:rsid w:val="004A272B"/>
    <w:rsid w:val="004E346D"/>
    <w:rsid w:val="004E5D05"/>
    <w:rsid w:val="004F69DC"/>
    <w:rsid w:val="00526E49"/>
    <w:rsid w:val="00560661"/>
    <w:rsid w:val="005801DF"/>
    <w:rsid w:val="005929D9"/>
    <w:rsid w:val="005D429F"/>
    <w:rsid w:val="005D4F4C"/>
    <w:rsid w:val="005F0BFE"/>
    <w:rsid w:val="006057CB"/>
    <w:rsid w:val="006853D9"/>
    <w:rsid w:val="00694C19"/>
    <w:rsid w:val="006A5BBE"/>
    <w:rsid w:val="006D0529"/>
    <w:rsid w:val="007644C7"/>
    <w:rsid w:val="00793970"/>
    <w:rsid w:val="007A0606"/>
    <w:rsid w:val="007B738E"/>
    <w:rsid w:val="007C07F3"/>
    <w:rsid w:val="007D15F5"/>
    <w:rsid w:val="008015BC"/>
    <w:rsid w:val="00824C4B"/>
    <w:rsid w:val="00842F6F"/>
    <w:rsid w:val="008A0F30"/>
    <w:rsid w:val="008A6E34"/>
    <w:rsid w:val="008C0CC7"/>
    <w:rsid w:val="008C2F65"/>
    <w:rsid w:val="00905F57"/>
    <w:rsid w:val="0094787B"/>
    <w:rsid w:val="00987CC1"/>
    <w:rsid w:val="009A562F"/>
    <w:rsid w:val="00A0181F"/>
    <w:rsid w:val="00A04A75"/>
    <w:rsid w:val="00A34FB8"/>
    <w:rsid w:val="00A5004D"/>
    <w:rsid w:val="00A54E1E"/>
    <w:rsid w:val="00A651E3"/>
    <w:rsid w:val="00A667AB"/>
    <w:rsid w:val="00AB0E25"/>
    <w:rsid w:val="00AD4661"/>
    <w:rsid w:val="00AF3CDE"/>
    <w:rsid w:val="00AF4C3D"/>
    <w:rsid w:val="00AF5559"/>
    <w:rsid w:val="00B769AF"/>
    <w:rsid w:val="00B85FB6"/>
    <w:rsid w:val="00BF127D"/>
    <w:rsid w:val="00C326B4"/>
    <w:rsid w:val="00CC4E3B"/>
    <w:rsid w:val="00CD4AD0"/>
    <w:rsid w:val="00D2161C"/>
    <w:rsid w:val="00D22089"/>
    <w:rsid w:val="00D36AD8"/>
    <w:rsid w:val="00D77DAB"/>
    <w:rsid w:val="00DA0509"/>
    <w:rsid w:val="00DA46E9"/>
    <w:rsid w:val="00DC0FED"/>
    <w:rsid w:val="00DC5B1F"/>
    <w:rsid w:val="00E23EBF"/>
    <w:rsid w:val="00E2516C"/>
    <w:rsid w:val="00E6255F"/>
    <w:rsid w:val="00ED312D"/>
    <w:rsid w:val="00F44BEB"/>
    <w:rsid w:val="00F518D4"/>
    <w:rsid w:val="00F9274F"/>
    <w:rsid w:val="00FD4F29"/>
    <w:rsid w:val="00FE6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8BBCC"/>
  <w15:chartTrackingRefBased/>
  <w15:docId w15:val="{2FCEDCEA-5254-49A6-BE77-B8BBA8AC8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62F"/>
    <w:rPr>
      <w:kern w:val="0"/>
      <w:lang w:val="en-AU"/>
      <w14:ligatures w14:val="none"/>
    </w:rPr>
  </w:style>
  <w:style w:type="paragraph" w:styleId="Heading1">
    <w:name w:val="heading 1"/>
    <w:basedOn w:val="Normal"/>
    <w:next w:val="Normal"/>
    <w:link w:val="Heading1Char"/>
    <w:uiPriority w:val="9"/>
    <w:qFormat/>
    <w:rsid w:val="002819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A562F"/>
    <w:rPr>
      <w:sz w:val="16"/>
      <w:szCs w:val="16"/>
    </w:rPr>
  </w:style>
  <w:style w:type="character" w:customStyle="1" w:styleId="Heading1Char">
    <w:name w:val="Heading 1 Char"/>
    <w:basedOn w:val="DefaultParagraphFont"/>
    <w:link w:val="Heading1"/>
    <w:uiPriority w:val="9"/>
    <w:rsid w:val="00281923"/>
    <w:rPr>
      <w:rFonts w:asciiTheme="majorHAnsi" w:eastAsiaTheme="majorEastAsia" w:hAnsiTheme="majorHAnsi" w:cstheme="majorBidi"/>
      <w:color w:val="2F5496" w:themeColor="accent1" w:themeShade="BF"/>
      <w:kern w:val="0"/>
      <w:sz w:val="32"/>
      <w:szCs w:val="32"/>
      <w:lang w:val="en-AU"/>
      <w14:ligatures w14:val="none"/>
    </w:rPr>
  </w:style>
  <w:style w:type="paragraph" w:styleId="Title">
    <w:name w:val="Title"/>
    <w:basedOn w:val="Normal"/>
    <w:next w:val="Normal"/>
    <w:link w:val="TitleChar"/>
    <w:uiPriority w:val="10"/>
    <w:qFormat/>
    <w:rsid w:val="00CD4AD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4AD0"/>
    <w:rPr>
      <w:rFonts w:asciiTheme="majorHAnsi" w:eastAsiaTheme="majorEastAsia" w:hAnsiTheme="majorHAnsi" w:cstheme="majorBidi"/>
      <w:spacing w:val="-10"/>
      <w:kern w:val="28"/>
      <w:sz w:val="56"/>
      <w:szCs w:val="56"/>
      <w:lang w:val="en-AU"/>
      <w14:ligatures w14:val="none"/>
    </w:rPr>
  </w:style>
  <w:style w:type="paragraph" w:styleId="Caption">
    <w:name w:val="caption"/>
    <w:basedOn w:val="Normal"/>
    <w:next w:val="Normal"/>
    <w:uiPriority w:val="35"/>
    <w:unhideWhenUsed/>
    <w:qFormat/>
    <w:rsid w:val="00DA0509"/>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70353-C896-4CBC-B6B8-77AC246DC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948</Words>
  <Characters>5407</Characters>
  <Application>Microsoft Office Word</Application>
  <DocSecurity>0</DocSecurity>
  <Lines>45</Lines>
  <Paragraphs>12</Paragraphs>
  <ScaleCrop>false</ScaleCrop>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Woodford</dc:creator>
  <cp:keywords/>
  <dc:description/>
  <cp:lastModifiedBy>David Ackland</cp:lastModifiedBy>
  <cp:revision>3</cp:revision>
  <dcterms:created xsi:type="dcterms:W3CDTF">2023-07-20T00:55:00Z</dcterms:created>
  <dcterms:modified xsi:type="dcterms:W3CDTF">2023-09-19T10:14:00Z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http://www.zotero.org/styles/annals-of-biomedical-engineering</vt:lpwstr>
  </property>
  <property fmtid="{D5CDD505-2E9C-101B-9397-08002B2CF9AE}" pid="5" name="Mendeley Recent Style Name 1_1">
    <vt:lpwstr>Annals of Biomedical Engineering</vt:lpwstr>
  </property>
  <property fmtid="{D5CDD505-2E9C-101B-9397-08002B2CF9AE}" pid="6" name="Mendeley Recent Style Id 2_1">
    <vt:lpwstr>http://www.zotero.org/styles/biomechanics-and-modeling-in-mechanobiology</vt:lpwstr>
  </property>
  <property fmtid="{D5CDD505-2E9C-101B-9397-08002B2CF9AE}" pid="7" name="Mendeley Recent Style Name 2_1">
    <vt:lpwstr>Biomechanics and Modeling in Mechanobiology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http://www.zotero.org/styles/journal-of-biomechanical-engineering</vt:lpwstr>
  </property>
  <property fmtid="{D5CDD505-2E9C-101B-9397-08002B2CF9AE}" pid="13" name="Mendeley Recent Style Name 5_1">
    <vt:lpwstr>Journal of Biomechanical Engineering</vt:lpwstr>
  </property>
  <property fmtid="{D5CDD505-2E9C-101B-9397-08002B2CF9AE}" pid="14" name="Mendeley Recent Style Id 6_1">
    <vt:lpwstr>http://www.zotero.org/styles/journal-of-biomechanics</vt:lpwstr>
  </property>
  <property fmtid="{D5CDD505-2E9C-101B-9397-08002B2CF9AE}" pid="15" name="Mendeley Recent Style Name 6_1">
    <vt:lpwstr>Journal of Biomechanics</vt:lpwstr>
  </property>
  <property fmtid="{D5CDD505-2E9C-101B-9397-08002B2CF9AE}" pid="16" name="Mendeley Recent Style Id 7_1">
    <vt:lpwstr>http://www.zotero.org/styles/medical-engineering-and-physics</vt:lpwstr>
  </property>
  <property fmtid="{D5CDD505-2E9C-101B-9397-08002B2CF9AE}" pid="17" name="Mendeley Recent Style Name 7_1">
    <vt:lpwstr>Medical Engineering and Physics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cf29e2ba-4f1b-32a1-b5d1-2db403355060</vt:lpwstr>
  </property>
  <property fmtid="{D5CDD505-2E9C-101B-9397-08002B2CF9AE}" pid="24" name="Mendeley Citation Style_1">
    <vt:lpwstr>http://www.zotero.org/styles/biomechanics-and-modeling-in-mechanobiology</vt:lpwstr>
  </property>
</Properties>
</file>