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17E" w:rsidRPr="00193DAB" w:rsidRDefault="00D1417E" w:rsidP="00193DAB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3DAB"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t>S</w:t>
      </w:r>
      <w:r w:rsidRPr="00193D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upplementary</w:t>
      </w:r>
      <w:r w:rsidRPr="00193DAB"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t xml:space="preserve"> m</w:t>
      </w:r>
      <w:r w:rsidRPr="00193D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aterials and methods</w:t>
      </w:r>
    </w:p>
    <w:p w:rsidR="00D1417E" w:rsidRPr="006D62F5" w:rsidRDefault="00D1417E" w:rsidP="00193DAB">
      <w:pPr>
        <w:spacing w:line="480" w:lineRule="auto"/>
        <w:rPr>
          <w:rFonts w:ascii="Times New Roman" w:hAnsi="Times New Roman" w:cs="Times New Roman"/>
          <w:b/>
          <w:color w:val="000000" w:themeColor="text1"/>
          <w:szCs w:val="24"/>
        </w:rPr>
      </w:pPr>
      <w:r w:rsidRPr="006D62F5">
        <w:rPr>
          <w:rFonts w:ascii="Times New Roman" w:hAnsi="Times New Roman" w:cs="Times New Roman"/>
          <w:b/>
          <w:color w:val="000000" w:themeColor="text1"/>
          <w:szCs w:val="24"/>
        </w:rPr>
        <w:t>SDS-PAGE and in-gel protein digestion</w:t>
      </w:r>
    </w:p>
    <w:p w:rsidR="00D1417E" w:rsidRPr="006D62F5" w:rsidRDefault="00D1417E" w:rsidP="00193DAB">
      <w:pPr>
        <w:spacing w:line="480" w:lineRule="auto"/>
        <w:ind w:firstLineChars="177" w:firstLine="425"/>
        <w:rPr>
          <w:rFonts w:ascii="Times New Roman" w:hAnsi="Times New Roman" w:cs="Times New Roman"/>
          <w:color w:val="000000" w:themeColor="text1"/>
          <w:szCs w:val="24"/>
        </w:rPr>
      </w:pPr>
      <w:r w:rsidRPr="006D62F5">
        <w:rPr>
          <w:rFonts w:ascii="Times New Roman" w:hAnsi="Times New Roman" w:cs="Times New Roman"/>
          <w:color w:val="000000" w:themeColor="text1"/>
          <w:szCs w:val="24"/>
        </w:rPr>
        <w:t xml:space="preserve">Proteins from the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biofilm </w:t>
      </w:r>
      <w:r w:rsidRPr="006D62F5">
        <w:rPr>
          <w:rFonts w:ascii="Times New Roman" w:hAnsi="Times New Roman" w:cs="Times New Roman"/>
          <w:color w:val="000000" w:themeColor="text1"/>
          <w:szCs w:val="24"/>
        </w:rPr>
        <w:t>samples were separated using 10% SDS-PAGE and stained with 0.5% Coomassie Brilliant Blue G-250 (AppliChem GmbH, Germany)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. </w:t>
      </w:r>
      <w:r w:rsidRPr="006D62F5">
        <w:rPr>
          <w:rFonts w:ascii="Times New Roman" w:hAnsi="Times New Roman" w:cs="Times New Roman"/>
          <w:color w:val="000000" w:themeColor="text1"/>
          <w:szCs w:val="24"/>
        </w:rPr>
        <w:t xml:space="preserve">The stained gel lanes were cut into </w:t>
      </w:r>
      <w:r>
        <w:rPr>
          <w:rFonts w:ascii="Times New Roman" w:hAnsi="Times New Roman" w:cs="Times New Roman"/>
          <w:color w:val="000000" w:themeColor="text1"/>
          <w:szCs w:val="24"/>
        </w:rPr>
        <w:t>10</w:t>
      </w:r>
      <w:r w:rsidRPr="006D62F5">
        <w:rPr>
          <w:rFonts w:ascii="Times New Roman" w:hAnsi="Times New Roman" w:cs="Times New Roman"/>
          <w:color w:val="000000" w:themeColor="text1"/>
          <w:szCs w:val="24"/>
        </w:rPr>
        <w:t xml:space="preserve"> slices and subjected to in-g</w:t>
      </w:r>
      <w:bookmarkStart w:id="0" w:name="_GoBack"/>
      <w:bookmarkEnd w:id="0"/>
      <w:r w:rsidRPr="006D62F5">
        <w:rPr>
          <w:rFonts w:ascii="Times New Roman" w:hAnsi="Times New Roman" w:cs="Times New Roman"/>
          <w:color w:val="000000" w:themeColor="text1"/>
          <w:szCs w:val="24"/>
        </w:rPr>
        <w:t>el tryptic di</w:t>
      </w:r>
      <w:r>
        <w:rPr>
          <w:rFonts w:ascii="Times New Roman" w:hAnsi="Times New Roman" w:cs="Times New Roman"/>
          <w:color w:val="000000" w:themeColor="text1"/>
          <w:szCs w:val="24"/>
        </w:rPr>
        <w:t>gestion as described previously</w:t>
      </w:r>
      <w:r w:rsidRPr="00193DAB">
        <w:rPr>
          <w:rFonts w:ascii="Times New Roman" w:hAnsi="Times New Roman" w:cs="Times New Roman"/>
          <w:noProof/>
          <w:color w:val="000000" w:themeColor="text1"/>
          <w:szCs w:val="24"/>
          <w:vertAlign w:val="superscript"/>
        </w:rPr>
        <w:t>1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. </w:t>
      </w:r>
      <w:r w:rsidRPr="006D62F5">
        <w:rPr>
          <w:rFonts w:ascii="Times New Roman" w:hAnsi="Times New Roman" w:cs="Times New Roman"/>
          <w:color w:val="000000" w:themeColor="text1"/>
          <w:szCs w:val="24"/>
        </w:rPr>
        <w:t>Briefly, the gel pieces were destained in 10% methanol (Mallinckrodt Baker, NJ, USA), then dehydrated in acetonitrile (Mallinckrodt Baker, NJ, USA) and dried in a SpeedVac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. </w:t>
      </w:r>
      <w:r w:rsidRPr="006D62F5">
        <w:rPr>
          <w:rFonts w:ascii="Times New Roman" w:hAnsi="Times New Roman" w:cs="Times New Roman"/>
          <w:color w:val="000000" w:themeColor="text1"/>
          <w:szCs w:val="24"/>
        </w:rPr>
        <w:t>The proteins were reduced with 25 mM NH</w:t>
      </w:r>
      <w:r w:rsidRPr="006D62F5">
        <w:rPr>
          <w:rFonts w:ascii="Times New Roman" w:hAnsi="Times New Roman" w:cs="Times New Roman"/>
          <w:color w:val="000000" w:themeColor="text1"/>
          <w:szCs w:val="24"/>
          <w:vertAlign w:val="subscript"/>
        </w:rPr>
        <w:t>4</w:t>
      </w:r>
      <w:r w:rsidRPr="006D62F5">
        <w:rPr>
          <w:rFonts w:ascii="Times New Roman" w:hAnsi="Times New Roman" w:cs="Times New Roman"/>
          <w:color w:val="000000" w:themeColor="text1"/>
          <w:szCs w:val="24"/>
        </w:rPr>
        <w:t>HCO</w:t>
      </w:r>
      <w:r w:rsidRPr="006D62F5">
        <w:rPr>
          <w:rFonts w:ascii="Times New Roman" w:hAnsi="Times New Roman" w:cs="Times New Roman"/>
          <w:color w:val="000000" w:themeColor="text1"/>
          <w:szCs w:val="24"/>
          <w:vertAlign w:val="subscript"/>
        </w:rPr>
        <w:t>3</w:t>
      </w:r>
      <w:r w:rsidRPr="006D62F5">
        <w:rPr>
          <w:rFonts w:ascii="Times New Roman" w:hAnsi="Times New Roman" w:cs="Times New Roman"/>
          <w:color w:val="000000" w:themeColor="text1"/>
          <w:szCs w:val="24"/>
        </w:rPr>
        <w:t xml:space="preserve"> containing 10 mM dithiothreitol (Biosynth AG, Switzerland) at 60</w:t>
      </w:r>
      <w:r w:rsidRPr="006D62F5">
        <w:rPr>
          <w:rFonts w:ascii="Times New Roman" w:hAnsi="Times New Roman" w:cs="Times New Roman"/>
          <w:color w:val="000000" w:themeColor="text1"/>
          <w:szCs w:val="24"/>
          <w:vertAlign w:val="superscript"/>
        </w:rPr>
        <w:t>o</w:t>
      </w:r>
      <w:r w:rsidRPr="006D62F5">
        <w:rPr>
          <w:rFonts w:ascii="Times New Roman" w:hAnsi="Times New Roman" w:cs="Times New Roman"/>
          <w:color w:val="000000" w:themeColor="text1"/>
          <w:szCs w:val="24"/>
        </w:rPr>
        <w:t>C for 30 min and alkylated with 55 mM iodoacetamide (Amersham Biosciences, UK) at room temperature for 30 min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. </w:t>
      </w:r>
      <w:r w:rsidRPr="006D62F5">
        <w:rPr>
          <w:rFonts w:ascii="Times New Roman" w:hAnsi="Times New Roman" w:cs="Times New Roman"/>
          <w:color w:val="000000" w:themeColor="text1"/>
          <w:szCs w:val="24"/>
        </w:rPr>
        <w:t>After reduction and alkylation, proteins were digested by sequencing-grade modified porcine trypsin (20 μg/mL; Promega, Madison, WI, USA) overnight at 37</w:t>
      </w:r>
      <w:r w:rsidRPr="006D62F5">
        <w:rPr>
          <w:rFonts w:ascii="Times New Roman" w:hAnsi="Times New Roman" w:cs="Times New Roman"/>
          <w:color w:val="000000" w:themeColor="text1"/>
          <w:szCs w:val="24"/>
          <w:vertAlign w:val="superscript"/>
        </w:rPr>
        <w:t>o</w:t>
      </w:r>
      <w:r w:rsidRPr="006D62F5">
        <w:rPr>
          <w:rFonts w:ascii="Times New Roman" w:hAnsi="Times New Roman" w:cs="Times New Roman"/>
          <w:color w:val="000000" w:themeColor="text1"/>
          <w:szCs w:val="24"/>
        </w:rPr>
        <w:t>C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. </w:t>
      </w:r>
      <w:r w:rsidRPr="006D62F5">
        <w:rPr>
          <w:rFonts w:ascii="Times New Roman" w:hAnsi="Times New Roman" w:cs="Times New Roman"/>
          <w:color w:val="000000" w:themeColor="text1"/>
          <w:szCs w:val="24"/>
        </w:rPr>
        <w:t>Peptides were extracted with acetonitrile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(ACN)</w:t>
      </w:r>
      <w:r w:rsidRPr="006D62F5">
        <w:rPr>
          <w:rFonts w:ascii="Times New Roman" w:hAnsi="Times New Roman" w:cs="Times New Roman"/>
          <w:color w:val="000000" w:themeColor="text1"/>
          <w:szCs w:val="24"/>
        </w:rPr>
        <w:t xml:space="preserve"> and dried in a SpeedVac.</w:t>
      </w:r>
    </w:p>
    <w:p w:rsidR="00D1417E" w:rsidRPr="006D62F5" w:rsidRDefault="00D1417E" w:rsidP="00193DAB">
      <w:pPr>
        <w:spacing w:line="480" w:lineRule="auto"/>
        <w:ind w:firstLineChars="177" w:firstLine="425"/>
        <w:rPr>
          <w:rFonts w:ascii="Times New Roman" w:hAnsi="Times New Roman" w:cs="Times New Roman"/>
          <w:color w:val="000000" w:themeColor="text1"/>
          <w:szCs w:val="24"/>
        </w:rPr>
      </w:pPr>
    </w:p>
    <w:p w:rsidR="00D1417E" w:rsidRPr="006D62F5" w:rsidRDefault="00D1417E" w:rsidP="00193DAB">
      <w:pPr>
        <w:spacing w:line="480" w:lineRule="auto"/>
        <w:rPr>
          <w:rFonts w:ascii="Times New Roman" w:hAnsi="Times New Roman" w:cs="Times New Roman"/>
          <w:b/>
          <w:color w:val="000000" w:themeColor="text1"/>
          <w:szCs w:val="24"/>
        </w:rPr>
      </w:pPr>
      <w:r w:rsidRPr="006D62F5">
        <w:rPr>
          <w:rFonts w:ascii="Times New Roman" w:hAnsi="Times New Roman" w:cs="Times New Roman"/>
          <w:b/>
          <w:color w:val="000000" w:themeColor="text1"/>
          <w:szCs w:val="24"/>
        </w:rPr>
        <w:t>Reverse-phase LC-MS/MS analysis</w:t>
      </w:r>
    </w:p>
    <w:p w:rsidR="00D1417E" w:rsidRPr="006D62F5" w:rsidRDefault="00D1417E" w:rsidP="00193DAB">
      <w:pPr>
        <w:pStyle w:val="paper"/>
        <w:spacing w:line="480" w:lineRule="auto"/>
        <w:ind w:firstLineChars="177" w:firstLine="425"/>
        <w:jc w:val="left"/>
        <w:rPr>
          <w:color w:val="000000" w:themeColor="text1"/>
          <w:szCs w:val="24"/>
        </w:rPr>
      </w:pPr>
      <w:r w:rsidRPr="006D62F5">
        <w:rPr>
          <w:color w:val="000000" w:themeColor="text1"/>
          <w:szCs w:val="24"/>
        </w:rPr>
        <w:t>For protein identification, each tryptic digested peptide mixture was reconstituted in buffer A (0.1% formic acid; Sigma-Aldrich), loaded on to a trap column (Zorbax 300SB-C</w:t>
      </w:r>
      <w:r w:rsidRPr="003E43B8">
        <w:rPr>
          <w:color w:val="000000" w:themeColor="text1"/>
          <w:szCs w:val="24"/>
          <w:vertAlign w:val="subscript"/>
        </w:rPr>
        <w:t>18</w:t>
      </w:r>
      <w:r w:rsidRPr="006D62F5">
        <w:rPr>
          <w:color w:val="000000" w:themeColor="text1"/>
          <w:szCs w:val="24"/>
        </w:rPr>
        <w:t>, 0.3 × 5 mm; Agilent Technologies, Taiwan) at a flow rate of 0.2 μL/min in HPLC buffer A, and separated on a resolving 10-cm analytical C</w:t>
      </w:r>
      <w:r w:rsidRPr="006D62F5">
        <w:rPr>
          <w:color w:val="000000" w:themeColor="text1"/>
          <w:szCs w:val="24"/>
          <w:vertAlign w:val="subscript"/>
        </w:rPr>
        <w:t>18</w:t>
      </w:r>
      <w:r w:rsidRPr="006D62F5">
        <w:rPr>
          <w:color w:val="000000" w:themeColor="text1"/>
          <w:szCs w:val="24"/>
        </w:rPr>
        <w:t xml:space="preserve"> column (inner diameter, 75 μm) using a 15-μm tip (New Objective, Woburn, MA, USA)</w:t>
      </w:r>
      <w:r>
        <w:rPr>
          <w:color w:val="000000" w:themeColor="text1"/>
          <w:szCs w:val="24"/>
        </w:rPr>
        <w:t xml:space="preserve">. </w:t>
      </w:r>
      <w:r w:rsidRPr="006D62F5">
        <w:rPr>
          <w:color w:val="000000" w:themeColor="text1"/>
          <w:szCs w:val="24"/>
        </w:rPr>
        <w:t xml:space="preserve">The peptides were eluted using a linear gradient of 0-10% buffer B (99.9% </w:t>
      </w:r>
      <w:r w:rsidRPr="006D62F5">
        <w:rPr>
          <w:color w:val="000000" w:themeColor="text1"/>
          <w:szCs w:val="24"/>
        </w:rPr>
        <w:lastRenderedPageBreak/>
        <w:t>ACN containing 0.1% formic acid) for 3 min, 10-30% buffer B for 35 min, 30-35% buffer B for 4 min, 35-50% buffer B for 1 min, 50-95% buffer B for 1 min, and 95% buffer B for 8 min, all at a flow rate of 0.25 μL/min across the analytical column.</w:t>
      </w:r>
    </w:p>
    <w:p w:rsidR="00D1417E" w:rsidRPr="006D62F5" w:rsidRDefault="00D1417E" w:rsidP="00193DAB">
      <w:pPr>
        <w:pStyle w:val="paper"/>
        <w:spacing w:line="480" w:lineRule="auto"/>
        <w:ind w:firstLineChars="177" w:firstLine="425"/>
        <w:jc w:val="left"/>
        <w:rPr>
          <w:color w:val="000000" w:themeColor="text1"/>
          <w:szCs w:val="24"/>
        </w:rPr>
      </w:pPr>
      <w:r w:rsidRPr="006D62F5">
        <w:rPr>
          <w:color w:val="000000" w:themeColor="text1"/>
          <w:szCs w:val="24"/>
        </w:rPr>
        <w:t>The LC apparatus was coupled with a two-dimensional linear ion trap mass spectrometer (LTQ-Orbitrap, Thermo Fisher, CA, USA) operated using the Xcalibur 2.0 software package (Thermo Fisher)</w:t>
      </w:r>
      <w:r>
        <w:rPr>
          <w:color w:val="000000" w:themeColor="text1"/>
          <w:szCs w:val="24"/>
        </w:rPr>
        <w:t xml:space="preserve">. </w:t>
      </w:r>
      <w:r w:rsidRPr="006D62F5">
        <w:rPr>
          <w:color w:val="000000" w:themeColor="text1"/>
          <w:szCs w:val="24"/>
        </w:rPr>
        <w:t>Intact peptides were detected in the Orbitrap at a resolution of 30</w:t>
      </w:r>
      <w:r>
        <w:rPr>
          <w:color w:val="000000" w:themeColor="text1"/>
          <w:szCs w:val="24"/>
        </w:rPr>
        <w:t>,</w:t>
      </w:r>
      <w:r w:rsidRPr="006D62F5">
        <w:rPr>
          <w:color w:val="000000" w:themeColor="text1"/>
          <w:szCs w:val="24"/>
        </w:rPr>
        <w:t>000</w:t>
      </w:r>
      <w:r>
        <w:rPr>
          <w:color w:val="000000" w:themeColor="text1"/>
          <w:szCs w:val="24"/>
        </w:rPr>
        <w:t xml:space="preserve">. </w:t>
      </w:r>
      <w:r w:rsidRPr="006D62F5">
        <w:rPr>
          <w:color w:val="000000" w:themeColor="text1"/>
          <w:szCs w:val="24"/>
        </w:rPr>
        <w:t>Internal calibration was performed using the ion signal of (Si(CH</w:t>
      </w:r>
      <w:r w:rsidRPr="006D62F5">
        <w:rPr>
          <w:color w:val="000000" w:themeColor="text1"/>
          <w:szCs w:val="24"/>
          <w:vertAlign w:val="subscript"/>
        </w:rPr>
        <w:t>3</w:t>
      </w:r>
      <w:r w:rsidRPr="006D62F5">
        <w:rPr>
          <w:color w:val="000000" w:themeColor="text1"/>
          <w:szCs w:val="24"/>
        </w:rPr>
        <w:t>)</w:t>
      </w:r>
      <w:r w:rsidRPr="006D62F5">
        <w:rPr>
          <w:color w:val="000000" w:themeColor="text1"/>
          <w:szCs w:val="24"/>
          <w:vertAlign w:val="subscript"/>
        </w:rPr>
        <w:t>2</w:t>
      </w:r>
      <w:r w:rsidRPr="006D62F5">
        <w:rPr>
          <w:color w:val="000000" w:themeColor="text1"/>
          <w:szCs w:val="24"/>
        </w:rPr>
        <w:t>O)</w:t>
      </w:r>
      <w:r w:rsidRPr="006D62F5">
        <w:rPr>
          <w:color w:val="000000" w:themeColor="text1"/>
          <w:szCs w:val="24"/>
          <w:vertAlign w:val="subscript"/>
        </w:rPr>
        <w:t>6</w:t>
      </w:r>
      <w:r w:rsidRPr="006D62F5">
        <w:rPr>
          <w:color w:val="000000" w:themeColor="text1"/>
          <w:szCs w:val="24"/>
        </w:rPr>
        <w:t>H</w:t>
      </w:r>
      <w:r w:rsidRPr="006D62F5">
        <w:rPr>
          <w:color w:val="000000" w:themeColor="text1"/>
          <w:szCs w:val="24"/>
          <w:vertAlign w:val="superscript"/>
        </w:rPr>
        <w:t xml:space="preserve">+ </w:t>
      </w:r>
      <w:r w:rsidRPr="006D62F5">
        <w:rPr>
          <w:color w:val="000000" w:themeColor="text1"/>
          <w:szCs w:val="24"/>
        </w:rPr>
        <w:t xml:space="preserve">at </w:t>
      </w:r>
      <w:r w:rsidRPr="006D62F5">
        <w:rPr>
          <w:i/>
          <w:color w:val="000000" w:themeColor="text1"/>
          <w:szCs w:val="24"/>
        </w:rPr>
        <w:t>m/z</w:t>
      </w:r>
      <w:r w:rsidRPr="006D62F5">
        <w:rPr>
          <w:color w:val="000000" w:themeColor="text1"/>
          <w:szCs w:val="24"/>
        </w:rPr>
        <w:t xml:space="preserve"> 445.120025 as a lock mass</w:t>
      </w:r>
      <w:r>
        <w:rPr>
          <w:color w:val="000000" w:themeColor="text1"/>
          <w:szCs w:val="24"/>
        </w:rPr>
        <w:t xml:space="preserve">. </w:t>
      </w:r>
      <w:r w:rsidRPr="006D62F5">
        <w:rPr>
          <w:color w:val="000000" w:themeColor="text1"/>
          <w:szCs w:val="24"/>
        </w:rPr>
        <w:t>For the MS analysis, we used a data-dependent procedure that alternated between one MS scan and six MS/MS scans for the six most abundant precursor ions</w:t>
      </w:r>
      <w:r>
        <w:rPr>
          <w:color w:val="000000" w:themeColor="text1"/>
          <w:szCs w:val="24"/>
        </w:rPr>
        <w:t xml:space="preserve">. </w:t>
      </w:r>
      <w:r w:rsidRPr="006D62F5">
        <w:rPr>
          <w:color w:val="000000" w:themeColor="text1"/>
          <w:szCs w:val="24"/>
        </w:rPr>
        <w:t xml:space="preserve">The </w:t>
      </w:r>
      <w:r w:rsidRPr="006D62F5">
        <w:rPr>
          <w:i/>
          <w:color w:val="000000" w:themeColor="text1"/>
          <w:szCs w:val="24"/>
        </w:rPr>
        <w:t>m/z</w:t>
      </w:r>
      <w:r w:rsidRPr="006D62F5">
        <w:rPr>
          <w:color w:val="000000" w:themeColor="text1"/>
          <w:szCs w:val="24"/>
        </w:rPr>
        <w:t xml:space="preserve"> values selected for the MS/MS analyses were dynamically excluded for 180 sec</w:t>
      </w:r>
      <w:r>
        <w:rPr>
          <w:color w:val="000000" w:themeColor="text1"/>
          <w:szCs w:val="24"/>
        </w:rPr>
        <w:t xml:space="preserve">. </w:t>
      </w:r>
      <w:r w:rsidRPr="006D62F5">
        <w:rPr>
          <w:color w:val="000000" w:themeColor="text1"/>
          <w:szCs w:val="24"/>
        </w:rPr>
        <w:t>The electrospray voltage was applied at 1.8 kV</w:t>
      </w:r>
      <w:r>
        <w:rPr>
          <w:color w:val="000000" w:themeColor="text1"/>
          <w:szCs w:val="24"/>
        </w:rPr>
        <w:t xml:space="preserve">. </w:t>
      </w:r>
      <w:r w:rsidRPr="006D62F5">
        <w:rPr>
          <w:color w:val="000000" w:themeColor="text1"/>
          <w:szCs w:val="24"/>
        </w:rPr>
        <w:t>Both MS and MS/MS spectra were acquired using the one microscan with maximum fill times of 1</w:t>
      </w:r>
      <w:r>
        <w:rPr>
          <w:color w:val="000000" w:themeColor="text1"/>
          <w:szCs w:val="24"/>
        </w:rPr>
        <w:t>,</w:t>
      </w:r>
      <w:r w:rsidRPr="006D62F5">
        <w:rPr>
          <w:color w:val="000000" w:themeColor="text1"/>
          <w:szCs w:val="24"/>
        </w:rPr>
        <w:t>000 ms and 100 ms for the MS and MS/MS analyses, respectively</w:t>
      </w:r>
      <w:r>
        <w:rPr>
          <w:color w:val="000000" w:themeColor="text1"/>
          <w:szCs w:val="24"/>
        </w:rPr>
        <w:t xml:space="preserve">. </w:t>
      </w:r>
      <w:r w:rsidRPr="006D62F5">
        <w:rPr>
          <w:color w:val="000000" w:themeColor="text1"/>
          <w:szCs w:val="24"/>
        </w:rPr>
        <w:t>To prevent overfilling of the ion trap, automatic gain control was used</w:t>
      </w:r>
      <w:r>
        <w:rPr>
          <w:color w:val="000000" w:themeColor="text1"/>
          <w:szCs w:val="24"/>
        </w:rPr>
        <w:t xml:space="preserve">. </w:t>
      </w:r>
      <w:r w:rsidRPr="006D62F5">
        <w:rPr>
          <w:color w:val="000000" w:themeColor="text1"/>
          <w:szCs w:val="24"/>
        </w:rPr>
        <w:t>For the generation of MS/MS spectra, 5 × 10</w:t>
      </w:r>
      <w:r w:rsidRPr="006D62F5">
        <w:rPr>
          <w:color w:val="000000" w:themeColor="text1"/>
          <w:szCs w:val="24"/>
          <w:vertAlign w:val="superscript"/>
        </w:rPr>
        <w:t>4</w:t>
      </w:r>
      <w:r w:rsidRPr="006D62F5">
        <w:rPr>
          <w:color w:val="000000" w:themeColor="text1"/>
          <w:szCs w:val="24"/>
        </w:rPr>
        <w:t xml:space="preserve"> ions were accumulated and resolved in the ion trap</w:t>
      </w:r>
      <w:r>
        <w:rPr>
          <w:color w:val="000000" w:themeColor="text1"/>
          <w:szCs w:val="24"/>
        </w:rPr>
        <w:t xml:space="preserve">. </w:t>
      </w:r>
      <w:r w:rsidRPr="006D62F5">
        <w:rPr>
          <w:color w:val="000000" w:themeColor="text1"/>
          <w:szCs w:val="24"/>
        </w:rPr>
        <w:t xml:space="preserve">For the MS scans, the </w:t>
      </w:r>
      <w:r w:rsidRPr="006D62F5">
        <w:rPr>
          <w:i/>
          <w:color w:val="000000" w:themeColor="text1"/>
          <w:szCs w:val="24"/>
        </w:rPr>
        <w:t>m/z</w:t>
      </w:r>
      <w:r w:rsidRPr="006D62F5">
        <w:rPr>
          <w:color w:val="000000" w:themeColor="text1"/>
          <w:szCs w:val="24"/>
        </w:rPr>
        <w:t xml:space="preserve"> scan range was set at 350-2</w:t>
      </w:r>
      <w:r>
        <w:rPr>
          <w:color w:val="000000" w:themeColor="text1"/>
          <w:szCs w:val="24"/>
        </w:rPr>
        <w:t>,</w:t>
      </w:r>
      <w:r w:rsidRPr="006D62F5">
        <w:rPr>
          <w:color w:val="000000" w:themeColor="text1"/>
          <w:szCs w:val="24"/>
        </w:rPr>
        <w:t>000 Da</w:t>
      </w:r>
      <w:r w:rsidRPr="00193DAB">
        <w:rPr>
          <w:noProof/>
          <w:color w:val="000000" w:themeColor="text1"/>
          <w:szCs w:val="24"/>
          <w:vertAlign w:val="superscript"/>
        </w:rPr>
        <w:t>2</w:t>
      </w:r>
      <w:r w:rsidRPr="006D62F5">
        <w:rPr>
          <w:color w:val="000000" w:themeColor="text1"/>
          <w:szCs w:val="24"/>
        </w:rPr>
        <w:t>.</w:t>
      </w:r>
    </w:p>
    <w:p w:rsidR="00D1417E" w:rsidRPr="006D62F5" w:rsidRDefault="00D1417E" w:rsidP="00193DAB">
      <w:pPr>
        <w:pStyle w:val="paper"/>
        <w:spacing w:line="480" w:lineRule="auto"/>
        <w:ind w:firstLineChars="177" w:firstLine="425"/>
        <w:jc w:val="left"/>
        <w:rPr>
          <w:color w:val="000000" w:themeColor="text1"/>
          <w:szCs w:val="24"/>
        </w:rPr>
      </w:pPr>
    </w:p>
    <w:p w:rsidR="00D1417E" w:rsidRPr="006D62F5" w:rsidRDefault="00D1417E" w:rsidP="00193DAB">
      <w:pPr>
        <w:pStyle w:val="paper"/>
        <w:spacing w:line="480" w:lineRule="auto"/>
        <w:ind w:firstLine="0"/>
        <w:jc w:val="left"/>
        <w:rPr>
          <w:b/>
          <w:color w:val="000000" w:themeColor="text1"/>
          <w:szCs w:val="24"/>
        </w:rPr>
      </w:pPr>
      <w:r w:rsidRPr="006D62F5">
        <w:rPr>
          <w:b/>
          <w:color w:val="000000" w:themeColor="text1"/>
          <w:szCs w:val="24"/>
        </w:rPr>
        <w:t>Protein database searching for protein identification</w:t>
      </w:r>
    </w:p>
    <w:p w:rsidR="00D1417E" w:rsidRPr="006D62F5" w:rsidRDefault="00D1417E" w:rsidP="00193DAB">
      <w:pPr>
        <w:pStyle w:val="paper"/>
        <w:spacing w:line="480" w:lineRule="auto"/>
        <w:ind w:firstLineChars="177" w:firstLine="425"/>
        <w:jc w:val="left"/>
        <w:rPr>
          <w:color w:val="000000" w:themeColor="text1"/>
          <w:szCs w:val="24"/>
        </w:rPr>
      </w:pPr>
      <w:r w:rsidRPr="006D62F5">
        <w:rPr>
          <w:color w:val="000000" w:themeColor="text1"/>
          <w:szCs w:val="24"/>
        </w:rPr>
        <w:t>For database searching, the obtained MS/MS spectra were analyzed using the Mascot algorithm (Version 2.</w:t>
      </w:r>
      <w:r>
        <w:rPr>
          <w:color w:val="000000" w:themeColor="text1"/>
          <w:szCs w:val="24"/>
        </w:rPr>
        <w:t>2</w:t>
      </w:r>
      <w:r w:rsidRPr="006D62F5">
        <w:rPr>
          <w:color w:val="000000" w:themeColor="text1"/>
          <w:szCs w:val="24"/>
        </w:rPr>
        <w:t xml:space="preserve">, Matrix Science, Boston, MA, USA) against the Swiss-Prot </w:t>
      </w:r>
      <w:r>
        <w:rPr>
          <w:color w:val="000000" w:themeColor="text1"/>
          <w:szCs w:val="24"/>
        </w:rPr>
        <w:t>mouse</w:t>
      </w:r>
      <w:r w:rsidRPr="006D62F5">
        <w:rPr>
          <w:color w:val="000000" w:themeColor="text1"/>
          <w:szCs w:val="24"/>
        </w:rPr>
        <w:t xml:space="preserve"> se</w:t>
      </w:r>
      <w:r>
        <w:rPr>
          <w:color w:val="000000" w:themeColor="text1"/>
          <w:szCs w:val="24"/>
        </w:rPr>
        <w:t xml:space="preserve">quence database </w:t>
      </w:r>
      <w:r>
        <w:rPr>
          <w:color w:val="000000" w:themeColor="text1"/>
          <w:szCs w:val="24"/>
        </w:rPr>
        <w:lastRenderedPageBreak/>
        <w:t>(released Feb</w:t>
      </w:r>
      <w:r w:rsidRPr="006D62F5">
        <w:rPr>
          <w:color w:val="000000" w:themeColor="text1"/>
          <w:szCs w:val="24"/>
        </w:rPr>
        <w:t xml:space="preserve">, </w:t>
      </w:r>
      <w:r>
        <w:rPr>
          <w:color w:val="000000" w:themeColor="text1"/>
          <w:szCs w:val="24"/>
        </w:rPr>
        <w:t>2022</w:t>
      </w:r>
      <w:r w:rsidRPr="006D62F5">
        <w:rPr>
          <w:color w:val="000000" w:themeColor="text1"/>
          <w:szCs w:val="24"/>
        </w:rPr>
        <w:t xml:space="preserve">, selected for </w:t>
      </w:r>
      <w:r w:rsidRPr="003E43B8">
        <w:rPr>
          <w:i/>
          <w:color w:val="000000" w:themeColor="text1"/>
          <w:szCs w:val="24"/>
        </w:rPr>
        <w:t>Mus musculus</w:t>
      </w:r>
      <w:r w:rsidRPr="006D62F5">
        <w:rPr>
          <w:color w:val="000000" w:themeColor="text1"/>
          <w:szCs w:val="24"/>
        </w:rPr>
        <w:t xml:space="preserve">, </w:t>
      </w:r>
      <w:r>
        <w:rPr>
          <w:color w:val="000000" w:themeColor="text1"/>
          <w:szCs w:val="24"/>
        </w:rPr>
        <w:t xml:space="preserve">17126 </w:t>
      </w:r>
      <w:r w:rsidRPr="006D62F5">
        <w:rPr>
          <w:color w:val="000000" w:themeColor="text1"/>
          <w:szCs w:val="24"/>
        </w:rPr>
        <w:t>entries) of the European Bioinformatics Institute</w:t>
      </w:r>
      <w:r>
        <w:rPr>
          <w:color w:val="000000" w:themeColor="text1"/>
          <w:szCs w:val="24"/>
        </w:rPr>
        <w:t xml:space="preserve">. </w:t>
      </w:r>
      <w:r w:rsidRPr="006D62F5">
        <w:rPr>
          <w:color w:val="000000" w:themeColor="text1"/>
          <w:szCs w:val="24"/>
        </w:rPr>
        <w:t>The fragment ion mass tolerance was set to 0.5 Da and the parent ion mass tolerance was set to 10 ppm, with trypsin as the digestion enzyme</w:t>
      </w:r>
      <w:r>
        <w:rPr>
          <w:color w:val="000000" w:themeColor="text1"/>
          <w:szCs w:val="24"/>
        </w:rPr>
        <w:t xml:space="preserve">. </w:t>
      </w:r>
      <w:r w:rsidRPr="006D62F5">
        <w:rPr>
          <w:color w:val="000000" w:themeColor="text1"/>
          <w:szCs w:val="24"/>
        </w:rPr>
        <w:t>Up to one missed cleavage was allowed, and searches were performed with the parameters of: variable oxidation on methionine (+15.99 Da) and fixed carbamidomethylation on cysteine (+57 Da)</w:t>
      </w:r>
      <w:r>
        <w:rPr>
          <w:color w:val="000000" w:themeColor="text1"/>
          <w:szCs w:val="24"/>
        </w:rPr>
        <w:t xml:space="preserve">. </w:t>
      </w:r>
      <w:r w:rsidRPr="006D62F5">
        <w:rPr>
          <w:color w:val="000000" w:themeColor="text1"/>
          <w:szCs w:val="24"/>
        </w:rPr>
        <w:t>A random sequence database was used to estimate false-positive rates for peptide matches.</w:t>
      </w:r>
    </w:p>
    <w:p w:rsidR="00D1417E" w:rsidRPr="006D62F5" w:rsidRDefault="00D1417E" w:rsidP="00193DAB">
      <w:pPr>
        <w:spacing w:line="480" w:lineRule="auto"/>
        <w:ind w:firstLineChars="177" w:firstLine="425"/>
        <w:rPr>
          <w:rFonts w:ascii="Times New Roman" w:hAnsi="Times New Roman" w:cs="Times New Roman"/>
          <w:color w:val="000000" w:themeColor="text1"/>
          <w:szCs w:val="24"/>
        </w:rPr>
      </w:pPr>
      <w:r w:rsidRPr="006D62F5">
        <w:rPr>
          <w:rFonts w:ascii="Times New Roman" w:hAnsi="Times New Roman" w:cs="Times New Roman"/>
          <w:color w:val="000000" w:themeColor="text1"/>
          <w:szCs w:val="24"/>
        </w:rPr>
        <w:t>After Mascot searching, the obtained files were processed through the Scaffold software (Version 3.1; Proteome Software, Portland, OR, USA)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. </w:t>
      </w:r>
      <w:r w:rsidRPr="006D62F5">
        <w:rPr>
          <w:rFonts w:ascii="Times New Roman" w:hAnsi="Times New Roman" w:cs="Times New Roman"/>
          <w:color w:val="000000" w:themeColor="text1"/>
          <w:szCs w:val="24"/>
        </w:rPr>
        <w:t>The Scaffold software includes the PeptideProphet,</w:t>
      </w:r>
      <w:hyperlink w:anchor="_ENREF_1" w:tooltip="Keller, 2002 #73" w:history="1"/>
      <w:r w:rsidRPr="006D62F5">
        <w:rPr>
          <w:rFonts w:ascii="Times New Roman" w:hAnsi="Times New Roman" w:cs="Times New Roman"/>
          <w:color w:val="000000" w:themeColor="text1"/>
          <w:szCs w:val="24"/>
        </w:rPr>
        <w:t xml:space="preserve"> which aids in the assignment of peptide MS spectra, as well as the ProteinProphet program, which assigns and groups peptides to a unique protein/protein family when they are shared among several isoforms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. </w:t>
      </w:r>
      <w:r w:rsidRPr="006D62F5">
        <w:rPr>
          <w:rFonts w:ascii="Times New Roman" w:hAnsi="Times New Roman" w:cs="Times New Roman"/>
          <w:color w:val="000000" w:themeColor="text1"/>
          <w:szCs w:val="24"/>
        </w:rPr>
        <w:t>We used PeptideProphet and ProteinProphet probabilities ≥ 0.95 to ensure an overall false-discovery rate below 0.5%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. </w:t>
      </w:r>
      <w:r w:rsidRPr="006D62F5">
        <w:rPr>
          <w:rFonts w:ascii="Times New Roman" w:hAnsi="Times New Roman" w:cs="Times New Roman"/>
          <w:color w:val="000000" w:themeColor="text1"/>
          <w:szCs w:val="24"/>
        </w:rPr>
        <w:t>Only proteins with two or more identified peptides were retained in this study</w:t>
      </w:r>
      <w:r w:rsidRPr="00193DAB">
        <w:rPr>
          <w:rFonts w:ascii="Times New Roman" w:hAnsi="Times New Roman" w:cs="Times New Roman"/>
          <w:noProof/>
          <w:color w:val="000000" w:themeColor="text1"/>
          <w:szCs w:val="24"/>
          <w:vertAlign w:val="superscript"/>
        </w:rPr>
        <w:t>3,4</w:t>
      </w:r>
      <w:r w:rsidRPr="006D62F5">
        <w:rPr>
          <w:rFonts w:ascii="Times New Roman" w:hAnsi="Times New Roman" w:cs="Times New Roman"/>
          <w:color w:val="000000" w:themeColor="text1"/>
          <w:szCs w:val="24"/>
        </w:rPr>
        <w:t>.</w:t>
      </w:r>
    </w:p>
    <w:p w:rsidR="00D1417E" w:rsidRPr="006D62F5" w:rsidRDefault="00D1417E" w:rsidP="00193DAB">
      <w:pPr>
        <w:spacing w:line="480" w:lineRule="auto"/>
        <w:ind w:firstLineChars="177" w:firstLine="425"/>
        <w:rPr>
          <w:rFonts w:ascii="Times New Roman" w:hAnsi="Times New Roman" w:cs="Times New Roman"/>
          <w:color w:val="000000" w:themeColor="text1"/>
          <w:szCs w:val="24"/>
        </w:rPr>
      </w:pPr>
    </w:p>
    <w:p w:rsidR="00D1417E" w:rsidRPr="006D62F5" w:rsidRDefault="00D1417E" w:rsidP="00193DAB">
      <w:pPr>
        <w:spacing w:line="480" w:lineRule="auto"/>
        <w:rPr>
          <w:rFonts w:ascii="Times New Roman" w:hAnsi="Times New Roman" w:cs="Times New Roman"/>
          <w:b/>
          <w:color w:val="000000" w:themeColor="text1"/>
          <w:szCs w:val="24"/>
        </w:rPr>
      </w:pPr>
      <w:r w:rsidRPr="006D62F5">
        <w:rPr>
          <w:rFonts w:ascii="Times New Roman" w:hAnsi="Times New Roman" w:cs="Times New Roman"/>
          <w:b/>
          <w:color w:val="000000" w:themeColor="text1"/>
          <w:szCs w:val="24"/>
        </w:rPr>
        <w:t>References</w:t>
      </w:r>
    </w:p>
    <w:p w:rsidR="00D1417E" w:rsidRPr="00193DAB" w:rsidRDefault="00D1417E" w:rsidP="00193DAB">
      <w:pPr>
        <w:pStyle w:val="EndNoteBibliography"/>
        <w:ind w:left="720" w:hanging="720"/>
        <w:jc w:val="left"/>
      </w:pPr>
      <w:r w:rsidRPr="00193DAB">
        <w:t>1</w:t>
      </w:r>
      <w:r w:rsidRPr="00193DAB">
        <w:tab/>
        <w:t>Kuo, R. L.</w:t>
      </w:r>
      <w:r w:rsidRPr="00193DAB">
        <w:rPr>
          <w:i/>
        </w:rPr>
        <w:t xml:space="preserve"> et al.</w:t>
      </w:r>
      <w:r w:rsidRPr="00193DAB">
        <w:t xml:space="preserve"> Interactome profiling of N-terminus-truncated NS1 protein of influenza A virus reveals role of 14-3-3γ in virus replication. </w:t>
      </w:r>
      <w:r w:rsidRPr="00193DAB">
        <w:rPr>
          <w:i/>
        </w:rPr>
        <w:t>Pathogens</w:t>
      </w:r>
      <w:r w:rsidRPr="00193DAB">
        <w:t xml:space="preserve"> </w:t>
      </w:r>
      <w:r w:rsidRPr="00193DAB">
        <w:rPr>
          <w:b/>
        </w:rPr>
        <w:t>11</w:t>
      </w:r>
      <w:r w:rsidRPr="00193DAB">
        <w:t>, 733, doi:10.3390/pathogens11070733 (2022).</w:t>
      </w:r>
    </w:p>
    <w:p w:rsidR="00D1417E" w:rsidRPr="00193DAB" w:rsidRDefault="00D1417E" w:rsidP="00193DAB">
      <w:pPr>
        <w:pStyle w:val="EndNoteBibliography"/>
        <w:ind w:left="720" w:hanging="720"/>
        <w:jc w:val="left"/>
      </w:pPr>
      <w:r w:rsidRPr="00193DAB">
        <w:t>2</w:t>
      </w:r>
      <w:r w:rsidRPr="00193DAB">
        <w:tab/>
        <w:t>Hsu, C. W.</w:t>
      </w:r>
      <w:r w:rsidRPr="00193DAB">
        <w:rPr>
          <w:i/>
        </w:rPr>
        <w:t xml:space="preserve"> et al.</w:t>
      </w:r>
      <w:r w:rsidRPr="00193DAB">
        <w:t xml:space="preserve"> Proteomic profiling of paired interstitial fluids reveals dysregulated pathways and salivary NID1 as a biomarker of oral cavity squamous cell carcinoma. </w:t>
      </w:r>
      <w:r w:rsidRPr="00193DAB">
        <w:rPr>
          <w:i/>
        </w:rPr>
        <w:t>Mol. Cell. Proteomics</w:t>
      </w:r>
      <w:r w:rsidRPr="00193DAB">
        <w:t xml:space="preserve"> </w:t>
      </w:r>
      <w:r w:rsidRPr="00193DAB">
        <w:rPr>
          <w:b/>
        </w:rPr>
        <w:t>18</w:t>
      </w:r>
      <w:r w:rsidRPr="00193DAB">
        <w:t>, 1939-1949, doi:10.1074/mcp.RA119.001654 (2019).</w:t>
      </w:r>
    </w:p>
    <w:p w:rsidR="00D1417E" w:rsidRPr="00193DAB" w:rsidRDefault="00D1417E" w:rsidP="00193DAB">
      <w:pPr>
        <w:pStyle w:val="EndNoteBibliography"/>
        <w:ind w:left="720" w:hanging="720"/>
        <w:jc w:val="left"/>
      </w:pPr>
      <w:r w:rsidRPr="00193DAB">
        <w:t>3</w:t>
      </w:r>
      <w:r w:rsidRPr="00193DAB">
        <w:tab/>
        <w:t>Kuo, R. L.</w:t>
      </w:r>
      <w:r w:rsidRPr="00193DAB">
        <w:rPr>
          <w:i/>
        </w:rPr>
        <w:t xml:space="preserve"> et al.</w:t>
      </w:r>
      <w:r w:rsidRPr="00193DAB">
        <w:t xml:space="preserve"> Interactome analysis of NS1 protein encoded by influenza A H7N9 virus reveals an inhibitory role of NS1 in host mRNA maturation. </w:t>
      </w:r>
      <w:r w:rsidRPr="00193DAB">
        <w:rPr>
          <w:i/>
        </w:rPr>
        <w:t>J. Proteome Res.</w:t>
      </w:r>
      <w:r w:rsidRPr="00193DAB">
        <w:t xml:space="preserve"> </w:t>
      </w:r>
      <w:r w:rsidRPr="00193DAB">
        <w:rPr>
          <w:b/>
        </w:rPr>
        <w:t>17</w:t>
      </w:r>
      <w:r w:rsidRPr="00193DAB">
        <w:t xml:space="preserve">, 1474-1484, </w:t>
      </w:r>
      <w:r w:rsidRPr="00193DAB">
        <w:lastRenderedPageBreak/>
        <w:t>doi:10.1021/acs.jproteome.7b00815 (2018).</w:t>
      </w:r>
    </w:p>
    <w:p w:rsidR="00D1417E" w:rsidRPr="00193DAB" w:rsidRDefault="00D1417E" w:rsidP="00193DAB">
      <w:pPr>
        <w:pStyle w:val="EndNoteBibliography"/>
        <w:ind w:left="720" w:hanging="720"/>
        <w:jc w:val="left"/>
      </w:pPr>
      <w:r w:rsidRPr="00193DAB">
        <w:t>4</w:t>
      </w:r>
      <w:r w:rsidRPr="00193DAB">
        <w:tab/>
        <w:t>Kuo, R. L.</w:t>
      </w:r>
      <w:r w:rsidRPr="00193DAB">
        <w:rPr>
          <w:i/>
        </w:rPr>
        <w:t xml:space="preserve"> et al.</w:t>
      </w:r>
      <w:r w:rsidRPr="00193DAB">
        <w:t xml:space="preserve"> Interactome analysis of the NS1 protein encoded by influenza A H1N1 virus reveals a positive regulatory role of host protein PRP19 in viral replication. </w:t>
      </w:r>
      <w:r w:rsidRPr="00193DAB">
        <w:rPr>
          <w:i/>
        </w:rPr>
        <w:t>J. Proteome Res.</w:t>
      </w:r>
      <w:r w:rsidRPr="00193DAB">
        <w:t xml:space="preserve"> </w:t>
      </w:r>
      <w:r w:rsidRPr="00193DAB">
        <w:rPr>
          <w:b/>
        </w:rPr>
        <w:t>15</w:t>
      </w:r>
      <w:r w:rsidRPr="00193DAB">
        <w:t>, 1639-1648, doi:10.1021/acs.jproteome.6b00103 (2016).</w:t>
      </w:r>
    </w:p>
    <w:p w:rsidR="00D1417E" w:rsidRPr="006D62F5" w:rsidRDefault="00D1417E" w:rsidP="00193DAB">
      <w:pPr>
        <w:spacing w:line="480" w:lineRule="auto"/>
        <w:ind w:left="425" w:hangingChars="177" w:hanging="425"/>
        <w:rPr>
          <w:rFonts w:ascii="Times New Roman" w:hAnsi="Times New Roman" w:cs="Times New Roman"/>
          <w:b/>
          <w:color w:val="000000" w:themeColor="text1"/>
          <w:szCs w:val="24"/>
        </w:rPr>
      </w:pPr>
    </w:p>
    <w:p w:rsidR="00CD1770" w:rsidRDefault="00CD1770"/>
    <w:sectPr w:rsidR="00CD1770" w:rsidSect="00514684">
      <w:footerReference w:type="default" r:id="rId5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6901809"/>
      <w:docPartObj>
        <w:docPartGallery w:val="Page Numbers (Bottom of Page)"/>
        <w:docPartUnique/>
      </w:docPartObj>
    </w:sdtPr>
    <w:sdtEndPr/>
    <w:sdtContent>
      <w:p w:rsidR="002A6019" w:rsidRDefault="0051468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514684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  <w:p w:rsidR="002A6019" w:rsidRDefault="00514684">
    <w:pPr>
      <w:pStyle w:val="a5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00C7C"/>
    <w:multiLevelType w:val="hybridMultilevel"/>
    <w:tmpl w:val="9992ED18"/>
    <w:lvl w:ilvl="0" w:tplc="D102B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D1417E"/>
    <w:rsid w:val="00514684"/>
    <w:rsid w:val="00CD1770"/>
    <w:rsid w:val="00D1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9376CA-7CCA-4D90-8C61-C26BA59C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17E"/>
    <w:pPr>
      <w:widowControl w:val="0"/>
    </w:pPr>
  </w:style>
  <w:style w:type="character" w:default="1" w:styleId="a0">
    <w:name w:val="Default Paragraph Font"/>
    <w:uiPriority w:val="1"/>
    <w:unhideWhenUsed/>
    <w:rsid w:val="00D1417E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D1417E"/>
  </w:style>
  <w:style w:type="paragraph" w:styleId="a3">
    <w:name w:val="header"/>
    <w:basedOn w:val="a"/>
    <w:link w:val="a4"/>
    <w:uiPriority w:val="99"/>
    <w:unhideWhenUsed/>
    <w:rsid w:val="00D14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1417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4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1417E"/>
    <w:rPr>
      <w:sz w:val="20"/>
      <w:szCs w:val="20"/>
    </w:rPr>
  </w:style>
  <w:style w:type="character" w:styleId="a7">
    <w:name w:val="Hyperlink"/>
    <w:basedOn w:val="a0"/>
    <w:uiPriority w:val="99"/>
    <w:unhideWhenUsed/>
    <w:rsid w:val="00D1417E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D1417E"/>
    <w:pPr>
      <w:ind w:leftChars="200" w:left="480"/>
    </w:pPr>
  </w:style>
  <w:style w:type="paragraph" w:customStyle="1" w:styleId="EndNoteBibliographyTitle">
    <w:name w:val="EndNote Bibliography Title"/>
    <w:basedOn w:val="a"/>
    <w:link w:val="EndNoteBibliographyTitle0"/>
    <w:rsid w:val="00D1417E"/>
    <w:pPr>
      <w:jc w:val="center"/>
    </w:pPr>
    <w:rPr>
      <w:rFonts w:ascii="Times New Roman" w:hAnsi="Times New Roman" w:cs="Times New Roman"/>
      <w:noProof/>
    </w:rPr>
  </w:style>
  <w:style w:type="character" w:customStyle="1" w:styleId="EndNoteBibliographyTitle0">
    <w:name w:val="EndNote Bibliography Title 字元"/>
    <w:basedOn w:val="a0"/>
    <w:link w:val="EndNoteBibliographyTitle"/>
    <w:rsid w:val="00D1417E"/>
    <w:rPr>
      <w:rFonts w:ascii="Times New Roman" w:hAnsi="Times New Roman" w:cs="Times New Roman"/>
      <w:noProof/>
    </w:rPr>
  </w:style>
  <w:style w:type="paragraph" w:customStyle="1" w:styleId="EndNoteBibliography">
    <w:name w:val="EndNote Bibliography"/>
    <w:basedOn w:val="a"/>
    <w:link w:val="EndNoteBibliography0"/>
    <w:rsid w:val="00D1417E"/>
    <w:pPr>
      <w:jc w:val="both"/>
    </w:pPr>
    <w:rPr>
      <w:rFonts w:ascii="Times New Roman" w:hAnsi="Times New Roman" w:cs="Times New Roman"/>
      <w:noProof/>
    </w:rPr>
  </w:style>
  <w:style w:type="character" w:customStyle="1" w:styleId="EndNoteBibliography0">
    <w:name w:val="EndNote Bibliography 字元"/>
    <w:basedOn w:val="a0"/>
    <w:link w:val="EndNoteBibliography"/>
    <w:rsid w:val="00D1417E"/>
    <w:rPr>
      <w:rFonts w:ascii="Times New Roman" w:hAnsi="Times New Roman" w:cs="Times New Roman"/>
      <w:noProof/>
    </w:rPr>
  </w:style>
  <w:style w:type="paragraph" w:customStyle="1" w:styleId="paper">
    <w:name w:val="paper 內文"/>
    <w:basedOn w:val="a"/>
    <w:link w:val="paper0"/>
    <w:qFormat/>
    <w:rsid w:val="00D1417E"/>
    <w:pPr>
      <w:spacing w:line="360" w:lineRule="auto"/>
      <w:ind w:firstLine="480"/>
      <w:jc w:val="both"/>
    </w:pPr>
    <w:rPr>
      <w:rFonts w:ascii="Times New Roman" w:eastAsia="新細明體" w:hAnsi="Times New Roman" w:cs="Times New Roman"/>
      <w:color w:val="000000"/>
    </w:rPr>
  </w:style>
  <w:style w:type="character" w:customStyle="1" w:styleId="paper0">
    <w:name w:val="paper 內文 字元"/>
    <w:basedOn w:val="a0"/>
    <w:link w:val="paper"/>
    <w:rsid w:val="00D1417E"/>
    <w:rPr>
      <w:rFonts w:ascii="Times New Roman" w:eastAsia="新細明體" w:hAnsi="Times New Roman" w:cs="Times New Roman"/>
      <w:color w:val="000000"/>
    </w:rPr>
  </w:style>
  <w:style w:type="table" w:styleId="a9">
    <w:name w:val="Table Grid"/>
    <w:basedOn w:val="a1"/>
    <w:uiPriority w:val="59"/>
    <w:rsid w:val="00D14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762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2023-09-19T05:26:00Z</dcterms:created>
  <dcterms:modified xsi:type="dcterms:W3CDTF">2023-09-19T05:26:00Z</dcterms:modified>
</cp:coreProperties>
</file>