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43A89" w14:textId="77777777" w:rsidR="00E75902" w:rsidRPr="00DB0C7D" w:rsidRDefault="00E75902" w:rsidP="00E75902">
      <w:pPr>
        <w:jc w:val="center"/>
        <w:rPr>
          <w:rFonts w:eastAsiaTheme="majorEastAsia" w:cstheme="majorBidi"/>
          <w:b/>
          <w:color w:val="000000" w:themeColor="text1"/>
          <w:sz w:val="28"/>
          <w:szCs w:val="32"/>
          <w:lang w:val="en-US"/>
        </w:rPr>
      </w:pPr>
      <w:bookmarkStart w:id="0" w:name="_Hlk135679985"/>
      <w:bookmarkStart w:id="1" w:name="_Hlk124428700"/>
      <w:bookmarkStart w:id="2" w:name="_Hlk93669366"/>
      <w:bookmarkStart w:id="3" w:name="_GoBack"/>
      <w:bookmarkEnd w:id="0"/>
      <w:bookmarkEnd w:id="3"/>
      <w:r>
        <w:rPr>
          <w:rFonts w:eastAsiaTheme="majorEastAsia" w:cstheme="majorBidi"/>
          <w:b/>
          <w:color w:val="000000" w:themeColor="text1"/>
          <w:sz w:val="28"/>
          <w:szCs w:val="32"/>
          <w:lang w:val="en-US"/>
        </w:rPr>
        <w:t>Fluorocarbon-driven pore size reduction in polyurethane foams: an effect of improved bubble entrainment</w:t>
      </w:r>
    </w:p>
    <w:bookmarkEnd w:id="1"/>
    <w:p w14:paraId="6D968118" w14:textId="4C79ECE7" w:rsidR="00E75902" w:rsidRPr="00783295" w:rsidRDefault="00E75902" w:rsidP="00E75902">
      <w:pPr>
        <w:jc w:val="center"/>
        <w:rPr>
          <w:rFonts w:cs="Times New Roman"/>
          <w:lang w:val="en-US"/>
        </w:rPr>
      </w:pPr>
      <w:r w:rsidRPr="00783295">
        <w:rPr>
          <w:rFonts w:cs="Times New Roman"/>
          <w:lang w:val="en-US"/>
        </w:rPr>
        <w:t>Martin Hamann</w:t>
      </w:r>
      <w:r w:rsidRPr="00783295">
        <w:rPr>
          <w:rFonts w:cs="Times New Roman"/>
          <w:vertAlign w:val="superscript"/>
          <w:lang w:val="en-US"/>
        </w:rPr>
        <w:t>1</w:t>
      </w:r>
      <w:r w:rsidRPr="00783295">
        <w:rPr>
          <w:rFonts w:cs="Times New Roman"/>
          <w:lang w:val="en-US"/>
        </w:rPr>
        <w:t>, Guillaume Cotte-Carluer</w:t>
      </w:r>
      <w:r w:rsidRPr="00783295">
        <w:rPr>
          <w:rFonts w:cs="Times New Roman"/>
          <w:vertAlign w:val="superscript"/>
          <w:lang w:val="en-US"/>
        </w:rPr>
        <w:t>1</w:t>
      </w:r>
      <w:r w:rsidRPr="00783295">
        <w:rPr>
          <w:rFonts w:cs="Times New Roman"/>
          <w:lang w:val="en-US"/>
        </w:rPr>
        <w:t>, Sébastien Andrieux</w:t>
      </w:r>
      <w:r w:rsidRPr="00783295">
        <w:rPr>
          <w:rFonts w:cs="Times New Roman"/>
          <w:vertAlign w:val="superscript"/>
          <w:lang w:val="en-US"/>
        </w:rPr>
        <w:t>1</w:t>
      </w:r>
      <w:r w:rsidRPr="00783295">
        <w:rPr>
          <w:rFonts w:cs="Times New Roman"/>
          <w:lang w:val="en-US"/>
        </w:rPr>
        <w:t>, Daniel Telkemeyer</w:t>
      </w:r>
      <w:r w:rsidRPr="00783295">
        <w:rPr>
          <w:rFonts w:cs="Times New Roman"/>
          <w:vertAlign w:val="superscript"/>
          <w:lang w:val="en-US"/>
        </w:rPr>
        <w:t>2</w:t>
      </w:r>
      <w:r w:rsidRPr="00783295">
        <w:rPr>
          <w:rFonts w:cs="Times New Roman"/>
          <w:lang w:val="en-US"/>
        </w:rPr>
        <w:t xml:space="preserve">, </w:t>
      </w:r>
      <w:proofErr w:type="spellStart"/>
      <w:r w:rsidRPr="00783295">
        <w:rPr>
          <w:rFonts w:cs="Times New Roman"/>
          <w:lang w:val="en-US"/>
        </w:rPr>
        <w:t>Meik</w:t>
      </w:r>
      <w:proofErr w:type="spellEnd"/>
      <w:r w:rsidRPr="00783295">
        <w:rPr>
          <w:rFonts w:cs="Times New Roman"/>
          <w:lang w:val="en-US"/>
        </w:rPr>
        <w:t xml:space="preserve"> Ranft</w:t>
      </w:r>
      <w:r w:rsidRPr="00783295">
        <w:rPr>
          <w:rFonts w:cs="Times New Roman"/>
          <w:vertAlign w:val="superscript"/>
          <w:lang w:val="en-US"/>
        </w:rPr>
        <w:t>3</w:t>
      </w:r>
      <w:r w:rsidR="00E56700">
        <w:rPr>
          <w:rFonts w:cs="Times New Roman"/>
          <w:lang w:val="en-US"/>
        </w:rPr>
        <w:t xml:space="preserve">, </w:t>
      </w:r>
      <w:r w:rsidR="00E56700" w:rsidRPr="00783295">
        <w:rPr>
          <w:rFonts w:cs="Times New Roman"/>
          <w:lang w:val="en-US"/>
        </w:rPr>
        <w:t>Markus Schütte</w:t>
      </w:r>
      <w:r w:rsidR="00E56700" w:rsidRPr="00783295">
        <w:rPr>
          <w:rFonts w:cs="Times New Roman"/>
          <w:vertAlign w:val="superscript"/>
          <w:lang w:val="en-US"/>
        </w:rPr>
        <w:t>2</w:t>
      </w:r>
      <w:r w:rsidR="00E56700" w:rsidRPr="00177466">
        <w:rPr>
          <w:rFonts w:cs="Times New Roman"/>
          <w:lang w:val="en-US"/>
        </w:rPr>
        <w:t>,</w:t>
      </w:r>
      <w:r w:rsidR="00E56700">
        <w:rPr>
          <w:rFonts w:cs="Times New Roman"/>
          <w:vertAlign w:val="superscript"/>
          <w:lang w:val="en-US"/>
        </w:rPr>
        <w:t xml:space="preserve"> </w:t>
      </w:r>
      <w:r w:rsidRPr="00783295">
        <w:rPr>
          <w:rFonts w:cs="Times New Roman"/>
          <w:lang w:val="en-US"/>
        </w:rPr>
        <w:t>Wiebke Drenckhan</w:t>
      </w:r>
      <w:r w:rsidRPr="00783295">
        <w:rPr>
          <w:rFonts w:cs="Times New Roman"/>
          <w:vertAlign w:val="superscript"/>
          <w:lang w:val="en-US"/>
        </w:rPr>
        <w:t>1</w:t>
      </w:r>
    </w:p>
    <w:p w14:paraId="07D0B743" w14:textId="77777777" w:rsidR="00E75902" w:rsidRPr="009B4834" w:rsidRDefault="00E75902" w:rsidP="00E75902">
      <w:pPr>
        <w:pStyle w:val="NoSpacing"/>
        <w:jc w:val="center"/>
        <w:rPr>
          <w:lang w:val="fr-FR"/>
        </w:rPr>
      </w:pPr>
      <w:r w:rsidRPr="009B4834">
        <w:rPr>
          <w:vertAlign w:val="superscript"/>
          <w:lang w:val="fr-FR"/>
        </w:rPr>
        <w:t>1</w:t>
      </w:r>
      <w:r w:rsidRPr="009B4834">
        <w:rPr>
          <w:lang w:val="fr-FR"/>
        </w:rPr>
        <w:t xml:space="preserve">CNRS-UPR 22, Institut Charles </w:t>
      </w:r>
      <w:proofErr w:type="spellStart"/>
      <w:r w:rsidRPr="009B4834">
        <w:rPr>
          <w:lang w:val="fr-FR"/>
        </w:rPr>
        <w:t>Sadron</w:t>
      </w:r>
      <w:proofErr w:type="spellEnd"/>
      <w:r w:rsidRPr="009B4834">
        <w:rPr>
          <w:lang w:val="fr-FR"/>
        </w:rPr>
        <w:t>, Université de Strasbourg, 67200 Strasbourg, France</w:t>
      </w:r>
    </w:p>
    <w:p w14:paraId="6D133810" w14:textId="77777777" w:rsidR="00E75902" w:rsidRPr="009B4834" w:rsidRDefault="00E75902" w:rsidP="00E75902">
      <w:pPr>
        <w:pStyle w:val="NoSpacing"/>
        <w:jc w:val="center"/>
        <w:rPr>
          <w:lang w:val="de-DE"/>
        </w:rPr>
      </w:pPr>
      <w:r w:rsidRPr="009B4834">
        <w:rPr>
          <w:vertAlign w:val="superscript"/>
          <w:lang w:val="de-DE"/>
        </w:rPr>
        <w:t>2</w:t>
      </w:r>
      <w:r w:rsidRPr="009B4834">
        <w:rPr>
          <w:lang w:val="de-DE"/>
        </w:rPr>
        <w:t>BASF Polyurethanes GmbH, 49448 Lemförde, Germany</w:t>
      </w:r>
    </w:p>
    <w:p w14:paraId="155ABCE5" w14:textId="77777777" w:rsidR="00E75902" w:rsidRPr="009B4834" w:rsidRDefault="00E75902" w:rsidP="00E75902">
      <w:pPr>
        <w:pStyle w:val="NoSpacing"/>
        <w:jc w:val="center"/>
        <w:rPr>
          <w:lang w:val="de-DE"/>
        </w:rPr>
      </w:pPr>
      <w:r w:rsidRPr="009B4834">
        <w:rPr>
          <w:vertAlign w:val="superscript"/>
          <w:lang w:val="de-DE"/>
        </w:rPr>
        <w:t>3</w:t>
      </w:r>
      <w:r w:rsidRPr="009B4834">
        <w:rPr>
          <w:lang w:val="de-DE"/>
        </w:rPr>
        <w:t>BASF SE, 67056 Ludwigshafen am Rhein, Germany</w:t>
      </w:r>
    </w:p>
    <w:p w14:paraId="18075596" w14:textId="77777777" w:rsidR="00D2036A" w:rsidRPr="00E56700" w:rsidRDefault="00D2036A" w:rsidP="00D2036A">
      <w:pPr>
        <w:pStyle w:val="NoSpacing"/>
        <w:jc w:val="center"/>
        <w:rPr>
          <w:lang w:val="de-DE"/>
        </w:rPr>
      </w:pPr>
    </w:p>
    <w:p w14:paraId="706DA89A" w14:textId="39E9FE54" w:rsidR="00E75902" w:rsidRPr="00E75902" w:rsidRDefault="00D2036A" w:rsidP="00E75902">
      <w:pPr>
        <w:pStyle w:val="Heading1"/>
        <w:jc w:val="center"/>
        <w:rPr>
          <w:lang w:val="en-US"/>
        </w:rPr>
      </w:pPr>
      <w:r w:rsidRPr="007117B6">
        <w:rPr>
          <w:lang w:val="en-US"/>
        </w:rPr>
        <w:t>Supporting Information</w:t>
      </w:r>
    </w:p>
    <w:p w14:paraId="65F5A60D" w14:textId="77777777" w:rsidR="00795000" w:rsidRPr="00795000" w:rsidRDefault="00795000" w:rsidP="00795000">
      <w:pPr>
        <w:rPr>
          <w:lang w:val="en-US"/>
        </w:rPr>
      </w:pPr>
    </w:p>
    <w:p w14:paraId="38D4ABB0" w14:textId="0CA684E5" w:rsidR="00E75902" w:rsidRDefault="008B282E" w:rsidP="008B282E">
      <w:pPr>
        <w:pStyle w:val="Heading1"/>
        <w:numPr>
          <w:ilvl w:val="0"/>
          <w:numId w:val="6"/>
        </w:numPr>
      </w:pPr>
      <w:r>
        <w:t>Characterization of bubbly A-components (premixes) via t</w:t>
      </w:r>
      <w:r w:rsidR="00E75902">
        <w:t>ransmitted light microscopy</w:t>
      </w:r>
    </w:p>
    <w:p w14:paraId="6B44EF13" w14:textId="77777777" w:rsidR="008B282E" w:rsidRPr="008B282E" w:rsidRDefault="008B282E" w:rsidP="008B282E"/>
    <w:p w14:paraId="10D375A9" w14:textId="213B257A" w:rsidR="00E54BC9" w:rsidRPr="00E54BC9" w:rsidRDefault="00E54BC9" w:rsidP="00E54BC9">
      <w:pPr>
        <w:pStyle w:val="ListParagraph"/>
        <w:numPr>
          <w:ilvl w:val="1"/>
          <w:numId w:val="6"/>
        </w:numPr>
        <w:rPr>
          <w:i/>
          <w:lang w:val="en-US"/>
        </w:rPr>
      </w:pPr>
      <w:r>
        <w:rPr>
          <w:i/>
          <w:lang w:val="en-US"/>
        </w:rPr>
        <w:t xml:space="preserve"> </w:t>
      </w:r>
      <w:r w:rsidRPr="00E54BC9">
        <w:rPr>
          <w:i/>
          <w:lang w:val="en-US"/>
        </w:rPr>
        <w:t>Experimental details</w:t>
      </w:r>
    </w:p>
    <w:p w14:paraId="1B793091" w14:textId="29DBA13B" w:rsidR="00E75902" w:rsidRPr="007117B6" w:rsidRDefault="00E75902" w:rsidP="00E75902">
      <w:pPr>
        <w:rPr>
          <w:lang w:val="en-US"/>
        </w:rPr>
      </w:pPr>
      <w:r w:rsidRPr="007117B6">
        <w:rPr>
          <w:lang w:val="en-US"/>
        </w:rPr>
        <w:t xml:space="preserve">Directly after </w:t>
      </w:r>
      <w:r>
        <w:rPr>
          <w:lang w:val="en-US"/>
        </w:rPr>
        <w:t>the bubble generation step</w:t>
      </w:r>
      <w:r w:rsidRPr="007117B6">
        <w:rPr>
          <w:lang w:val="en-US"/>
        </w:rPr>
        <w:t>, three or four drops of the</w:t>
      </w:r>
      <w:r>
        <w:rPr>
          <w:lang w:val="en-US"/>
        </w:rPr>
        <w:t xml:space="preserve"> fresh premix</w:t>
      </w:r>
      <w:r w:rsidRPr="007117B6">
        <w:rPr>
          <w:lang w:val="en-US"/>
        </w:rPr>
        <w:t xml:space="preserve"> were collected in the center of a microscope slide (70 x 26 mm). Both ends of this microscope slide were equipped with one layer of adhesive tape (</w:t>
      </w:r>
      <w:proofErr w:type="spellStart"/>
      <w:r w:rsidRPr="00637583">
        <w:rPr>
          <w:i/>
          <w:lang w:val="en-US"/>
        </w:rPr>
        <w:t>Tesafilm</w:t>
      </w:r>
      <w:proofErr w:type="spellEnd"/>
      <w:r w:rsidRPr="00637583">
        <w:rPr>
          <w:i/>
          <w:lang w:val="en-US"/>
        </w:rPr>
        <w:t xml:space="preserve"> Classic</w:t>
      </w:r>
      <w:r w:rsidRPr="007117B6">
        <w:rPr>
          <w:lang w:val="en-US"/>
        </w:rPr>
        <w:t xml:space="preserve">, thickness = 44 µm). Then, the microscope slide was covered by a second microscope slide of the same size. Due to the presence of the adhesive tape layer on the bottom slide, a thin slit of 44 µm thickness filled with the fresh </w:t>
      </w:r>
      <w:r>
        <w:rPr>
          <w:lang w:val="en-US"/>
        </w:rPr>
        <w:t xml:space="preserve">premix </w:t>
      </w:r>
      <w:r w:rsidRPr="007117B6">
        <w:rPr>
          <w:lang w:val="en-US"/>
        </w:rPr>
        <w:t>sample was formed in-between the two microscope slides (see</w:t>
      </w:r>
      <w:r w:rsidR="008B282E">
        <w:rPr>
          <w:lang w:val="en-US"/>
        </w:rPr>
        <w:t xml:space="preserve"> </w:t>
      </w:r>
      <w:r w:rsidR="008B282E" w:rsidRPr="008B282E">
        <w:rPr>
          <w:lang w:val="en-US"/>
        </w:rPr>
        <w:fldChar w:fldCharType="begin"/>
      </w:r>
      <w:r w:rsidR="008B282E" w:rsidRPr="008B282E">
        <w:rPr>
          <w:lang w:val="en-US"/>
        </w:rPr>
        <w:instrText xml:space="preserve"> REF _Ref93671313 \h  \* MERGEFORMAT </w:instrText>
      </w:r>
      <w:r w:rsidR="008B282E" w:rsidRPr="008B282E">
        <w:rPr>
          <w:lang w:val="en-US"/>
        </w:rPr>
      </w:r>
      <w:r w:rsidR="008B282E" w:rsidRPr="008B282E">
        <w:rPr>
          <w:lang w:val="en-US"/>
        </w:rPr>
        <w:fldChar w:fldCharType="separate"/>
      </w:r>
      <w:r w:rsidR="001533D2" w:rsidRPr="001533D2">
        <w:t>Figure S1</w:t>
      </w:r>
      <w:r w:rsidR="008B282E" w:rsidRPr="008B282E">
        <w:rPr>
          <w:lang w:val="en-US"/>
        </w:rPr>
        <w:fldChar w:fldCharType="end"/>
      </w:r>
      <w:r w:rsidRPr="007117B6">
        <w:rPr>
          <w:lang w:val="en-US"/>
        </w:rPr>
        <w:t>). This slit hindered superposition of multiple bubble layers which would</w:t>
      </w:r>
      <w:r>
        <w:rPr>
          <w:lang w:val="en-US"/>
        </w:rPr>
        <w:t xml:space="preserve"> otherwise</w:t>
      </w:r>
      <w:r w:rsidRPr="007117B6">
        <w:rPr>
          <w:lang w:val="en-US"/>
        </w:rPr>
        <w:t xml:space="preserve"> complicate automatic image analysis.</w:t>
      </w:r>
    </w:p>
    <w:p w14:paraId="1348F89B" w14:textId="77777777" w:rsidR="00E75902" w:rsidRDefault="00E75902" w:rsidP="00E75902">
      <w:pPr>
        <w:keepNext/>
      </w:pPr>
      <w:r>
        <w:rPr>
          <w:noProof/>
          <w:lang w:val="en-US"/>
        </w:rPr>
        <w:drawing>
          <wp:inline distT="0" distB="0" distL="0" distR="0" wp14:anchorId="17B5EE98" wp14:editId="398EF63D">
            <wp:extent cx="5680315" cy="16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0315" cy="1620000"/>
                    </a:xfrm>
                    <a:prstGeom prst="rect">
                      <a:avLst/>
                    </a:prstGeom>
                    <a:noFill/>
                  </pic:spPr>
                </pic:pic>
              </a:graphicData>
            </a:graphic>
          </wp:inline>
        </w:drawing>
      </w:r>
    </w:p>
    <w:p w14:paraId="7176022F" w14:textId="3D0AA712" w:rsidR="00E75902" w:rsidRPr="008B282E" w:rsidRDefault="00E75902" w:rsidP="00E75902">
      <w:pPr>
        <w:pStyle w:val="NoSpacing"/>
        <w:rPr>
          <w:i/>
        </w:rPr>
      </w:pPr>
      <w:bookmarkStart w:id="4" w:name="_Ref93671313"/>
      <w:r w:rsidRPr="008B282E">
        <w:rPr>
          <w:b/>
          <w:i/>
        </w:rPr>
        <w:t>Figure S</w:t>
      </w:r>
      <w:r w:rsidRPr="008B282E">
        <w:rPr>
          <w:b/>
          <w:i/>
        </w:rPr>
        <w:fldChar w:fldCharType="begin"/>
      </w:r>
      <w:r w:rsidRPr="008B282E">
        <w:rPr>
          <w:b/>
          <w:i/>
        </w:rPr>
        <w:instrText xml:space="preserve"> SEQ Figure \* ARABIC </w:instrText>
      </w:r>
      <w:r w:rsidRPr="008B282E">
        <w:rPr>
          <w:b/>
          <w:i/>
        </w:rPr>
        <w:fldChar w:fldCharType="separate"/>
      </w:r>
      <w:r w:rsidR="001533D2">
        <w:rPr>
          <w:b/>
          <w:i/>
          <w:noProof/>
        </w:rPr>
        <w:t>1</w:t>
      </w:r>
      <w:r w:rsidRPr="008B282E">
        <w:rPr>
          <w:b/>
          <w:i/>
        </w:rPr>
        <w:fldChar w:fldCharType="end"/>
      </w:r>
      <w:bookmarkEnd w:id="4"/>
      <w:r w:rsidRPr="008B282E">
        <w:rPr>
          <w:b/>
          <w:i/>
        </w:rPr>
        <w:t>:</w:t>
      </w:r>
      <w:r w:rsidRPr="008B282E">
        <w:rPr>
          <w:i/>
        </w:rPr>
        <w:t xml:space="preserve"> Microscope slide setup used for the observation of bubbly polyol-based A-components (premix) in transmitted light mode</w:t>
      </w:r>
    </w:p>
    <w:p w14:paraId="573EC7E6" w14:textId="77777777" w:rsidR="00E75902" w:rsidRPr="007117B6" w:rsidRDefault="00E75902" w:rsidP="00E75902">
      <w:pPr>
        <w:rPr>
          <w:lang w:val="en-US"/>
        </w:rPr>
      </w:pPr>
    </w:p>
    <w:p w14:paraId="54621689" w14:textId="1909379C" w:rsidR="00E75902" w:rsidRDefault="00E75902" w:rsidP="00E75902">
      <w:pPr>
        <w:rPr>
          <w:lang w:val="en-US"/>
        </w:rPr>
      </w:pPr>
      <w:r w:rsidRPr="007117B6">
        <w:rPr>
          <w:lang w:val="en-US"/>
        </w:rPr>
        <w:lastRenderedPageBreak/>
        <w:t xml:space="preserve">All microscopic observations were conducted using a </w:t>
      </w:r>
      <w:r w:rsidRPr="00673D6B">
        <w:rPr>
          <w:i/>
          <w:lang w:val="en-US"/>
        </w:rPr>
        <w:t>Keyence VHX 2000</w:t>
      </w:r>
      <w:r w:rsidRPr="007117B6">
        <w:rPr>
          <w:lang w:val="en-US"/>
        </w:rPr>
        <w:t xml:space="preserve"> numerical microscope in transmitted light mode. </w:t>
      </w:r>
      <w:r>
        <w:rPr>
          <w:lang w:val="en-US"/>
        </w:rPr>
        <w:t>T</w:t>
      </w:r>
      <w:r w:rsidRPr="007117B6">
        <w:rPr>
          <w:lang w:val="en-US"/>
        </w:rPr>
        <w:t>o ensure fast and continuous image acquisition, videos of the samples were recorded for 600 s instead of single images</w:t>
      </w:r>
      <w:r>
        <w:rPr>
          <w:lang w:val="en-US"/>
        </w:rPr>
        <w:t>,</w:t>
      </w:r>
      <w:r w:rsidRPr="007117B6">
        <w:rPr>
          <w:lang w:val="en-US"/>
        </w:rPr>
        <w:t xml:space="preserve"> as the lowest rate of automatic single image acquisition was 5 seconds per image. All videos </w:t>
      </w:r>
      <w:r>
        <w:rPr>
          <w:lang w:val="en-US"/>
        </w:rPr>
        <w:t xml:space="preserve">were </w:t>
      </w:r>
      <w:r w:rsidRPr="007117B6">
        <w:rPr>
          <w:lang w:val="en-US"/>
        </w:rPr>
        <w:t xml:space="preserve">recorded using a resolution of 1600 x 1200 pixels at a framerate of 15 </w:t>
      </w:r>
      <w:r>
        <w:rPr>
          <w:lang w:val="en-US"/>
        </w:rPr>
        <w:t>fps</w:t>
      </w:r>
      <w:r w:rsidRPr="007117B6">
        <w:rPr>
          <w:lang w:val="en-US"/>
        </w:rPr>
        <w:t xml:space="preserve">. Using </w:t>
      </w:r>
      <w:r w:rsidRPr="007D581D">
        <w:rPr>
          <w:i/>
          <w:lang w:val="en-US"/>
        </w:rPr>
        <w:t>VLC Player</w:t>
      </w:r>
      <w:r w:rsidRPr="007117B6">
        <w:rPr>
          <w:lang w:val="en-US"/>
        </w:rPr>
        <w:t xml:space="preserve">, the recorded videos were then converted to single images such that one image for every second of the observation was generated. </w:t>
      </w:r>
    </w:p>
    <w:p w14:paraId="11A71E10" w14:textId="77777777" w:rsidR="00E75902" w:rsidRDefault="00E75902" w:rsidP="00E75902">
      <w:pPr>
        <w:rPr>
          <w:lang w:val="en-US"/>
        </w:rPr>
      </w:pPr>
    </w:p>
    <w:p w14:paraId="520758DD" w14:textId="77777777" w:rsidR="00E75902" w:rsidRPr="007117B6" w:rsidRDefault="00E75902" w:rsidP="00E75902">
      <w:pPr>
        <w:rPr>
          <w:b/>
          <w:lang w:val="en-US"/>
        </w:rPr>
      </w:pPr>
      <w:r w:rsidRPr="007117B6">
        <w:rPr>
          <w:b/>
          <w:lang w:val="en-US"/>
        </w:rPr>
        <w:t>Image analysis</w:t>
      </w:r>
    </w:p>
    <w:p w14:paraId="7EE900FB" w14:textId="480977F4" w:rsidR="00E75902" w:rsidRDefault="00E75902" w:rsidP="00E75902">
      <w:pPr>
        <w:rPr>
          <w:lang w:val="en-US"/>
        </w:rPr>
      </w:pPr>
      <w:r w:rsidRPr="007117B6">
        <w:rPr>
          <w:lang w:val="en-US"/>
        </w:rPr>
        <w:t xml:space="preserve">All images were analyzed using the </w:t>
      </w:r>
      <w:r>
        <w:rPr>
          <w:lang w:val="en-US"/>
        </w:rPr>
        <w:t xml:space="preserve">image analysis </w:t>
      </w:r>
      <w:r w:rsidRPr="007117B6">
        <w:rPr>
          <w:lang w:val="en-US"/>
        </w:rPr>
        <w:t xml:space="preserve">software </w:t>
      </w:r>
      <w:r w:rsidRPr="00673D6B">
        <w:rPr>
          <w:i/>
          <w:lang w:val="en-US"/>
        </w:rPr>
        <w:t>ImageJ</w:t>
      </w:r>
      <w:r w:rsidRPr="007117B6">
        <w:rPr>
          <w:lang w:val="en-US"/>
        </w:rPr>
        <w:t xml:space="preserve"> by </w:t>
      </w:r>
      <w:r w:rsidRPr="00673D6B">
        <w:rPr>
          <w:i/>
          <w:lang w:val="en-US"/>
        </w:rPr>
        <w:t>National Institute of Health</w:t>
      </w:r>
      <w:r w:rsidRPr="007117B6">
        <w:rPr>
          <w:lang w:val="en-US"/>
        </w:rPr>
        <w:t xml:space="preserve">. For each image the same treatment was used to extract the number of bubbles and the mean </w:t>
      </w:r>
      <w:r>
        <w:rPr>
          <w:lang w:val="en-US"/>
        </w:rPr>
        <w:t>radius</w:t>
      </w:r>
      <w:r w:rsidRPr="007117B6">
        <w:rPr>
          <w:lang w:val="en-US"/>
        </w:rPr>
        <w:t xml:space="preserve">. First, the images were binarized (8 bit). Next, the images were </w:t>
      </w:r>
      <w:proofErr w:type="spellStart"/>
      <w:r w:rsidRPr="007117B6">
        <w:rPr>
          <w:lang w:val="en-US"/>
        </w:rPr>
        <w:t>thresholded</w:t>
      </w:r>
      <w:proofErr w:type="spellEnd"/>
      <w:r w:rsidRPr="007117B6">
        <w:rPr>
          <w:lang w:val="en-US"/>
        </w:rPr>
        <w:t xml:space="preserve"> using Otsu’s method. Then, the scale was set to translate pixel units into micrometer. Moreover, a </w:t>
      </w:r>
      <w:r>
        <w:rPr>
          <w:lang w:val="en-US"/>
        </w:rPr>
        <w:t>window within the image</w:t>
      </w:r>
      <w:r w:rsidRPr="007117B6">
        <w:rPr>
          <w:lang w:val="en-US"/>
        </w:rPr>
        <w:t xml:space="preserve"> in which bubbles were supposed to be considered was defined. Eventually, the “analyze particles” function of </w:t>
      </w:r>
      <w:r w:rsidRPr="00673D6B">
        <w:rPr>
          <w:i/>
          <w:lang w:val="en-US"/>
        </w:rPr>
        <w:t>ImageJ</w:t>
      </w:r>
      <w:r w:rsidRPr="007117B6">
        <w:rPr>
          <w:lang w:val="en-US"/>
        </w:rPr>
        <w:t xml:space="preserve"> was used for </w:t>
      </w:r>
      <w:r>
        <w:rPr>
          <w:lang w:val="en-US"/>
        </w:rPr>
        <w:t>detecting</w:t>
      </w:r>
      <w:r w:rsidRPr="007117B6">
        <w:rPr>
          <w:lang w:val="en-US"/>
        </w:rPr>
        <w:t xml:space="preserve"> the number of bubbles and the area of each bubble (see</w:t>
      </w:r>
      <w:r>
        <w:rPr>
          <w:lang w:val="en-US"/>
        </w:rPr>
        <w:t xml:space="preserve"> </w:t>
      </w:r>
      <w:r w:rsidRPr="005B14E7">
        <w:rPr>
          <w:lang w:val="en-US"/>
        </w:rPr>
        <w:fldChar w:fldCharType="begin"/>
      </w:r>
      <w:r w:rsidRPr="005B14E7">
        <w:rPr>
          <w:lang w:val="en-US"/>
        </w:rPr>
        <w:instrText xml:space="preserve"> REF _Ref93671462 \h  \* MERGEFORMAT </w:instrText>
      </w:r>
      <w:r w:rsidRPr="005B14E7">
        <w:rPr>
          <w:lang w:val="en-US"/>
        </w:rPr>
      </w:r>
      <w:r w:rsidRPr="005B14E7">
        <w:rPr>
          <w:lang w:val="en-US"/>
        </w:rPr>
        <w:fldChar w:fldCharType="separate"/>
      </w:r>
      <w:r w:rsidR="001533D2" w:rsidRPr="001533D2">
        <w:t>Figure S2</w:t>
      </w:r>
      <w:r w:rsidRPr="005B14E7">
        <w:rPr>
          <w:lang w:val="en-US"/>
        </w:rPr>
        <w:fldChar w:fldCharType="end"/>
      </w:r>
      <w:r w:rsidRPr="007117B6">
        <w:rPr>
          <w:lang w:val="en-US"/>
        </w:rPr>
        <w:t>).</w:t>
      </w:r>
    </w:p>
    <w:p w14:paraId="4BD79033" w14:textId="77777777" w:rsidR="00E75902" w:rsidRDefault="00E75902" w:rsidP="00E75902">
      <w:pPr>
        <w:keepNext/>
      </w:pPr>
      <w:r>
        <w:rPr>
          <w:rFonts w:cs="Times New Roman"/>
          <w:noProof/>
        </w:rPr>
        <w:drawing>
          <wp:inline distT="0" distB="0" distL="0" distR="0" wp14:anchorId="3C8964C4" wp14:editId="7DEB8E8A">
            <wp:extent cx="5691600" cy="1216800"/>
            <wp:effectExtent l="0" t="0" r="444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1600" cy="1216800"/>
                    </a:xfrm>
                    <a:prstGeom prst="rect">
                      <a:avLst/>
                    </a:prstGeom>
                    <a:noFill/>
                    <a:ln>
                      <a:noFill/>
                    </a:ln>
                  </pic:spPr>
                </pic:pic>
              </a:graphicData>
            </a:graphic>
          </wp:inline>
        </w:drawing>
      </w:r>
    </w:p>
    <w:p w14:paraId="27C3C77A" w14:textId="6A66119B" w:rsidR="00E75902" w:rsidRPr="008B282E" w:rsidRDefault="00E75902" w:rsidP="00E75902">
      <w:pPr>
        <w:pStyle w:val="NoSpacing"/>
        <w:rPr>
          <w:i/>
        </w:rPr>
      </w:pPr>
      <w:bookmarkStart w:id="5" w:name="_Ref93671462"/>
      <w:r w:rsidRPr="008B282E">
        <w:rPr>
          <w:b/>
          <w:i/>
        </w:rPr>
        <w:t>Figure S</w:t>
      </w:r>
      <w:r w:rsidRPr="008B282E">
        <w:rPr>
          <w:b/>
          <w:i/>
        </w:rPr>
        <w:fldChar w:fldCharType="begin"/>
      </w:r>
      <w:r w:rsidRPr="008B282E">
        <w:rPr>
          <w:b/>
          <w:i/>
        </w:rPr>
        <w:instrText xml:space="preserve"> SEQ Figure \* ARABIC </w:instrText>
      </w:r>
      <w:r w:rsidRPr="008B282E">
        <w:rPr>
          <w:b/>
          <w:i/>
        </w:rPr>
        <w:fldChar w:fldCharType="separate"/>
      </w:r>
      <w:r w:rsidR="001533D2">
        <w:rPr>
          <w:b/>
          <w:i/>
          <w:noProof/>
        </w:rPr>
        <w:t>2</w:t>
      </w:r>
      <w:r w:rsidRPr="008B282E">
        <w:rPr>
          <w:b/>
          <w:i/>
        </w:rPr>
        <w:fldChar w:fldCharType="end"/>
      </w:r>
      <w:bookmarkEnd w:id="5"/>
      <w:r w:rsidRPr="008B282E">
        <w:rPr>
          <w:b/>
          <w:i/>
        </w:rPr>
        <w:t>:</w:t>
      </w:r>
      <w:r w:rsidRPr="008B282E">
        <w:rPr>
          <w:i/>
        </w:rPr>
        <w:t xml:space="preserve"> Overview of the treatment of the microscope images: a) Raw image obtained from the microscope. b) Image after binarization and thresholding. c) Output of the particle analysis function of ImageJ.</w:t>
      </w:r>
    </w:p>
    <w:p w14:paraId="1CC849B9" w14:textId="77777777" w:rsidR="00E75902" w:rsidRDefault="00E75902" w:rsidP="00E75902">
      <w:pPr>
        <w:rPr>
          <w:lang w:val="en-US"/>
        </w:rPr>
      </w:pPr>
    </w:p>
    <w:p w14:paraId="4AC0ECBD" w14:textId="77777777" w:rsidR="00E75902" w:rsidRPr="00BB3CBC" w:rsidRDefault="00E75902" w:rsidP="00E75902">
      <w:r w:rsidRPr="00BB3CBC">
        <w:t>A macro that automated all the mentioned processing steps was generated and is supplied in the following:</w:t>
      </w:r>
    </w:p>
    <w:p w14:paraId="6646E0C8"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run("8-bit");</w:t>
      </w:r>
    </w:p>
    <w:p w14:paraId="482A357E"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folder="C:/Target_folder_path/" ;</w:t>
      </w:r>
    </w:p>
    <w:p w14:paraId="1652FEA3" w14:textId="77777777" w:rsidR="00E75902" w:rsidRPr="00BB3CBC" w:rsidRDefault="00E75902" w:rsidP="00E75902">
      <w:pPr>
        <w:pStyle w:val="NoSpacing"/>
        <w:spacing w:line="360" w:lineRule="auto"/>
        <w:rPr>
          <w:rFonts w:ascii="Courier New" w:hAnsi="Courier New" w:cs="Courier New"/>
          <w:sz w:val="20"/>
        </w:rPr>
      </w:pPr>
      <w:proofErr w:type="spellStart"/>
      <w:r w:rsidRPr="00BB3CBC">
        <w:rPr>
          <w:rFonts w:ascii="Courier New" w:hAnsi="Courier New" w:cs="Courier New"/>
          <w:sz w:val="20"/>
        </w:rPr>
        <w:t>Incomplete_name</w:t>
      </w:r>
      <w:proofErr w:type="spellEnd"/>
      <w:r w:rsidRPr="00BB3CBC">
        <w:rPr>
          <w:rFonts w:ascii="Courier New" w:hAnsi="Courier New" w:cs="Courier New"/>
          <w:sz w:val="20"/>
        </w:rPr>
        <w:t>=</w:t>
      </w:r>
      <w:proofErr w:type="spellStart"/>
      <w:r w:rsidRPr="00BB3CBC">
        <w:rPr>
          <w:rFonts w:ascii="Courier New" w:hAnsi="Courier New" w:cs="Courier New"/>
          <w:sz w:val="20"/>
        </w:rPr>
        <w:t>getTitle</w:t>
      </w:r>
      <w:proofErr w:type="spellEnd"/>
      <w:r w:rsidRPr="00BB3CBC">
        <w:rPr>
          <w:rFonts w:ascii="Courier New" w:hAnsi="Courier New" w:cs="Courier New"/>
          <w:sz w:val="20"/>
        </w:rPr>
        <w:t>();</w:t>
      </w:r>
    </w:p>
    <w:p w14:paraId="08FF8138"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name=Incomplete_name+".</w:t>
      </w:r>
      <w:proofErr w:type="spellStart"/>
      <w:r w:rsidRPr="00BB3CBC">
        <w:rPr>
          <w:rFonts w:ascii="Courier New" w:hAnsi="Courier New" w:cs="Courier New"/>
          <w:sz w:val="20"/>
        </w:rPr>
        <w:t>xls</w:t>
      </w:r>
      <w:proofErr w:type="spellEnd"/>
      <w:r w:rsidRPr="00BB3CBC">
        <w:rPr>
          <w:rFonts w:ascii="Courier New" w:hAnsi="Courier New" w:cs="Courier New"/>
          <w:sz w:val="20"/>
        </w:rPr>
        <w:t>";</w:t>
      </w:r>
    </w:p>
    <w:p w14:paraId="4D0CF831"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path=</w:t>
      </w:r>
      <w:proofErr w:type="spellStart"/>
      <w:r w:rsidRPr="00BB3CBC">
        <w:rPr>
          <w:rFonts w:ascii="Courier New" w:hAnsi="Courier New" w:cs="Courier New"/>
          <w:sz w:val="20"/>
        </w:rPr>
        <w:t>folder+name</w:t>
      </w:r>
      <w:proofErr w:type="spellEnd"/>
      <w:r w:rsidRPr="00BB3CBC">
        <w:rPr>
          <w:rFonts w:ascii="Courier New" w:hAnsi="Courier New" w:cs="Courier New"/>
          <w:sz w:val="20"/>
        </w:rPr>
        <w:t>;</w:t>
      </w:r>
    </w:p>
    <w:p w14:paraId="059A4825" w14:textId="77777777" w:rsidR="00E75902" w:rsidRPr="00BB3CBC" w:rsidRDefault="00E75902" w:rsidP="00E75902">
      <w:pPr>
        <w:pStyle w:val="NoSpacing"/>
        <w:spacing w:line="360" w:lineRule="auto"/>
        <w:rPr>
          <w:rFonts w:ascii="Courier New" w:hAnsi="Courier New" w:cs="Courier New"/>
          <w:sz w:val="20"/>
        </w:rPr>
      </w:pPr>
      <w:proofErr w:type="spellStart"/>
      <w:r w:rsidRPr="00BB3CBC">
        <w:rPr>
          <w:rFonts w:ascii="Courier New" w:hAnsi="Courier New" w:cs="Courier New"/>
          <w:sz w:val="20"/>
        </w:rPr>
        <w:t>setAutoThreshold</w:t>
      </w:r>
      <w:proofErr w:type="spellEnd"/>
      <w:r w:rsidRPr="00BB3CBC">
        <w:rPr>
          <w:rFonts w:ascii="Courier New" w:hAnsi="Courier New" w:cs="Courier New"/>
          <w:sz w:val="20"/>
        </w:rPr>
        <w:t>("Otsu dark");</w:t>
      </w:r>
    </w:p>
    <w:p w14:paraId="0ACE6CD7"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lastRenderedPageBreak/>
        <w:t>//run("Threshold...");</w:t>
      </w:r>
    </w:p>
    <w:p w14:paraId="2C322CD4"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w:t>
      </w:r>
      <w:proofErr w:type="spellStart"/>
      <w:r w:rsidRPr="00BB3CBC">
        <w:rPr>
          <w:rFonts w:ascii="Courier New" w:hAnsi="Courier New" w:cs="Courier New"/>
          <w:sz w:val="20"/>
        </w:rPr>
        <w:t>setThreshold</w:t>
      </w:r>
      <w:proofErr w:type="spellEnd"/>
      <w:r w:rsidRPr="00BB3CBC">
        <w:rPr>
          <w:rFonts w:ascii="Courier New" w:hAnsi="Courier New" w:cs="Courier New"/>
          <w:sz w:val="20"/>
        </w:rPr>
        <w:t>(139, 255);</w:t>
      </w:r>
    </w:p>
    <w:p w14:paraId="1BEE87C0" w14:textId="77777777" w:rsidR="00E75902" w:rsidRPr="00BB3CBC" w:rsidRDefault="00E75902" w:rsidP="00E75902">
      <w:pPr>
        <w:pStyle w:val="NoSpacing"/>
        <w:spacing w:line="360" w:lineRule="auto"/>
        <w:rPr>
          <w:rFonts w:ascii="Courier New" w:hAnsi="Courier New" w:cs="Courier New"/>
          <w:sz w:val="20"/>
        </w:rPr>
      </w:pPr>
      <w:proofErr w:type="spellStart"/>
      <w:r w:rsidRPr="00BB3CBC">
        <w:rPr>
          <w:rFonts w:ascii="Courier New" w:hAnsi="Courier New" w:cs="Courier New"/>
          <w:sz w:val="20"/>
        </w:rPr>
        <w:t>setOption</w:t>
      </w:r>
      <w:proofErr w:type="spellEnd"/>
      <w:r w:rsidRPr="00BB3CBC">
        <w:rPr>
          <w:rFonts w:ascii="Courier New" w:hAnsi="Courier New" w:cs="Courier New"/>
          <w:sz w:val="20"/>
        </w:rPr>
        <w:t>("</w:t>
      </w:r>
      <w:proofErr w:type="spellStart"/>
      <w:r w:rsidRPr="00BB3CBC">
        <w:rPr>
          <w:rFonts w:ascii="Courier New" w:hAnsi="Courier New" w:cs="Courier New"/>
          <w:sz w:val="20"/>
        </w:rPr>
        <w:t>BlackBackground</w:t>
      </w:r>
      <w:proofErr w:type="spellEnd"/>
      <w:r w:rsidRPr="00BB3CBC">
        <w:rPr>
          <w:rFonts w:ascii="Courier New" w:hAnsi="Courier New" w:cs="Courier New"/>
          <w:sz w:val="20"/>
        </w:rPr>
        <w:t>", false);</w:t>
      </w:r>
    </w:p>
    <w:p w14:paraId="28DA9636"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run("Convert to Mask");</w:t>
      </w:r>
    </w:p>
    <w:p w14:paraId="64C157B4"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w:t>
      </w:r>
      <w:proofErr w:type="spellStart"/>
      <w:r w:rsidRPr="00BB3CBC">
        <w:rPr>
          <w:rFonts w:ascii="Courier New" w:hAnsi="Courier New" w:cs="Courier New"/>
          <w:sz w:val="20"/>
        </w:rPr>
        <w:t>setTool</w:t>
      </w:r>
      <w:proofErr w:type="spellEnd"/>
      <w:r w:rsidRPr="00BB3CBC">
        <w:rPr>
          <w:rFonts w:ascii="Courier New" w:hAnsi="Courier New" w:cs="Courier New"/>
          <w:sz w:val="20"/>
        </w:rPr>
        <w:t>("rectangle");</w:t>
      </w:r>
    </w:p>
    <w:p w14:paraId="684E762B" w14:textId="77777777" w:rsidR="00E75902" w:rsidRPr="00BB3CBC" w:rsidRDefault="00E75902" w:rsidP="00E75902">
      <w:pPr>
        <w:pStyle w:val="NoSpacing"/>
        <w:spacing w:line="360" w:lineRule="auto"/>
        <w:rPr>
          <w:rFonts w:ascii="Courier New" w:hAnsi="Courier New" w:cs="Courier New"/>
          <w:sz w:val="20"/>
        </w:rPr>
      </w:pPr>
      <w:proofErr w:type="spellStart"/>
      <w:r w:rsidRPr="00BB3CBC">
        <w:rPr>
          <w:rFonts w:ascii="Courier New" w:hAnsi="Courier New" w:cs="Courier New"/>
          <w:sz w:val="20"/>
        </w:rPr>
        <w:t>makeRectangle</w:t>
      </w:r>
      <w:proofErr w:type="spellEnd"/>
      <w:r w:rsidRPr="00BB3CBC">
        <w:rPr>
          <w:rFonts w:ascii="Courier New" w:hAnsi="Courier New" w:cs="Courier New"/>
          <w:sz w:val="20"/>
        </w:rPr>
        <w:t>(</w:t>
      </w:r>
      <w:r>
        <w:rPr>
          <w:rFonts w:ascii="Courier New" w:hAnsi="Courier New" w:cs="Courier New"/>
          <w:sz w:val="20"/>
        </w:rPr>
        <w:t>68</w:t>
      </w:r>
      <w:r w:rsidRPr="00BB3CBC">
        <w:rPr>
          <w:rFonts w:ascii="Courier New" w:hAnsi="Courier New" w:cs="Courier New"/>
          <w:sz w:val="20"/>
        </w:rPr>
        <w:t>, 4</w:t>
      </w:r>
      <w:r>
        <w:rPr>
          <w:rFonts w:ascii="Courier New" w:hAnsi="Courier New" w:cs="Courier New"/>
          <w:sz w:val="20"/>
        </w:rPr>
        <w:t>4</w:t>
      </w:r>
      <w:r w:rsidRPr="00BB3CBC">
        <w:rPr>
          <w:rFonts w:ascii="Courier New" w:hAnsi="Courier New" w:cs="Courier New"/>
          <w:sz w:val="20"/>
        </w:rPr>
        <w:t>, 1</w:t>
      </w:r>
      <w:r>
        <w:rPr>
          <w:rFonts w:ascii="Courier New" w:hAnsi="Courier New" w:cs="Courier New"/>
          <w:sz w:val="20"/>
        </w:rPr>
        <w:t>490</w:t>
      </w:r>
      <w:r w:rsidRPr="00BB3CBC">
        <w:rPr>
          <w:rFonts w:ascii="Courier New" w:hAnsi="Courier New" w:cs="Courier New"/>
          <w:sz w:val="20"/>
        </w:rPr>
        <w:t>, 10</w:t>
      </w:r>
      <w:r>
        <w:rPr>
          <w:rFonts w:ascii="Courier New" w:hAnsi="Courier New" w:cs="Courier New"/>
          <w:sz w:val="20"/>
        </w:rPr>
        <w:t>82</w:t>
      </w:r>
      <w:r w:rsidRPr="00BB3CBC">
        <w:rPr>
          <w:rFonts w:ascii="Courier New" w:hAnsi="Courier New" w:cs="Courier New"/>
          <w:sz w:val="20"/>
        </w:rPr>
        <w:t>);</w:t>
      </w:r>
    </w:p>
    <w:p w14:paraId="25185166"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run("Set Scale...", "distance=0.4653 known=1 pixel=1 unit=µm global");</w:t>
      </w:r>
    </w:p>
    <w:p w14:paraId="30F7809C" w14:textId="77777777" w:rsidR="00E75902" w:rsidRPr="00BB3CBC" w:rsidRDefault="00E75902" w:rsidP="00E75902">
      <w:pPr>
        <w:pStyle w:val="NoSpacing"/>
        <w:spacing w:line="360" w:lineRule="auto"/>
        <w:rPr>
          <w:rFonts w:ascii="Courier New" w:hAnsi="Courier New" w:cs="Courier New"/>
          <w:sz w:val="20"/>
        </w:rPr>
      </w:pPr>
      <w:r w:rsidRPr="00BB3CBC">
        <w:rPr>
          <w:rFonts w:ascii="Courier New" w:hAnsi="Courier New" w:cs="Courier New"/>
          <w:sz w:val="20"/>
        </w:rPr>
        <w:t>run("</w:t>
      </w:r>
      <w:proofErr w:type="spellStart"/>
      <w:r w:rsidRPr="00BB3CBC">
        <w:rPr>
          <w:rFonts w:ascii="Courier New" w:hAnsi="Courier New" w:cs="Courier New"/>
          <w:sz w:val="20"/>
        </w:rPr>
        <w:t>Analyze</w:t>
      </w:r>
      <w:proofErr w:type="spellEnd"/>
      <w:r w:rsidRPr="00BB3CBC">
        <w:rPr>
          <w:rFonts w:ascii="Courier New" w:hAnsi="Courier New" w:cs="Courier New"/>
          <w:sz w:val="20"/>
        </w:rPr>
        <w:t xml:space="preserve"> Particles...", "size=</w:t>
      </w:r>
      <w:r>
        <w:rPr>
          <w:rFonts w:ascii="Courier New" w:hAnsi="Courier New" w:cs="Courier New"/>
          <w:sz w:val="20"/>
        </w:rPr>
        <w:t>3</w:t>
      </w:r>
      <w:r w:rsidRPr="00BB3CBC">
        <w:rPr>
          <w:rFonts w:ascii="Courier New" w:hAnsi="Courier New" w:cs="Courier New"/>
          <w:sz w:val="20"/>
        </w:rPr>
        <w:t>0-Infinity circularity=0.6</w:t>
      </w:r>
      <w:r>
        <w:rPr>
          <w:rFonts w:ascii="Courier New" w:hAnsi="Courier New" w:cs="Courier New"/>
          <w:sz w:val="20"/>
        </w:rPr>
        <w:t>0</w:t>
      </w:r>
      <w:r w:rsidRPr="00BB3CBC">
        <w:rPr>
          <w:rFonts w:ascii="Courier New" w:hAnsi="Courier New" w:cs="Courier New"/>
          <w:sz w:val="20"/>
        </w:rPr>
        <w:t>-1.00 show=[Overlay Masks] display exclude clear");</w:t>
      </w:r>
    </w:p>
    <w:p w14:paraId="220DB03F" w14:textId="77777777" w:rsidR="00E75902" w:rsidRPr="00326A0F" w:rsidRDefault="00E75902" w:rsidP="00E75902">
      <w:pPr>
        <w:rPr>
          <w:b/>
          <w:color w:val="FF0000"/>
          <w:lang w:val="en-US"/>
        </w:rPr>
      </w:pPr>
      <w:proofErr w:type="spellStart"/>
      <w:r w:rsidRPr="00BB3CBC">
        <w:rPr>
          <w:rFonts w:ascii="Courier New" w:hAnsi="Courier New" w:cs="Courier New"/>
          <w:sz w:val="20"/>
        </w:rPr>
        <w:t>saveAs</w:t>
      </w:r>
      <w:proofErr w:type="spellEnd"/>
      <w:r w:rsidRPr="00BB3CBC">
        <w:rPr>
          <w:rFonts w:ascii="Courier New" w:hAnsi="Courier New" w:cs="Courier New"/>
          <w:sz w:val="20"/>
        </w:rPr>
        <w:t>("Results", path);</w:t>
      </w:r>
    </w:p>
    <w:p w14:paraId="022F36FC" w14:textId="7C822631" w:rsidR="00E75902" w:rsidRDefault="00E75902" w:rsidP="00E75902">
      <w:r w:rsidRPr="00BB3CBC">
        <w:t>Lastly, table calculations were used to</w:t>
      </w:r>
      <w:r>
        <w:t xml:space="preserve"> convert the</w:t>
      </w:r>
      <w:r w:rsidRPr="00BB3CBC">
        <w:t xml:space="preserve"> measured bubble areas into bubble </w:t>
      </w:r>
      <w:r>
        <w:t>radii</w:t>
      </w:r>
      <w:r w:rsidRPr="00BB3CBC">
        <w:t xml:space="preserve">. For </w:t>
      </w:r>
      <w:r>
        <w:t xml:space="preserve">air </w:t>
      </w:r>
      <w:r w:rsidRPr="00BB3CBC">
        <w:t xml:space="preserve">bubbles with a </w:t>
      </w:r>
      <w:r>
        <w:t>radius</w:t>
      </w:r>
      <w:r w:rsidRPr="00BB3CBC">
        <w:t xml:space="preserve"> greater than</w:t>
      </w:r>
      <w:r>
        <w:t xml:space="preserve"> half</w:t>
      </w:r>
      <w:r w:rsidRPr="00BB3CBC">
        <w:t xml:space="preserve"> the slit thickness (</w:t>
      </w:r>
      <w:r>
        <w:rPr>
          <w:i/>
        </w:rPr>
        <w:t>r</w:t>
      </w:r>
      <w:r w:rsidRPr="00BB3CBC">
        <w:t xml:space="preserve"> &gt; </w:t>
      </w:r>
      <w:r>
        <w:t>22</w:t>
      </w:r>
      <w:r w:rsidRPr="00BB3CBC">
        <w:t xml:space="preserve"> µm) the observed bubble radius had to be corrected since the observed </w:t>
      </w:r>
      <w:r>
        <w:t xml:space="preserve">air </w:t>
      </w:r>
      <w:r w:rsidRPr="00BB3CBC">
        <w:t>bubble was not spherical but had a “</w:t>
      </w:r>
      <w:r w:rsidR="00591D36" w:rsidRPr="00BB3CBC">
        <w:t>pancake</w:t>
      </w:r>
      <w:r w:rsidRPr="00BB3CBC">
        <w:t xml:space="preserve"> shape” (which was approximated by a cylindrical shape)</w:t>
      </w:r>
      <w:r>
        <w:t xml:space="preserve"> due to being confined between the two glass slides</w:t>
      </w:r>
      <w:r w:rsidRPr="00BB3CBC">
        <w:t>. The correction included calculating the volume of the observe</w:t>
      </w:r>
      <w:r>
        <w:t>d</w:t>
      </w:r>
      <w:r w:rsidRPr="00BB3CBC">
        <w:t xml:space="preserve"> cylindrical bubble and extracting the </w:t>
      </w:r>
      <w:r>
        <w:t>radius</w:t>
      </w:r>
      <w:r w:rsidRPr="00BB3CBC">
        <w:t xml:space="preserve"> of a spherical bubble of equal volume.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E75902" w:rsidRPr="00AF560D" w14:paraId="45CC7E66" w14:textId="77777777" w:rsidTr="00BF0437">
        <w:tc>
          <w:tcPr>
            <w:tcW w:w="3020" w:type="dxa"/>
          </w:tcPr>
          <w:p w14:paraId="685D09B5" w14:textId="77777777" w:rsidR="00E75902" w:rsidRDefault="00E75902" w:rsidP="00BF0437">
            <w:pPr>
              <w:tabs>
                <w:tab w:val="center" w:pos="4536"/>
              </w:tabs>
              <w:spacing w:line="259" w:lineRule="auto"/>
              <w:jc w:val="left"/>
              <w:rPr>
                <w:lang w:val="en-US"/>
              </w:rPr>
            </w:pPr>
          </w:p>
        </w:tc>
        <w:tc>
          <w:tcPr>
            <w:tcW w:w="3021" w:type="dxa"/>
          </w:tcPr>
          <w:p w14:paraId="544A4C62" w14:textId="77777777" w:rsidR="00E75902" w:rsidRDefault="008F70EC" w:rsidP="00BF0437">
            <w:pPr>
              <w:tabs>
                <w:tab w:val="center" w:pos="4536"/>
              </w:tabs>
              <w:spacing w:line="259" w:lineRule="auto"/>
              <w:jc w:val="left"/>
              <w:rPr>
                <w:lang w:val="en-US"/>
              </w:rPr>
            </w:pPr>
            <m:oMathPara>
              <m:oMath>
                <m:sSub>
                  <m:sSubPr>
                    <m:ctrlPr>
                      <w:rPr>
                        <w:rFonts w:ascii="Cambria Math" w:hAnsi="Cambria Math" w:cs="Times New Roman"/>
                        <w:i/>
                      </w:rPr>
                    </m:ctrlPr>
                  </m:sSubPr>
                  <m:e>
                    <m:r>
                      <w:rPr>
                        <w:rFonts w:ascii="Cambria Math" w:hAnsi="Cambria Math" w:cs="Times New Roman"/>
                      </w:rPr>
                      <m:t>r</m:t>
                    </m:r>
                  </m:e>
                  <m:sub>
                    <m:r>
                      <m:rPr>
                        <m:sty m:val="p"/>
                      </m:rPr>
                      <w:rPr>
                        <w:rFonts w:ascii="Cambria Math" w:hAnsi="Cambria Math" w:cs="Times New Roman"/>
                      </w:rPr>
                      <m:t>s</m:t>
                    </m:r>
                  </m:sub>
                </m:sSub>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4</m:t>
                            </m:r>
                          </m:den>
                        </m:f>
                        <m:r>
                          <w:rPr>
                            <w:rFonts w:ascii="Cambria Math" w:hAnsi="Cambria Math" w:cs="Times New Roman"/>
                          </w:rPr>
                          <m:t>h</m:t>
                        </m:r>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sup>
                </m:sSup>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r</m:t>
                        </m:r>
                      </m:e>
                      <m:sub>
                        <m:r>
                          <m:rPr>
                            <m:sty m:val="p"/>
                          </m:rPr>
                          <w:rPr>
                            <w:rFonts w:ascii="Cambria Math" w:hAnsi="Cambria Math" w:cs="Times New Roman"/>
                          </w:rPr>
                          <m:t>c</m:t>
                        </m:r>
                      </m:sub>
                    </m:sSub>
                  </m:e>
                  <m:sup>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sup>
                </m:sSup>
              </m:oMath>
            </m:oMathPara>
          </w:p>
        </w:tc>
        <w:tc>
          <w:tcPr>
            <w:tcW w:w="3021" w:type="dxa"/>
          </w:tcPr>
          <w:p w14:paraId="41611E19" w14:textId="32B6901F" w:rsidR="00E75902" w:rsidRPr="00AF560D" w:rsidRDefault="00E75902" w:rsidP="00BF0437">
            <w:pPr>
              <w:tabs>
                <w:tab w:val="center" w:pos="4536"/>
              </w:tabs>
              <w:spacing w:line="259" w:lineRule="auto"/>
              <w:jc w:val="right"/>
              <w:rPr>
                <w:b/>
                <w:color w:val="000000" w:themeColor="text1"/>
                <w:lang w:val="en-US"/>
              </w:rPr>
            </w:pPr>
            <w:r w:rsidRPr="00AF560D">
              <w:rPr>
                <w:b/>
                <w:color w:val="000000" w:themeColor="text1"/>
                <w:lang w:val="en-US"/>
              </w:rPr>
              <w:t>[1]</w:t>
            </w:r>
          </w:p>
        </w:tc>
      </w:tr>
    </w:tbl>
    <w:p w14:paraId="5119D650" w14:textId="77777777" w:rsidR="00E75902" w:rsidRDefault="00E75902" w:rsidP="00E75902"/>
    <w:p w14:paraId="673F8AEF" w14:textId="77777777" w:rsidR="00E75902" w:rsidRPr="008A1D12" w:rsidRDefault="00E75902" w:rsidP="00E75902">
      <w:r w:rsidRPr="00024AF2">
        <w:t xml:space="preserve">With </w:t>
      </w:r>
      <w:proofErr w:type="spellStart"/>
      <w:r>
        <w:rPr>
          <w:i/>
        </w:rPr>
        <w:t>r</w:t>
      </w:r>
      <w:r w:rsidRPr="00736783">
        <w:rPr>
          <w:vertAlign w:val="subscript"/>
        </w:rPr>
        <w:t>s</w:t>
      </w:r>
      <w:proofErr w:type="spellEnd"/>
      <w:r w:rsidRPr="00024AF2">
        <w:t xml:space="preserve"> being the diameter of a spherical bubble of equal volume to the observe</w:t>
      </w:r>
      <w:r>
        <w:t>d</w:t>
      </w:r>
      <w:r w:rsidRPr="00024AF2">
        <w:t xml:space="preserve"> cylindrical bubble, </w:t>
      </w:r>
      <w:r w:rsidRPr="00736783">
        <w:rPr>
          <w:i/>
        </w:rPr>
        <w:t>h</w:t>
      </w:r>
      <w:r w:rsidRPr="00024AF2">
        <w:t xml:space="preserve"> the slit thickness (44 µm) and </w:t>
      </w:r>
      <w:proofErr w:type="spellStart"/>
      <w:r w:rsidRPr="00736783">
        <w:rPr>
          <w:i/>
        </w:rPr>
        <w:t>r</w:t>
      </w:r>
      <w:r w:rsidRPr="00736783">
        <w:rPr>
          <w:vertAlign w:val="subscript"/>
        </w:rPr>
        <w:t>c</w:t>
      </w:r>
      <w:proofErr w:type="spellEnd"/>
      <w:r w:rsidRPr="00024AF2">
        <w:t xml:space="preserve"> the radius of the observe</w:t>
      </w:r>
      <w:r>
        <w:t>d</w:t>
      </w:r>
      <w:r w:rsidRPr="00024AF2">
        <w:t xml:space="preserve"> cylindrical bubble.</w:t>
      </w:r>
      <w:r>
        <w:t xml:space="preserve"> </w:t>
      </w:r>
      <w:r>
        <w:rPr>
          <w:lang w:val="en-US"/>
        </w:rPr>
        <w:t>Furthermore, the bubble count in the observed window was translated into a volumetric bubble density by dividing the bubble count by the volume of the observation window  (</w:t>
      </w:r>
      <w:proofErr w:type="spellStart"/>
      <w:r>
        <w:rPr>
          <w:i/>
          <w:lang w:val="en-US"/>
        </w:rPr>
        <w:t>V</w:t>
      </w:r>
      <w:r>
        <w:rPr>
          <w:vertAlign w:val="subscript"/>
          <w:lang w:val="en-US"/>
        </w:rPr>
        <w:t>window</w:t>
      </w:r>
      <w:proofErr w:type="spellEnd"/>
      <w:r>
        <w:rPr>
          <w:lang w:val="en-US"/>
        </w:rPr>
        <w:t xml:space="preserve"> = 0.33 mm</w:t>
      </w:r>
      <w:r>
        <w:rPr>
          <w:vertAlign w:val="superscript"/>
          <w:lang w:val="en-US"/>
        </w:rPr>
        <w:t>3</w:t>
      </w:r>
      <w:r>
        <w:rPr>
          <w:lang w:val="en-US"/>
        </w:rPr>
        <w:t>).</w:t>
      </w:r>
    </w:p>
    <w:p w14:paraId="15903DF6" w14:textId="77777777" w:rsidR="00E54BC9" w:rsidRDefault="00E54BC9">
      <w:pPr>
        <w:spacing w:line="259" w:lineRule="auto"/>
        <w:jc w:val="left"/>
        <w:rPr>
          <w:lang w:val="en-US"/>
        </w:rPr>
      </w:pPr>
    </w:p>
    <w:p w14:paraId="4D5B85D5" w14:textId="77777777" w:rsidR="00E54BC9" w:rsidRPr="00E54BC9" w:rsidRDefault="00E54BC9" w:rsidP="00E54BC9">
      <w:pPr>
        <w:pStyle w:val="ListParagraph"/>
        <w:numPr>
          <w:ilvl w:val="1"/>
          <w:numId w:val="6"/>
        </w:numPr>
        <w:spacing w:line="259" w:lineRule="auto"/>
        <w:jc w:val="left"/>
        <w:rPr>
          <w:lang w:val="en-US"/>
        </w:rPr>
      </w:pPr>
      <w:r>
        <w:rPr>
          <w:lang w:val="en-US"/>
        </w:rPr>
        <w:t xml:space="preserve"> </w:t>
      </w:r>
      <w:r>
        <w:rPr>
          <w:i/>
          <w:lang w:val="en-US"/>
        </w:rPr>
        <w:t>Microscopy of dispersed FC droplets</w:t>
      </w:r>
    </w:p>
    <w:p w14:paraId="0462FB66" w14:textId="493F4006" w:rsidR="00A0280B" w:rsidRDefault="00E54BC9" w:rsidP="00E54BC9">
      <w:pPr>
        <w:rPr>
          <w:lang w:val="en-US"/>
        </w:rPr>
      </w:pPr>
      <w:r>
        <w:rPr>
          <w:lang w:val="en-US"/>
        </w:rPr>
        <w:t xml:space="preserve">Having seen a pronounced turbidity when preparing FC-containing premixes and knowing that FCs are notoriously insoluble in most other liquid phases, we tried to use transmitted light microscopy to visualize the FC droplets and to assess their size. </w:t>
      </w:r>
      <w:r w:rsidR="005E7883">
        <w:rPr>
          <w:lang w:val="en-US"/>
        </w:rPr>
        <w:t>For this purpose, we zoomed</w:t>
      </w:r>
      <w:r w:rsidR="001533D2">
        <w:rPr>
          <w:lang w:val="en-US"/>
        </w:rPr>
        <w:t xml:space="preserve"> </w:t>
      </w:r>
      <w:r w:rsidR="005E7883">
        <w:rPr>
          <w:lang w:val="en-US"/>
        </w:rPr>
        <w:t>into some of the premix samples that we used to study the temporal decay of the bubble density</w:t>
      </w:r>
      <w:r w:rsidR="00F8050D">
        <w:rPr>
          <w:lang w:val="en-US"/>
        </w:rPr>
        <w:t xml:space="preserve"> in the premix directly after its generation</w:t>
      </w:r>
      <w:r w:rsidR="005E7883">
        <w:rPr>
          <w:lang w:val="en-US"/>
        </w:rPr>
        <w:t xml:space="preserve"> (see Section 2 of this supporting information).</w:t>
      </w:r>
      <w:r w:rsidR="001533D2">
        <w:rPr>
          <w:lang w:val="en-US"/>
        </w:rPr>
        <w:t xml:space="preserve"> </w:t>
      </w:r>
      <w:r w:rsidR="001533D2" w:rsidRPr="001533D2">
        <w:rPr>
          <w:lang w:val="en-US"/>
        </w:rPr>
        <w:fldChar w:fldCharType="begin"/>
      </w:r>
      <w:r w:rsidR="001533D2" w:rsidRPr="001533D2">
        <w:rPr>
          <w:lang w:val="en-US"/>
        </w:rPr>
        <w:instrText xml:space="preserve"> REF _Ref143625275 \h  \* MERGEFORMAT </w:instrText>
      </w:r>
      <w:r w:rsidR="001533D2" w:rsidRPr="001533D2">
        <w:rPr>
          <w:lang w:val="en-US"/>
        </w:rPr>
      </w:r>
      <w:r w:rsidR="001533D2" w:rsidRPr="001533D2">
        <w:rPr>
          <w:lang w:val="en-US"/>
        </w:rPr>
        <w:fldChar w:fldCharType="separate"/>
      </w:r>
      <w:r w:rsidR="001533D2" w:rsidRPr="001533D2">
        <w:t>Figure S</w:t>
      </w:r>
      <w:r w:rsidR="001533D2" w:rsidRPr="001533D2">
        <w:rPr>
          <w:noProof/>
        </w:rPr>
        <w:t>3</w:t>
      </w:r>
      <w:r w:rsidR="001533D2" w:rsidRPr="001533D2">
        <w:rPr>
          <w:lang w:val="en-US"/>
        </w:rPr>
        <w:fldChar w:fldCharType="end"/>
      </w:r>
      <w:r w:rsidR="00A0280B">
        <w:rPr>
          <w:lang w:val="en-US"/>
        </w:rPr>
        <w:t xml:space="preserve"> shows </w:t>
      </w:r>
      <w:r w:rsidR="001533D2">
        <w:rPr>
          <w:lang w:val="en-US"/>
        </w:rPr>
        <w:t>a micrograph of an FC-containing bubbly premix</w:t>
      </w:r>
      <w:r w:rsidR="00A0280B">
        <w:rPr>
          <w:lang w:val="en-US"/>
        </w:rPr>
        <w:t xml:space="preserve"> obtained </w:t>
      </w:r>
      <w:r w:rsidR="001533D2">
        <w:rPr>
          <w:lang w:val="en-US"/>
        </w:rPr>
        <w:t>using a magnification of 1000x</w:t>
      </w:r>
      <w:r w:rsidR="00A0280B">
        <w:rPr>
          <w:lang w:val="en-US"/>
        </w:rPr>
        <w:t>.</w:t>
      </w:r>
      <w:r w:rsidR="005E7883">
        <w:rPr>
          <w:lang w:val="en-US"/>
        </w:rPr>
        <w:t xml:space="preserve"> </w:t>
      </w:r>
    </w:p>
    <w:p w14:paraId="7CF5E12B" w14:textId="77777777" w:rsidR="001533D2" w:rsidRDefault="001533D2" w:rsidP="00E54BC9">
      <w:pPr>
        <w:rPr>
          <w:lang w:val="en-US"/>
        </w:rPr>
      </w:pPr>
    </w:p>
    <w:p w14:paraId="7CFDAEE2" w14:textId="77777777" w:rsidR="001533D2" w:rsidRDefault="00A0280B" w:rsidP="001533D2">
      <w:pPr>
        <w:keepNext/>
        <w:jc w:val="center"/>
      </w:pPr>
      <w:r>
        <w:rPr>
          <w:noProof/>
          <w:lang w:val="en-US"/>
        </w:rPr>
        <w:lastRenderedPageBreak/>
        <w:drawing>
          <wp:inline distT="0" distB="0" distL="0" distR="0" wp14:anchorId="76101A26" wp14:editId="55645958">
            <wp:extent cx="2895600" cy="240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2400300"/>
                    </a:xfrm>
                    <a:prstGeom prst="rect">
                      <a:avLst/>
                    </a:prstGeom>
                    <a:noFill/>
                    <a:ln>
                      <a:noFill/>
                    </a:ln>
                  </pic:spPr>
                </pic:pic>
              </a:graphicData>
            </a:graphic>
          </wp:inline>
        </w:drawing>
      </w:r>
    </w:p>
    <w:p w14:paraId="2B2AFD61" w14:textId="042E1CDF" w:rsidR="001533D2" w:rsidRPr="001533D2" w:rsidRDefault="001533D2" w:rsidP="001533D2">
      <w:pPr>
        <w:pStyle w:val="NoSpacing"/>
        <w:rPr>
          <w:i/>
        </w:rPr>
      </w:pPr>
      <w:bookmarkStart w:id="6" w:name="_Ref143625275"/>
      <w:r w:rsidRPr="001533D2">
        <w:rPr>
          <w:b/>
          <w:i/>
        </w:rPr>
        <w:t xml:space="preserve">Figure </w:t>
      </w:r>
      <w:r>
        <w:rPr>
          <w:b/>
          <w:i/>
        </w:rPr>
        <w:t>S</w:t>
      </w:r>
      <w:r w:rsidRPr="001533D2">
        <w:rPr>
          <w:b/>
          <w:i/>
        </w:rPr>
        <w:fldChar w:fldCharType="begin"/>
      </w:r>
      <w:r w:rsidRPr="001533D2">
        <w:rPr>
          <w:b/>
          <w:i/>
        </w:rPr>
        <w:instrText xml:space="preserve"> SEQ Figure \* ARABIC </w:instrText>
      </w:r>
      <w:r w:rsidRPr="001533D2">
        <w:rPr>
          <w:b/>
          <w:i/>
        </w:rPr>
        <w:fldChar w:fldCharType="separate"/>
      </w:r>
      <w:r w:rsidRPr="001533D2">
        <w:rPr>
          <w:b/>
          <w:i/>
          <w:noProof/>
        </w:rPr>
        <w:t>3</w:t>
      </w:r>
      <w:r w:rsidRPr="001533D2">
        <w:rPr>
          <w:b/>
          <w:i/>
        </w:rPr>
        <w:fldChar w:fldCharType="end"/>
      </w:r>
      <w:bookmarkEnd w:id="6"/>
      <w:r w:rsidRPr="001533D2">
        <w:rPr>
          <w:b/>
          <w:i/>
        </w:rPr>
        <w:t xml:space="preserve">: </w:t>
      </w:r>
      <w:r w:rsidRPr="001533D2">
        <w:rPr>
          <w:i/>
        </w:rPr>
        <w:t>High-magnification (1000x) transmitted light micrograph of an FC-containing bubbly premix.</w:t>
      </w:r>
    </w:p>
    <w:p w14:paraId="2E43323E" w14:textId="77777777" w:rsidR="00F8050D" w:rsidRDefault="00F8050D" w:rsidP="001533D2">
      <w:pPr>
        <w:jc w:val="center"/>
        <w:rPr>
          <w:lang w:val="en-US"/>
        </w:rPr>
      </w:pPr>
    </w:p>
    <w:p w14:paraId="62EB4345" w14:textId="356299AC" w:rsidR="00F8050D" w:rsidRDefault="00F8050D" w:rsidP="00F8050D">
      <w:pPr>
        <w:rPr>
          <w:lang w:val="en-US"/>
        </w:rPr>
      </w:pPr>
      <w:r>
        <w:rPr>
          <w:lang w:val="en-US"/>
        </w:rPr>
        <w:t xml:space="preserve">We observed that the FC droplets preferably accumulate at the bottom of the slit in between the two microscopic carrier slides shown in </w:t>
      </w:r>
      <w:r w:rsidRPr="005E7883">
        <w:rPr>
          <w:lang w:val="en-US"/>
        </w:rPr>
        <w:fldChar w:fldCharType="begin"/>
      </w:r>
      <w:r w:rsidRPr="005E7883">
        <w:rPr>
          <w:lang w:val="en-US"/>
        </w:rPr>
        <w:instrText xml:space="preserve"> REF _Ref93671313 \h  \* MERGEFORMAT </w:instrText>
      </w:r>
      <w:r w:rsidRPr="005E7883">
        <w:rPr>
          <w:lang w:val="en-US"/>
        </w:rPr>
      </w:r>
      <w:r w:rsidRPr="005E7883">
        <w:rPr>
          <w:lang w:val="en-US"/>
        </w:rPr>
        <w:fldChar w:fldCharType="separate"/>
      </w:r>
      <w:r w:rsidRPr="001533D2">
        <w:t>Figure S1</w:t>
      </w:r>
      <w:r w:rsidRPr="005E7883">
        <w:rPr>
          <w:lang w:val="en-US"/>
        </w:rPr>
        <w:fldChar w:fldCharType="end"/>
      </w:r>
      <w:r>
        <w:rPr>
          <w:lang w:val="en-US"/>
        </w:rPr>
        <w:t xml:space="preserve">. As can be taken from </w:t>
      </w:r>
      <w:r w:rsidRPr="001533D2">
        <w:rPr>
          <w:lang w:val="en-US"/>
        </w:rPr>
        <w:fldChar w:fldCharType="begin"/>
      </w:r>
      <w:r w:rsidRPr="001533D2">
        <w:rPr>
          <w:lang w:val="en-US"/>
        </w:rPr>
        <w:instrText xml:space="preserve"> REF _Ref143625275 \h  \* MERGEFORMAT </w:instrText>
      </w:r>
      <w:r w:rsidRPr="001533D2">
        <w:rPr>
          <w:lang w:val="en-US"/>
        </w:rPr>
      </w:r>
      <w:r w:rsidRPr="001533D2">
        <w:rPr>
          <w:lang w:val="en-US"/>
        </w:rPr>
        <w:fldChar w:fldCharType="separate"/>
      </w:r>
      <w:r w:rsidRPr="001533D2">
        <w:t>Figure S</w:t>
      </w:r>
      <w:r w:rsidRPr="001533D2">
        <w:rPr>
          <w:noProof/>
        </w:rPr>
        <w:t>3</w:t>
      </w:r>
      <w:r w:rsidRPr="001533D2">
        <w:rPr>
          <w:lang w:val="en-US"/>
        </w:rPr>
        <w:fldChar w:fldCharType="end"/>
      </w:r>
      <w:r>
        <w:rPr>
          <w:lang w:val="en-US"/>
        </w:rPr>
        <w:t>, we found that the FC-droplets have a characteristic radius between 1 and 3 µm and are therefore very small with respect to the air bubbles (</w:t>
      </w:r>
      <w:r>
        <w:rPr>
          <w:lang w:val="en-US"/>
        </w:rPr>
        <w:sym w:font="Symbol" w:char="F0E1"/>
      </w:r>
      <w:proofErr w:type="spellStart"/>
      <w:r>
        <w:rPr>
          <w:i/>
          <w:lang w:val="en-US"/>
        </w:rPr>
        <w:t>r</w:t>
      </w:r>
      <w:r>
        <w:rPr>
          <w:vertAlign w:val="subscript"/>
          <w:lang w:val="en-US"/>
        </w:rPr>
        <w:t>b</w:t>
      </w:r>
      <w:proofErr w:type="spellEnd"/>
      <w:r>
        <w:rPr>
          <w:lang w:val="en-US"/>
        </w:rPr>
        <w:sym w:font="Symbol" w:char="F0F1"/>
      </w:r>
      <w:r>
        <w:rPr>
          <w:lang w:val="en-US"/>
        </w:rPr>
        <w:t xml:space="preserve"> = 10 – 15 µm). Although we managed to visualize the FC</w:t>
      </w:r>
      <w:r w:rsidR="00876E43">
        <w:rPr>
          <w:lang w:val="en-US"/>
        </w:rPr>
        <w:t xml:space="preserve"> </w:t>
      </w:r>
      <w:r>
        <w:rPr>
          <w:lang w:val="en-US"/>
        </w:rPr>
        <w:t>droplets</w:t>
      </w:r>
      <w:r w:rsidR="00876E43">
        <w:rPr>
          <w:lang w:val="en-US"/>
        </w:rPr>
        <w:t xml:space="preserve">, </w:t>
      </w:r>
      <w:r>
        <w:rPr>
          <w:lang w:val="en-US"/>
        </w:rPr>
        <w:t>we emphasize that</w:t>
      </w:r>
      <w:r w:rsidR="00876E43">
        <w:rPr>
          <w:lang w:val="en-US"/>
        </w:rPr>
        <w:t>, due to their small characteristic size,</w:t>
      </w:r>
      <w:r>
        <w:rPr>
          <w:lang w:val="en-US"/>
        </w:rPr>
        <w:t xml:space="preserve"> other means of investigation such </w:t>
      </w:r>
      <w:r w:rsidR="00876E43">
        <w:rPr>
          <w:lang w:val="en-US"/>
        </w:rPr>
        <w:t>as light scattering techniques would be much more appropriate to characterize the FC droplets in more detail.</w:t>
      </w:r>
    </w:p>
    <w:p w14:paraId="2F5534FD" w14:textId="0976D12C" w:rsidR="00804DD3" w:rsidRPr="00E54BC9" w:rsidRDefault="00804DD3" w:rsidP="00F8050D">
      <w:pPr>
        <w:rPr>
          <w:lang w:val="en-US"/>
        </w:rPr>
      </w:pPr>
      <w:r w:rsidRPr="00E54BC9">
        <w:rPr>
          <w:lang w:val="en-US"/>
        </w:rPr>
        <w:br w:type="page"/>
      </w:r>
    </w:p>
    <w:p w14:paraId="24812FBC" w14:textId="45BE6AFA" w:rsidR="00804DD3" w:rsidRDefault="00804DD3" w:rsidP="00804DD3">
      <w:pPr>
        <w:pStyle w:val="Heading1"/>
        <w:numPr>
          <w:ilvl w:val="0"/>
          <w:numId w:val="6"/>
        </w:numPr>
        <w:rPr>
          <w:lang w:val="en-US"/>
        </w:rPr>
      </w:pPr>
      <w:r>
        <w:rPr>
          <w:lang w:val="en-US"/>
        </w:rPr>
        <w:lastRenderedPageBreak/>
        <w:t>Microscopic analysis of bubble aging in the premix</w:t>
      </w:r>
    </w:p>
    <w:p w14:paraId="0AAC3AA5" w14:textId="35DF7243" w:rsidR="00D125FB" w:rsidRDefault="00804DD3" w:rsidP="002A4D2D">
      <w:pPr>
        <w:rPr>
          <w:lang w:val="en-US"/>
        </w:rPr>
      </w:pPr>
      <w:r>
        <w:rPr>
          <w:lang w:val="en-US"/>
        </w:rPr>
        <w:t xml:space="preserve">To monitor the decay of the air bubble density </w:t>
      </w:r>
      <w:proofErr w:type="spellStart"/>
      <w:r>
        <w:rPr>
          <w:i/>
          <w:lang w:val="en-US"/>
        </w:rPr>
        <w:t>n</w:t>
      </w:r>
      <w:r>
        <w:rPr>
          <w:vertAlign w:val="subscript"/>
          <w:lang w:val="en-US"/>
        </w:rPr>
        <w:t>pre</w:t>
      </w:r>
      <w:proofErr w:type="spellEnd"/>
      <w:r>
        <w:rPr>
          <w:lang w:val="en-US"/>
        </w:rPr>
        <w:t xml:space="preserve"> in the premix due to bubble aging, transmitted light micrographs </w:t>
      </w:r>
      <w:r w:rsidR="00E75902" w:rsidRPr="007117B6">
        <w:rPr>
          <w:lang w:val="en-US"/>
        </w:rPr>
        <w:t>corresponding to</w:t>
      </w:r>
      <w:r w:rsidR="00E75902" w:rsidRPr="00673D6B">
        <w:rPr>
          <w:i/>
          <w:lang w:val="en-US"/>
        </w:rPr>
        <w:t xml:space="preserve"> t</w:t>
      </w:r>
      <w:r w:rsidR="00E75902" w:rsidRPr="007117B6">
        <w:rPr>
          <w:lang w:val="en-US"/>
        </w:rPr>
        <w:t xml:space="preserve"> = [0, 5, 10, 15, 20, 25, 30, 40, 50, 100, 150, 200, 250, 300, 350, 400, 450, 500, 550, and 600] s were picked </w:t>
      </w:r>
      <w:r w:rsidR="00E75902">
        <w:rPr>
          <w:lang w:val="en-US"/>
        </w:rPr>
        <w:t xml:space="preserve">and evaluated </w:t>
      </w:r>
      <w:r>
        <w:rPr>
          <w:lang w:val="en-US"/>
        </w:rPr>
        <w:t xml:space="preserve">for every experiments conducted using different cycle numbers </w:t>
      </w:r>
      <w:r>
        <w:rPr>
          <w:i/>
          <w:lang w:val="en-US"/>
        </w:rPr>
        <w:t>N</w:t>
      </w:r>
      <w:r>
        <w:rPr>
          <w:vertAlign w:val="subscript"/>
          <w:lang w:val="en-US"/>
        </w:rPr>
        <w:t>c</w:t>
      </w:r>
      <w:r>
        <w:rPr>
          <w:lang w:val="en-US"/>
        </w:rPr>
        <w:t xml:space="preserve"> = [1, 2, 5, 10, 30, 50]</w:t>
      </w:r>
      <w:r w:rsidR="007763C1">
        <w:rPr>
          <w:lang w:val="en-US"/>
        </w:rPr>
        <w:t xml:space="preserve"> both</w:t>
      </w:r>
      <w:r>
        <w:rPr>
          <w:lang w:val="en-US"/>
        </w:rPr>
        <w:t xml:space="preserve"> in absence and presence of the FC. In this context,</w:t>
      </w:r>
      <w:r w:rsidR="001419CC">
        <w:rPr>
          <w:lang w:val="en-US"/>
        </w:rPr>
        <w:t xml:space="preserve"> </w:t>
      </w:r>
      <w:r w:rsidR="001419CC" w:rsidRPr="001419CC">
        <w:rPr>
          <w:lang w:val="en-US"/>
        </w:rPr>
        <w:fldChar w:fldCharType="begin"/>
      </w:r>
      <w:r w:rsidR="001419CC" w:rsidRPr="001419CC">
        <w:rPr>
          <w:lang w:val="en-US"/>
        </w:rPr>
        <w:instrText xml:space="preserve"> REF _Ref135934858 \h  \* MERGEFORMAT </w:instrText>
      </w:r>
      <w:r w:rsidR="001419CC" w:rsidRPr="001419CC">
        <w:rPr>
          <w:lang w:val="en-US"/>
        </w:rPr>
      </w:r>
      <w:r w:rsidR="001419CC" w:rsidRPr="001419CC">
        <w:rPr>
          <w:lang w:val="en-US"/>
        </w:rPr>
        <w:fldChar w:fldCharType="separate"/>
      </w:r>
      <w:r w:rsidR="001533D2" w:rsidRPr="001533D2">
        <w:t>Figure S4</w:t>
      </w:r>
      <w:r w:rsidR="001419CC" w:rsidRPr="001419CC">
        <w:rPr>
          <w:lang w:val="en-US"/>
        </w:rPr>
        <w:fldChar w:fldCharType="end"/>
      </w:r>
      <w:r w:rsidR="001419CC">
        <w:rPr>
          <w:lang w:val="en-US"/>
        </w:rPr>
        <w:t>a</w:t>
      </w:r>
      <w:r>
        <w:rPr>
          <w:lang w:val="en-US"/>
        </w:rPr>
        <w:t xml:space="preserve"> and b</w:t>
      </w:r>
      <w:r w:rsidR="008B282E">
        <w:rPr>
          <w:lang w:val="en-US"/>
        </w:rPr>
        <w:t xml:space="preserve"> </w:t>
      </w:r>
      <w:r w:rsidR="00E75902">
        <w:rPr>
          <w:lang w:val="en-US"/>
        </w:rPr>
        <w:t>show the evolution of the air bubble density as a function of time</w:t>
      </w:r>
      <w:r>
        <w:rPr>
          <w:lang w:val="en-US"/>
        </w:rPr>
        <w:t xml:space="preserve">, while </w:t>
      </w:r>
      <w:r w:rsidR="001419CC" w:rsidRPr="001419CC">
        <w:rPr>
          <w:lang w:val="en-US"/>
        </w:rPr>
        <w:fldChar w:fldCharType="begin"/>
      </w:r>
      <w:r w:rsidR="001419CC" w:rsidRPr="001419CC">
        <w:rPr>
          <w:lang w:val="en-US"/>
        </w:rPr>
        <w:instrText xml:space="preserve"> REF _Ref135934858 \h  \* MERGEFORMAT </w:instrText>
      </w:r>
      <w:r w:rsidR="001419CC" w:rsidRPr="001419CC">
        <w:rPr>
          <w:lang w:val="en-US"/>
        </w:rPr>
      </w:r>
      <w:r w:rsidR="001419CC" w:rsidRPr="001419CC">
        <w:rPr>
          <w:lang w:val="en-US"/>
        </w:rPr>
        <w:fldChar w:fldCharType="separate"/>
      </w:r>
      <w:r w:rsidR="001533D2" w:rsidRPr="001533D2">
        <w:t>Figure S4</w:t>
      </w:r>
      <w:r w:rsidR="001419CC" w:rsidRPr="001419CC">
        <w:rPr>
          <w:lang w:val="en-US"/>
        </w:rPr>
        <w:fldChar w:fldCharType="end"/>
      </w:r>
      <w:r>
        <w:rPr>
          <w:lang w:val="en-US"/>
        </w:rPr>
        <w:t xml:space="preserve">c and d show the evolution of the corresponding mean bubble radii </w:t>
      </w:r>
      <w:r w:rsidR="001419CC">
        <w:rPr>
          <w:lang w:val="en-US"/>
        </w:rPr>
        <w:sym w:font="Symbol" w:char="F0E1"/>
      </w:r>
      <w:proofErr w:type="spellStart"/>
      <w:r w:rsidR="001419CC">
        <w:rPr>
          <w:i/>
          <w:lang w:val="en-US"/>
        </w:rPr>
        <w:t>r</w:t>
      </w:r>
      <w:r w:rsidR="001419CC">
        <w:rPr>
          <w:vertAlign w:val="subscript"/>
          <w:lang w:val="en-US"/>
        </w:rPr>
        <w:t>b</w:t>
      </w:r>
      <w:proofErr w:type="spellEnd"/>
      <w:r w:rsidR="001419CC">
        <w:rPr>
          <w:lang w:val="en-US"/>
        </w:rPr>
        <w:sym w:font="Symbol" w:char="F0F1"/>
      </w:r>
      <w:r>
        <w:rPr>
          <w:lang w:val="en-US"/>
        </w:rPr>
        <w:t xml:space="preserve">. </w:t>
      </w:r>
    </w:p>
    <w:p w14:paraId="70BA6E5A" w14:textId="77777777" w:rsidR="001419CC" w:rsidRDefault="007763C1" w:rsidP="001419CC">
      <w:pPr>
        <w:keepNext/>
        <w:jc w:val="center"/>
      </w:pPr>
      <w:r>
        <w:rPr>
          <w:noProof/>
          <w:lang w:val="en-US"/>
        </w:rPr>
        <w:drawing>
          <wp:inline distT="0" distB="0" distL="0" distR="0" wp14:anchorId="2F1C8164" wp14:editId="656B4B02">
            <wp:extent cx="5826312" cy="44280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57" t="2001" r="5828" b="1273"/>
                    <a:stretch/>
                  </pic:blipFill>
                  <pic:spPr bwMode="auto">
                    <a:xfrm>
                      <a:off x="0" y="0"/>
                      <a:ext cx="5826312" cy="4428000"/>
                    </a:xfrm>
                    <a:prstGeom prst="rect">
                      <a:avLst/>
                    </a:prstGeom>
                    <a:noFill/>
                    <a:ln>
                      <a:noFill/>
                    </a:ln>
                    <a:extLst>
                      <a:ext uri="{53640926-AAD7-44D8-BBD7-CCE9431645EC}">
                        <a14:shadowObscured xmlns:a14="http://schemas.microsoft.com/office/drawing/2010/main"/>
                      </a:ext>
                    </a:extLst>
                  </pic:spPr>
                </pic:pic>
              </a:graphicData>
            </a:graphic>
          </wp:inline>
        </w:drawing>
      </w:r>
    </w:p>
    <w:p w14:paraId="651A8B3F" w14:textId="59EB9D3F" w:rsidR="007763C1" w:rsidRPr="001419CC" w:rsidRDefault="001419CC" w:rsidP="001419CC">
      <w:pPr>
        <w:pStyle w:val="NoSpacing"/>
        <w:rPr>
          <w:i/>
          <w:lang w:val="en-US"/>
        </w:rPr>
      </w:pPr>
      <w:bookmarkStart w:id="7" w:name="_Ref135934858"/>
      <w:r w:rsidRPr="001419CC">
        <w:rPr>
          <w:b/>
          <w:i/>
        </w:rPr>
        <w:t xml:space="preserve">Figure </w:t>
      </w:r>
      <w:r>
        <w:rPr>
          <w:b/>
          <w:i/>
        </w:rPr>
        <w:t>S</w:t>
      </w:r>
      <w:r w:rsidRPr="001419CC">
        <w:rPr>
          <w:b/>
          <w:i/>
        </w:rPr>
        <w:fldChar w:fldCharType="begin"/>
      </w:r>
      <w:r w:rsidRPr="001419CC">
        <w:rPr>
          <w:b/>
          <w:i/>
        </w:rPr>
        <w:instrText xml:space="preserve"> SEQ Figure \* ARABIC </w:instrText>
      </w:r>
      <w:r w:rsidRPr="001419CC">
        <w:rPr>
          <w:b/>
          <w:i/>
        </w:rPr>
        <w:fldChar w:fldCharType="separate"/>
      </w:r>
      <w:r w:rsidR="001533D2">
        <w:rPr>
          <w:b/>
          <w:i/>
          <w:noProof/>
        </w:rPr>
        <w:t>4</w:t>
      </w:r>
      <w:r w:rsidRPr="001419CC">
        <w:rPr>
          <w:b/>
          <w:i/>
        </w:rPr>
        <w:fldChar w:fldCharType="end"/>
      </w:r>
      <w:bookmarkEnd w:id="7"/>
      <w:r w:rsidRPr="001419CC">
        <w:rPr>
          <w:b/>
          <w:i/>
        </w:rPr>
        <w:t>:</w:t>
      </w:r>
      <w:r w:rsidRPr="001419CC">
        <w:rPr>
          <w:i/>
        </w:rPr>
        <w:t>Temporal evolution of the premix air bubble density</w:t>
      </w:r>
      <w:r>
        <w:rPr>
          <w:i/>
        </w:rPr>
        <w:t xml:space="preserve"> </w:t>
      </w:r>
      <w:proofErr w:type="spellStart"/>
      <w:r>
        <w:rPr>
          <w:i/>
        </w:rPr>
        <w:t>n</w:t>
      </w:r>
      <w:r>
        <w:rPr>
          <w:vertAlign w:val="subscript"/>
        </w:rPr>
        <w:t>pre</w:t>
      </w:r>
      <w:proofErr w:type="spellEnd"/>
      <w:r w:rsidRPr="001419CC">
        <w:rPr>
          <w:i/>
        </w:rPr>
        <w:t xml:space="preserve"> for premixes generated a) without and b) with the fluorocarbon (FC) perfluoro(4-methylpent-2ene) using different numbers of mixing cycles N</w:t>
      </w:r>
      <w:r w:rsidRPr="001419CC">
        <w:rPr>
          <w:i/>
          <w:vertAlign w:val="subscript"/>
        </w:rPr>
        <w:t>c</w:t>
      </w:r>
      <w:r w:rsidRPr="001419CC">
        <w:rPr>
          <w:i/>
        </w:rPr>
        <w:t xml:space="preserve"> in a double-syringe mixing machine. Mean air bubble radius of the air bubbles in c) absence and d) presence of the FC in the premix.</w:t>
      </w:r>
    </w:p>
    <w:p w14:paraId="170B46FA" w14:textId="14D0B0E0" w:rsidR="0060064F" w:rsidRPr="00795000" w:rsidRDefault="0060064F" w:rsidP="00E75902"/>
    <w:bookmarkEnd w:id="2"/>
    <w:p w14:paraId="1AF9FC97" w14:textId="29318572" w:rsidR="006F21CC" w:rsidRDefault="006F21CC" w:rsidP="00FA7C96">
      <w:pPr>
        <w:rPr>
          <w:lang w:val="en-US"/>
        </w:rPr>
      </w:pPr>
      <w:r>
        <w:rPr>
          <w:lang w:val="en-US"/>
        </w:rPr>
        <w:t xml:space="preserve">As can be taken from </w:t>
      </w:r>
      <w:r w:rsidRPr="006F21CC">
        <w:rPr>
          <w:lang w:val="en-US"/>
        </w:rPr>
        <w:fldChar w:fldCharType="begin"/>
      </w:r>
      <w:r w:rsidRPr="006F21CC">
        <w:rPr>
          <w:lang w:val="en-US"/>
        </w:rPr>
        <w:instrText xml:space="preserve"> REF _Ref135934858 \h  \* MERGEFORMAT </w:instrText>
      </w:r>
      <w:r w:rsidRPr="006F21CC">
        <w:rPr>
          <w:lang w:val="en-US"/>
        </w:rPr>
      </w:r>
      <w:r w:rsidRPr="006F21CC">
        <w:rPr>
          <w:lang w:val="en-US"/>
        </w:rPr>
        <w:fldChar w:fldCharType="separate"/>
      </w:r>
      <w:r w:rsidR="001533D2" w:rsidRPr="001533D2">
        <w:t>Figure S4</w:t>
      </w:r>
      <w:r w:rsidRPr="006F21CC">
        <w:rPr>
          <w:lang w:val="en-US"/>
        </w:rPr>
        <w:fldChar w:fldCharType="end"/>
      </w:r>
      <w:r w:rsidR="00B378F3">
        <w:rPr>
          <w:lang w:val="en-US"/>
        </w:rPr>
        <w:t>a and b</w:t>
      </w:r>
      <w:r>
        <w:rPr>
          <w:lang w:val="en-US"/>
        </w:rPr>
        <w:t>, the premix air bubble density</w:t>
      </w:r>
      <w:r w:rsidR="00B378F3">
        <w:rPr>
          <w:lang w:val="en-US"/>
        </w:rPr>
        <w:t xml:space="preserve"> </w:t>
      </w:r>
      <w:proofErr w:type="spellStart"/>
      <w:r w:rsidR="00B378F3">
        <w:rPr>
          <w:i/>
          <w:lang w:val="en-US"/>
        </w:rPr>
        <w:t>n</w:t>
      </w:r>
      <w:r w:rsidR="00B378F3">
        <w:rPr>
          <w:vertAlign w:val="subscript"/>
          <w:lang w:val="en-US"/>
        </w:rPr>
        <w:t>pre</w:t>
      </w:r>
      <w:proofErr w:type="spellEnd"/>
      <w:r>
        <w:rPr>
          <w:lang w:val="en-US"/>
        </w:rPr>
        <w:t xml:space="preserve"> decreases over the period of the microscopic observation with a pronounced decrease </w:t>
      </w:r>
      <w:r w:rsidR="00B378F3">
        <w:rPr>
          <w:lang w:val="en-US"/>
        </w:rPr>
        <w:t xml:space="preserve">at the beginning of the observation irrespective of the absence or presence of the FC. At the same time, </w:t>
      </w:r>
      <w:r w:rsidR="00B378F3" w:rsidRPr="00B378F3">
        <w:rPr>
          <w:lang w:val="en-US"/>
        </w:rPr>
        <w:fldChar w:fldCharType="begin"/>
      </w:r>
      <w:r w:rsidR="00B378F3" w:rsidRPr="00B378F3">
        <w:rPr>
          <w:lang w:val="en-US"/>
        </w:rPr>
        <w:instrText xml:space="preserve"> REF _Ref135934858 \h  \* MERGEFORMAT </w:instrText>
      </w:r>
      <w:r w:rsidR="00B378F3" w:rsidRPr="00B378F3">
        <w:rPr>
          <w:lang w:val="en-US"/>
        </w:rPr>
      </w:r>
      <w:r w:rsidR="00B378F3" w:rsidRPr="00B378F3">
        <w:rPr>
          <w:lang w:val="en-US"/>
        </w:rPr>
        <w:fldChar w:fldCharType="separate"/>
      </w:r>
      <w:r w:rsidR="001533D2" w:rsidRPr="001533D2">
        <w:t>Figure S4</w:t>
      </w:r>
      <w:r w:rsidR="00B378F3" w:rsidRPr="00B378F3">
        <w:rPr>
          <w:lang w:val="en-US"/>
        </w:rPr>
        <w:fldChar w:fldCharType="end"/>
      </w:r>
      <w:r w:rsidR="00B378F3">
        <w:rPr>
          <w:lang w:val="en-US"/>
        </w:rPr>
        <w:t xml:space="preserve">c and </w:t>
      </w:r>
      <w:r w:rsidR="00B378F3">
        <w:rPr>
          <w:lang w:val="en-US"/>
        </w:rPr>
        <w:lastRenderedPageBreak/>
        <w:t xml:space="preserve">d show the mean air bubble radius </w:t>
      </w:r>
      <w:r w:rsidR="00B378F3">
        <w:rPr>
          <w:lang w:val="en-US"/>
        </w:rPr>
        <w:sym w:font="Symbol" w:char="F0E1"/>
      </w:r>
      <w:proofErr w:type="spellStart"/>
      <w:r w:rsidR="00B378F3">
        <w:rPr>
          <w:i/>
          <w:lang w:val="en-US"/>
        </w:rPr>
        <w:t>r</w:t>
      </w:r>
      <w:r w:rsidR="00B378F3">
        <w:rPr>
          <w:vertAlign w:val="subscript"/>
          <w:lang w:val="en-US"/>
        </w:rPr>
        <w:t>b</w:t>
      </w:r>
      <w:proofErr w:type="spellEnd"/>
      <w:r w:rsidR="00B378F3">
        <w:rPr>
          <w:lang w:val="en-US"/>
        </w:rPr>
        <w:sym w:font="Symbol" w:char="F0F1"/>
      </w:r>
      <w:r w:rsidR="00B378F3">
        <w:rPr>
          <w:lang w:val="en-US"/>
        </w:rPr>
        <w:t xml:space="preserve"> grows continuously during the observation for both formulations with and without FC. This demonstrates unambiguously that bubble aging is taking place in the premix and that the presence of the FC does not noticeably retard bubble aging as often stated.</w:t>
      </w:r>
    </w:p>
    <w:p w14:paraId="33B948D8" w14:textId="43A6E5C3" w:rsidR="00FA7C96" w:rsidRDefault="00FA7C96" w:rsidP="00FA7C96">
      <w:pPr>
        <w:rPr>
          <w:lang w:val="en-US"/>
        </w:rPr>
      </w:pPr>
      <w:r>
        <w:rPr>
          <w:lang w:val="en-US"/>
        </w:rPr>
        <w:t xml:space="preserve">For the sake of </w:t>
      </w:r>
      <w:r w:rsidR="00B378F3">
        <w:rPr>
          <w:lang w:val="en-US"/>
        </w:rPr>
        <w:t xml:space="preserve">the </w:t>
      </w:r>
      <w:r>
        <w:rPr>
          <w:lang w:val="en-US"/>
        </w:rPr>
        <w:t>comparability</w:t>
      </w:r>
      <w:r w:rsidR="00B378F3">
        <w:rPr>
          <w:lang w:val="en-US"/>
        </w:rPr>
        <w:t xml:space="preserve"> of the results shown in </w:t>
      </w:r>
      <w:r w:rsidR="00B378F3" w:rsidRPr="00B378F3">
        <w:rPr>
          <w:lang w:val="en-US"/>
        </w:rPr>
        <w:fldChar w:fldCharType="begin"/>
      </w:r>
      <w:r w:rsidR="00B378F3" w:rsidRPr="00B378F3">
        <w:rPr>
          <w:lang w:val="en-US"/>
        </w:rPr>
        <w:instrText xml:space="preserve"> REF _Ref135934858 \h  \* MERGEFORMAT </w:instrText>
      </w:r>
      <w:r w:rsidR="00B378F3" w:rsidRPr="00B378F3">
        <w:rPr>
          <w:lang w:val="en-US"/>
        </w:rPr>
      </w:r>
      <w:r w:rsidR="00B378F3" w:rsidRPr="00B378F3">
        <w:rPr>
          <w:lang w:val="en-US"/>
        </w:rPr>
        <w:fldChar w:fldCharType="separate"/>
      </w:r>
      <w:r w:rsidR="001533D2" w:rsidRPr="001533D2">
        <w:t>Figure S4</w:t>
      </w:r>
      <w:r w:rsidR="00B378F3" w:rsidRPr="00B378F3">
        <w:rPr>
          <w:lang w:val="en-US"/>
        </w:rPr>
        <w:fldChar w:fldCharType="end"/>
      </w:r>
      <w:r>
        <w:rPr>
          <w:lang w:val="en-US"/>
        </w:rPr>
        <w:t>,</w:t>
      </w:r>
      <w:r w:rsidR="00D74F15">
        <w:rPr>
          <w:lang w:val="en-US"/>
        </w:rPr>
        <w:t xml:space="preserve"> </w:t>
      </w:r>
      <w:r w:rsidR="00D74F15" w:rsidRPr="00D74F15">
        <w:rPr>
          <w:lang w:val="en-US"/>
        </w:rPr>
        <w:fldChar w:fldCharType="begin"/>
      </w:r>
      <w:r w:rsidR="00D74F15" w:rsidRPr="00D74F15">
        <w:rPr>
          <w:lang w:val="en-US"/>
        </w:rPr>
        <w:instrText xml:space="preserve"> REF _Ref135935735 \h  \* MERGEFORMAT </w:instrText>
      </w:r>
      <w:r w:rsidR="00D74F15" w:rsidRPr="00D74F15">
        <w:rPr>
          <w:lang w:val="en-US"/>
        </w:rPr>
      </w:r>
      <w:r w:rsidR="00D74F15" w:rsidRPr="00D74F15">
        <w:rPr>
          <w:lang w:val="en-US"/>
        </w:rPr>
        <w:fldChar w:fldCharType="separate"/>
      </w:r>
      <w:r w:rsidR="001533D2" w:rsidRPr="001533D2">
        <w:t>Figure S5</w:t>
      </w:r>
      <w:r w:rsidR="00D74F15" w:rsidRPr="00D74F15">
        <w:rPr>
          <w:lang w:val="en-US"/>
        </w:rPr>
        <w:fldChar w:fldCharType="end"/>
      </w:r>
      <w:r w:rsidR="00D74F15">
        <w:rPr>
          <w:lang w:val="en-US"/>
        </w:rPr>
        <w:t>a</w:t>
      </w:r>
      <w:r>
        <w:rPr>
          <w:lang w:val="en-US"/>
        </w:rPr>
        <w:t xml:space="preserve"> shows the temporal evolution of the </w:t>
      </w:r>
      <w:r w:rsidR="00D74F15">
        <w:rPr>
          <w:lang w:val="en-US"/>
        </w:rPr>
        <w:t>normalized</w:t>
      </w:r>
      <w:r>
        <w:rPr>
          <w:lang w:val="en-US"/>
        </w:rPr>
        <w:t xml:space="preserve"> bubble density, i.e., how the bubble density </w:t>
      </w:r>
      <w:proofErr w:type="spellStart"/>
      <w:r>
        <w:rPr>
          <w:i/>
          <w:lang w:val="en-US"/>
        </w:rPr>
        <w:t>n</w:t>
      </w:r>
      <w:r>
        <w:rPr>
          <w:vertAlign w:val="subscript"/>
          <w:lang w:val="en-US"/>
        </w:rPr>
        <w:t>pre</w:t>
      </w:r>
      <w:proofErr w:type="spellEnd"/>
      <w:r>
        <w:rPr>
          <w:lang w:val="en-US"/>
        </w:rPr>
        <w:t xml:space="preserve"> changes with respect to the initial bubble density </w:t>
      </w:r>
      <w:r>
        <w:rPr>
          <w:i/>
          <w:lang w:val="en-US"/>
        </w:rPr>
        <w:t>n</w:t>
      </w:r>
      <w:r>
        <w:rPr>
          <w:vertAlign w:val="subscript"/>
          <w:lang w:val="en-US"/>
        </w:rPr>
        <w:t>pre,0</w:t>
      </w:r>
      <w:r>
        <w:rPr>
          <w:lang w:val="en-US"/>
        </w:rPr>
        <w:t xml:space="preserve">. Furthermore, the evolution of the </w:t>
      </w:r>
      <w:r w:rsidR="00D74F15">
        <w:rPr>
          <w:lang w:val="en-US"/>
        </w:rPr>
        <w:t>normalized</w:t>
      </w:r>
      <w:r>
        <w:rPr>
          <w:lang w:val="en-US"/>
        </w:rPr>
        <w:t xml:space="preserve"> mean bubble radius </w:t>
      </w:r>
      <w:r>
        <w:rPr>
          <w:lang w:val="en-US"/>
        </w:rPr>
        <w:sym w:font="Symbol" w:char="F0E1"/>
      </w:r>
      <w:proofErr w:type="spellStart"/>
      <w:r>
        <w:rPr>
          <w:i/>
          <w:lang w:val="en-US"/>
        </w:rPr>
        <w:t>r</w:t>
      </w:r>
      <w:r>
        <w:rPr>
          <w:vertAlign w:val="subscript"/>
          <w:lang w:val="en-US"/>
        </w:rPr>
        <w:t>b</w:t>
      </w:r>
      <w:proofErr w:type="spellEnd"/>
      <w:r>
        <w:rPr>
          <w:lang w:val="en-US"/>
        </w:rPr>
        <w:sym w:font="Symbol" w:char="F0F1"/>
      </w:r>
      <w:r>
        <w:rPr>
          <w:lang w:val="en-US"/>
        </w:rPr>
        <w:t xml:space="preserve"> / </w:t>
      </w:r>
      <w:r>
        <w:rPr>
          <w:lang w:val="en-US"/>
        </w:rPr>
        <w:sym w:font="Symbol" w:char="F0E1"/>
      </w:r>
      <w:r>
        <w:rPr>
          <w:i/>
          <w:lang w:val="en-US"/>
        </w:rPr>
        <w:t>r</w:t>
      </w:r>
      <w:r>
        <w:rPr>
          <w:vertAlign w:val="subscript"/>
          <w:lang w:val="en-US"/>
        </w:rPr>
        <w:t>b,0</w:t>
      </w:r>
      <w:r>
        <w:rPr>
          <w:lang w:val="en-US"/>
        </w:rPr>
        <w:sym w:font="Symbol" w:char="F0F1"/>
      </w:r>
      <w:r>
        <w:rPr>
          <w:lang w:val="en-US"/>
        </w:rPr>
        <w:t xml:space="preserve"> is shown</w:t>
      </w:r>
      <w:r w:rsidR="00D74F15">
        <w:rPr>
          <w:lang w:val="en-US"/>
        </w:rPr>
        <w:t xml:space="preserve"> in </w:t>
      </w:r>
      <w:r w:rsidR="00D74F15" w:rsidRPr="00D74F15">
        <w:rPr>
          <w:lang w:val="en-US"/>
        </w:rPr>
        <w:fldChar w:fldCharType="begin"/>
      </w:r>
      <w:r w:rsidR="00D74F15" w:rsidRPr="00D74F15">
        <w:rPr>
          <w:lang w:val="en-US"/>
        </w:rPr>
        <w:instrText xml:space="preserve"> REF _Ref135935735 \h  \* MERGEFORMAT </w:instrText>
      </w:r>
      <w:r w:rsidR="00D74F15" w:rsidRPr="00D74F15">
        <w:rPr>
          <w:lang w:val="en-US"/>
        </w:rPr>
      </w:r>
      <w:r w:rsidR="00D74F15" w:rsidRPr="00D74F15">
        <w:rPr>
          <w:lang w:val="en-US"/>
        </w:rPr>
        <w:fldChar w:fldCharType="separate"/>
      </w:r>
      <w:r w:rsidR="001533D2" w:rsidRPr="001533D2">
        <w:t>Figure S5</w:t>
      </w:r>
      <w:r w:rsidR="00D74F15" w:rsidRPr="00D74F15">
        <w:rPr>
          <w:lang w:val="en-US"/>
        </w:rPr>
        <w:fldChar w:fldCharType="end"/>
      </w:r>
      <w:r>
        <w:rPr>
          <w:lang w:val="en-US"/>
        </w:rPr>
        <w:t xml:space="preserve">. Note that for reasons of clarity, only the results of the experiments conducted with </w:t>
      </w:r>
      <w:r>
        <w:rPr>
          <w:i/>
          <w:lang w:val="en-US"/>
        </w:rPr>
        <w:t>N</w:t>
      </w:r>
      <w:r>
        <w:rPr>
          <w:vertAlign w:val="subscript"/>
          <w:lang w:val="en-US"/>
        </w:rPr>
        <w:t>c</w:t>
      </w:r>
      <w:r>
        <w:rPr>
          <w:lang w:val="en-US"/>
        </w:rPr>
        <w:t xml:space="preserve"> = 50 are shown in</w:t>
      </w:r>
      <w:r w:rsidR="00D74F15">
        <w:rPr>
          <w:lang w:val="en-US"/>
        </w:rPr>
        <w:t xml:space="preserve"> </w:t>
      </w:r>
      <w:r w:rsidR="00D74F15" w:rsidRPr="00D74F15">
        <w:rPr>
          <w:lang w:val="en-US"/>
        </w:rPr>
        <w:fldChar w:fldCharType="begin"/>
      </w:r>
      <w:r w:rsidR="00D74F15" w:rsidRPr="00D74F15">
        <w:rPr>
          <w:lang w:val="en-US"/>
        </w:rPr>
        <w:instrText xml:space="preserve"> REF _Ref135935735 \h  \* MERGEFORMAT </w:instrText>
      </w:r>
      <w:r w:rsidR="00D74F15" w:rsidRPr="00D74F15">
        <w:rPr>
          <w:lang w:val="en-US"/>
        </w:rPr>
      </w:r>
      <w:r w:rsidR="00D74F15" w:rsidRPr="00D74F15">
        <w:rPr>
          <w:lang w:val="en-US"/>
        </w:rPr>
        <w:fldChar w:fldCharType="separate"/>
      </w:r>
      <w:r w:rsidR="001533D2" w:rsidRPr="001533D2">
        <w:t>Figure S5</w:t>
      </w:r>
      <w:r w:rsidR="00D74F15" w:rsidRPr="00D74F15">
        <w:rPr>
          <w:lang w:val="en-US"/>
        </w:rPr>
        <w:fldChar w:fldCharType="end"/>
      </w:r>
      <w:r>
        <w:rPr>
          <w:lang w:val="en-US"/>
        </w:rPr>
        <w:t xml:space="preserve">. </w:t>
      </w:r>
    </w:p>
    <w:p w14:paraId="4BDFB1C1" w14:textId="5FB320E3" w:rsidR="00FA7C96" w:rsidRDefault="00FA7C96" w:rsidP="00FA7C96">
      <w:pPr>
        <w:rPr>
          <w:lang w:val="en-US"/>
        </w:rPr>
      </w:pPr>
    </w:p>
    <w:p w14:paraId="33F4C5EF" w14:textId="77777777" w:rsidR="00B378F3" w:rsidRDefault="00FA7C96" w:rsidP="00B378F3">
      <w:pPr>
        <w:keepNext/>
      </w:pPr>
      <w:r>
        <w:rPr>
          <w:noProof/>
          <w:lang w:val="en-US"/>
        </w:rPr>
        <w:drawing>
          <wp:inline distT="0" distB="0" distL="0" distR="0" wp14:anchorId="567AB762" wp14:editId="2F879DFE">
            <wp:extent cx="5250180" cy="20802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777" t="4082" r="6084" b="3061"/>
                    <a:stretch/>
                  </pic:blipFill>
                  <pic:spPr bwMode="auto">
                    <a:xfrm>
                      <a:off x="0" y="0"/>
                      <a:ext cx="5250180" cy="2080260"/>
                    </a:xfrm>
                    <a:prstGeom prst="rect">
                      <a:avLst/>
                    </a:prstGeom>
                    <a:noFill/>
                    <a:ln>
                      <a:noFill/>
                    </a:ln>
                    <a:extLst>
                      <a:ext uri="{53640926-AAD7-44D8-BBD7-CCE9431645EC}">
                        <a14:shadowObscured xmlns:a14="http://schemas.microsoft.com/office/drawing/2010/main"/>
                      </a:ext>
                    </a:extLst>
                  </pic:spPr>
                </pic:pic>
              </a:graphicData>
            </a:graphic>
          </wp:inline>
        </w:drawing>
      </w:r>
    </w:p>
    <w:p w14:paraId="76019441" w14:textId="138A56FE" w:rsidR="00FA7C96" w:rsidRDefault="00B378F3" w:rsidP="00D74F15">
      <w:pPr>
        <w:pStyle w:val="NoSpacing"/>
        <w:rPr>
          <w:i/>
        </w:rPr>
      </w:pPr>
      <w:bookmarkStart w:id="8" w:name="_Ref135935735"/>
      <w:r w:rsidRPr="00D74F15">
        <w:rPr>
          <w:b/>
          <w:i/>
        </w:rPr>
        <w:t>Figure S</w:t>
      </w:r>
      <w:r w:rsidRPr="00D74F15">
        <w:rPr>
          <w:b/>
          <w:i/>
        </w:rPr>
        <w:fldChar w:fldCharType="begin"/>
      </w:r>
      <w:r w:rsidRPr="00D74F15">
        <w:rPr>
          <w:b/>
          <w:i/>
        </w:rPr>
        <w:instrText xml:space="preserve"> SEQ Figure \* ARABIC </w:instrText>
      </w:r>
      <w:r w:rsidRPr="00D74F15">
        <w:rPr>
          <w:b/>
          <w:i/>
        </w:rPr>
        <w:fldChar w:fldCharType="separate"/>
      </w:r>
      <w:r w:rsidR="001533D2">
        <w:rPr>
          <w:b/>
          <w:i/>
          <w:noProof/>
        </w:rPr>
        <w:t>5</w:t>
      </w:r>
      <w:r w:rsidRPr="00D74F15">
        <w:rPr>
          <w:b/>
          <w:i/>
        </w:rPr>
        <w:fldChar w:fldCharType="end"/>
      </w:r>
      <w:bookmarkEnd w:id="8"/>
      <w:r w:rsidRPr="00D74F15">
        <w:rPr>
          <w:i/>
        </w:rPr>
        <w:t>:Temporal evolution of a) the normalized air bubble density</w:t>
      </w:r>
      <w:r w:rsidR="00D74F15" w:rsidRPr="00D74F15">
        <w:rPr>
          <w:i/>
        </w:rPr>
        <w:t xml:space="preserve"> </w:t>
      </w:r>
      <w:proofErr w:type="spellStart"/>
      <w:r w:rsidR="00D74F15" w:rsidRPr="00D74F15">
        <w:rPr>
          <w:i/>
          <w:lang w:val="en-US"/>
        </w:rPr>
        <w:t>n</w:t>
      </w:r>
      <w:r w:rsidR="00D74F15" w:rsidRPr="00D74F15">
        <w:rPr>
          <w:i/>
          <w:vertAlign w:val="subscript"/>
          <w:lang w:val="en-US"/>
        </w:rPr>
        <w:t>pre</w:t>
      </w:r>
      <w:proofErr w:type="spellEnd"/>
      <w:r w:rsidR="00D74F15" w:rsidRPr="00D74F15">
        <w:rPr>
          <w:i/>
          <w:vertAlign w:val="subscript"/>
          <w:lang w:val="en-US"/>
        </w:rPr>
        <w:t xml:space="preserve"> </w:t>
      </w:r>
      <w:r w:rsidR="00D74F15" w:rsidRPr="00D74F15">
        <w:rPr>
          <w:i/>
        </w:rPr>
        <w:t xml:space="preserve">/ </w:t>
      </w:r>
      <w:r w:rsidR="00D74F15" w:rsidRPr="00D74F15">
        <w:rPr>
          <w:i/>
          <w:lang w:val="en-US"/>
        </w:rPr>
        <w:t>n</w:t>
      </w:r>
      <w:r w:rsidR="00D74F15" w:rsidRPr="00D74F15">
        <w:rPr>
          <w:i/>
          <w:vertAlign w:val="subscript"/>
          <w:lang w:val="en-US"/>
        </w:rPr>
        <w:t>pre,0</w:t>
      </w:r>
      <w:r w:rsidRPr="00D74F15">
        <w:rPr>
          <w:i/>
        </w:rPr>
        <w:t xml:space="preserve"> and b) the normalized mean bubble radius</w:t>
      </w:r>
      <w:r w:rsidR="00D74F15" w:rsidRPr="00D74F15">
        <w:rPr>
          <w:i/>
        </w:rPr>
        <w:t xml:space="preserve"> </w:t>
      </w:r>
      <w:r w:rsidR="00D74F15" w:rsidRPr="00D74F15">
        <w:rPr>
          <w:i/>
          <w:lang w:val="en-US"/>
        </w:rPr>
        <w:sym w:font="Symbol" w:char="F0E1"/>
      </w:r>
      <w:proofErr w:type="spellStart"/>
      <w:r w:rsidR="00D74F15" w:rsidRPr="00D74F15">
        <w:rPr>
          <w:i/>
          <w:lang w:val="en-US"/>
        </w:rPr>
        <w:t>r</w:t>
      </w:r>
      <w:r w:rsidR="00D74F15" w:rsidRPr="00D74F15">
        <w:rPr>
          <w:i/>
          <w:vertAlign w:val="subscript"/>
          <w:lang w:val="en-US"/>
        </w:rPr>
        <w:t>b</w:t>
      </w:r>
      <w:proofErr w:type="spellEnd"/>
      <w:r w:rsidR="00D74F15" w:rsidRPr="00D74F15">
        <w:rPr>
          <w:i/>
          <w:lang w:val="en-US"/>
        </w:rPr>
        <w:sym w:font="Symbol" w:char="F0F1"/>
      </w:r>
      <w:r w:rsidR="00D74F15" w:rsidRPr="00D74F15">
        <w:rPr>
          <w:i/>
          <w:lang w:val="en-US"/>
        </w:rPr>
        <w:t xml:space="preserve"> / </w:t>
      </w:r>
      <w:r w:rsidR="00D74F15" w:rsidRPr="00D74F15">
        <w:rPr>
          <w:i/>
          <w:lang w:val="en-US"/>
        </w:rPr>
        <w:sym w:font="Symbol" w:char="F0E1"/>
      </w:r>
      <w:r w:rsidR="00D74F15" w:rsidRPr="00D74F15">
        <w:rPr>
          <w:i/>
          <w:lang w:val="en-US"/>
        </w:rPr>
        <w:t>r</w:t>
      </w:r>
      <w:r w:rsidR="00D74F15" w:rsidRPr="00D74F15">
        <w:rPr>
          <w:i/>
          <w:vertAlign w:val="subscript"/>
          <w:lang w:val="en-US"/>
        </w:rPr>
        <w:t>b,0</w:t>
      </w:r>
      <w:r w:rsidR="00D74F15" w:rsidRPr="00D74F15">
        <w:rPr>
          <w:i/>
          <w:lang w:val="en-US"/>
        </w:rPr>
        <w:sym w:font="Symbol" w:char="F0F1"/>
      </w:r>
      <w:r w:rsidR="00D74F15" w:rsidRPr="00D74F15">
        <w:rPr>
          <w:i/>
          <w:lang w:val="en-US"/>
        </w:rPr>
        <w:t xml:space="preserve"> </w:t>
      </w:r>
      <w:r w:rsidRPr="00D74F15">
        <w:rPr>
          <w:i/>
        </w:rPr>
        <w:t>premix</w:t>
      </w:r>
      <w:r w:rsidR="00D74F15">
        <w:rPr>
          <w:i/>
        </w:rPr>
        <w:t>es generated using 50 double-syringe mixing cycles for formulations with and without the FC</w:t>
      </w:r>
      <w:r w:rsidR="00D74F15" w:rsidRPr="00D74F15">
        <w:rPr>
          <w:i/>
        </w:rPr>
        <w:t>.</w:t>
      </w:r>
    </w:p>
    <w:p w14:paraId="6F90DA2F" w14:textId="230F3004" w:rsidR="008132D7" w:rsidRDefault="008132D7" w:rsidP="00D74F15">
      <w:pPr>
        <w:pStyle w:val="NoSpacing"/>
        <w:rPr>
          <w:i/>
          <w:lang w:val="en-US"/>
        </w:rPr>
      </w:pPr>
    </w:p>
    <w:p w14:paraId="18B1D582" w14:textId="00F5EC9D" w:rsidR="008132D7" w:rsidRPr="008132D7" w:rsidRDefault="008132D7" w:rsidP="008132D7">
      <w:pPr>
        <w:rPr>
          <w:lang w:val="en-US"/>
        </w:rPr>
      </w:pPr>
      <w:r w:rsidRPr="008132D7">
        <w:rPr>
          <w:lang w:val="en-US"/>
        </w:rPr>
        <w:fldChar w:fldCharType="begin"/>
      </w:r>
      <w:r w:rsidRPr="008132D7">
        <w:rPr>
          <w:lang w:val="en-US"/>
        </w:rPr>
        <w:instrText xml:space="preserve"> REF _Ref135935735 \h  \* MERGEFORMAT </w:instrText>
      </w:r>
      <w:r w:rsidRPr="008132D7">
        <w:rPr>
          <w:lang w:val="en-US"/>
        </w:rPr>
      </w:r>
      <w:r w:rsidRPr="008132D7">
        <w:rPr>
          <w:lang w:val="en-US"/>
        </w:rPr>
        <w:fldChar w:fldCharType="separate"/>
      </w:r>
      <w:r w:rsidR="001533D2" w:rsidRPr="001533D2">
        <w:t>Figure S5</w:t>
      </w:r>
      <w:r w:rsidRPr="008132D7">
        <w:rPr>
          <w:lang w:val="en-US"/>
        </w:rPr>
        <w:fldChar w:fldCharType="end"/>
      </w:r>
      <w:r>
        <w:rPr>
          <w:lang w:val="en-US"/>
        </w:rPr>
        <w:t xml:space="preserve">a </w:t>
      </w:r>
      <w:proofErr w:type="gramStart"/>
      <w:r>
        <w:rPr>
          <w:lang w:val="en-US"/>
        </w:rPr>
        <w:t>reveals</w:t>
      </w:r>
      <w:proofErr w:type="gramEnd"/>
      <w:r>
        <w:rPr>
          <w:lang w:val="en-US"/>
        </w:rPr>
        <w:t xml:space="preserve"> that the relative decay of the bubble density proceeds equally fast for formulations with and without the FC. As is shown in </w:t>
      </w:r>
      <w:r w:rsidRPr="008132D7">
        <w:rPr>
          <w:lang w:val="en-US"/>
        </w:rPr>
        <w:fldChar w:fldCharType="begin"/>
      </w:r>
      <w:r w:rsidRPr="008132D7">
        <w:rPr>
          <w:lang w:val="en-US"/>
        </w:rPr>
        <w:instrText xml:space="preserve"> REF _Ref135935735 \h  \* MERGEFORMAT </w:instrText>
      </w:r>
      <w:r w:rsidRPr="008132D7">
        <w:rPr>
          <w:lang w:val="en-US"/>
        </w:rPr>
      </w:r>
      <w:r w:rsidRPr="008132D7">
        <w:rPr>
          <w:lang w:val="en-US"/>
        </w:rPr>
        <w:fldChar w:fldCharType="separate"/>
      </w:r>
      <w:r w:rsidR="001533D2" w:rsidRPr="001533D2">
        <w:t>Figure S5</w:t>
      </w:r>
      <w:r w:rsidRPr="008132D7">
        <w:rPr>
          <w:lang w:val="en-US"/>
        </w:rPr>
        <w:fldChar w:fldCharType="end"/>
      </w:r>
      <w:r>
        <w:rPr>
          <w:lang w:val="en-US"/>
        </w:rPr>
        <w:t>, the same holds true for the growth of the entrapped air bubbles undergoing bubble aging. This finding emphasizes</w:t>
      </w:r>
      <w:r w:rsidR="00D241D8">
        <w:rPr>
          <w:lang w:val="en-US"/>
        </w:rPr>
        <w:t xml:space="preserve"> </w:t>
      </w:r>
      <w:r>
        <w:rPr>
          <w:lang w:val="en-US"/>
        </w:rPr>
        <w:t>that bubble aging is not only not stopped in the presence of the FC – in fact it is not even noticeably decelerated.</w:t>
      </w:r>
    </w:p>
    <w:p w14:paraId="37461C21" w14:textId="455A9912" w:rsidR="00E75902" w:rsidRDefault="00E75902" w:rsidP="00E75902">
      <w:pPr>
        <w:spacing w:line="259" w:lineRule="auto"/>
        <w:jc w:val="left"/>
        <w:rPr>
          <w:lang w:val="en-US"/>
        </w:rPr>
      </w:pPr>
    </w:p>
    <w:sectPr w:rsidR="00E75902" w:rsidSect="008318BD">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5968E" w14:textId="77777777" w:rsidR="008F70EC" w:rsidRDefault="008F70EC" w:rsidP="00C332F7">
      <w:pPr>
        <w:spacing w:after="0" w:line="240" w:lineRule="auto"/>
      </w:pPr>
      <w:r>
        <w:separator/>
      </w:r>
    </w:p>
  </w:endnote>
  <w:endnote w:type="continuationSeparator" w:id="0">
    <w:p w14:paraId="006BE817" w14:textId="77777777" w:rsidR="008F70EC" w:rsidRDefault="008F70EC" w:rsidP="00C3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4998346"/>
      <w:docPartObj>
        <w:docPartGallery w:val="Page Numbers (Bottom of Page)"/>
        <w:docPartUnique/>
      </w:docPartObj>
    </w:sdtPr>
    <w:sdtEndPr>
      <w:rPr>
        <w:noProof/>
      </w:rPr>
    </w:sdtEndPr>
    <w:sdtContent>
      <w:p w14:paraId="20EC9483" w14:textId="77777777" w:rsidR="002020CA" w:rsidRDefault="002020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0A2A57" w14:textId="77777777" w:rsidR="002020CA" w:rsidRDefault="002020CA" w:rsidP="00383FDF">
    <w:pPr>
      <w:pStyle w:val="Footer"/>
      <w:tabs>
        <w:tab w:val="clear" w:pos="4703"/>
        <w:tab w:val="clear" w:pos="9406"/>
        <w:tab w:val="left" w:pos="365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7A5F4" w14:textId="77777777" w:rsidR="008F70EC" w:rsidRDefault="008F70EC" w:rsidP="00C332F7">
      <w:pPr>
        <w:spacing w:after="0" w:line="240" w:lineRule="auto"/>
      </w:pPr>
      <w:r>
        <w:separator/>
      </w:r>
    </w:p>
  </w:footnote>
  <w:footnote w:type="continuationSeparator" w:id="0">
    <w:p w14:paraId="5A6A7F0F" w14:textId="77777777" w:rsidR="008F70EC" w:rsidRDefault="008F70EC" w:rsidP="00C33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30568" w14:textId="77777777" w:rsidR="002020CA" w:rsidRDefault="002020CA" w:rsidP="00383FDF">
    <w:pPr>
      <w:pStyle w:val="Header"/>
      <w:tabs>
        <w:tab w:val="clear" w:pos="4703"/>
        <w:tab w:val="clear" w:pos="9406"/>
        <w:tab w:val="left" w:pos="401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ECE"/>
    <w:multiLevelType w:val="hybridMultilevel"/>
    <w:tmpl w:val="7CD4442C"/>
    <w:lvl w:ilvl="0" w:tplc="9D3EEA0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E0C68"/>
    <w:multiLevelType w:val="hybridMultilevel"/>
    <w:tmpl w:val="3AC894A4"/>
    <w:lvl w:ilvl="0" w:tplc="0407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5D263F"/>
    <w:multiLevelType w:val="multilevel"/>
    <w:tmpl w:val="AD0061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C528B6"/>
    <w:multiLevelType w:val="multilevel"/>
    <w:tmpl w:val="3E300A02"/>
    <w:styleLink w:val="6MonthsProgressUpdate"/>
    <w:lvl w:ilvl="0">
      <w:start w:val="1"/>
      <w:numFmt w:val="decimal"/>
      <w:lvlText w:val="%1."/>
      <w:lvlJc w:val="left"/>
      <w:pPr>
        <w:ind w:left="357" w:hanging="357"/>
      </w:pPr>
      <w:rPr>
        <w:rFonts w:ascii="Arial" w:hAnsi="Arial" w:hint="default"/>
        <w:b/>
        <w:i w:val="0"/>
        <w:sz w:val="32"/>
        <w:u w:val="none"/>
      </w:rPr>
    </w:lvl>
    <w:lvl w:ilvl="1">
      <w:start w:val="1"/>
      <w:numFmt w:val="none"/>
      <w:lvlText w:val="1.1."/>
      <w:lvlJc w:val="left"/>
      <w:pPr>
        <w:ind w:left="714" w:hanging="357"/>
      </w:pPr>
      <w:rPr>
        <w:rFonts w:ascii="Arial" w:hAnsi="Arial" w:hint="default"/>
        <w:b/>
        <w:i w:val="0"/>
        <w:sz w:val="26"/>
      </w:rPr>
    </w:lvl>
    <w:lvl w:ilvl="2">
      <w:start w:val="1"/>
      <w:numFmt w:val="none"/>
      <w:lvlText w:val="1.1.1."/>
      <w:lvlJc w:val="left"/>
      <w:pPr>
        <w:ind w:left="1071" w:hanging="357"/>
      </w:pPr>
      <w:rPr>
        <w:rFonts w:ascii="Times New Roman" w:hAnsi="Times New Roman" w:hint="default"/>
        <w:b w:val="0"/>
        <w:i w:val="0"/>
        <w:sz w:val="24"/>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35146F27"/>
    <w:multiLevelType w:val="hybridMultilevel"/>
    <w:tmpl w:val="C7D23CAC"/>
    <w:lvl w:ilvl="0" w:tplc="1D3C047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0E5375"/>
    <w:multiLevelType w:val="hybridMultilevel"/>
    <w:tmpl w:val="F4306E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36A"/>
    <w:rsid w:val="00017093"/>
    <w:rsid w:val="00023443"/>
    <w:rsid w:val="00025AF3"/>
    <w:rsid w:val="000373FA"/>
    <w:rsid w:val="00037990"/>
    <w:rsid w:val="000565F6"/>
    <w:rsid w:val="00056A0D"/>
    <w:rsid w:val="00075B8A"/>
    <w:rsid w:val="000B65F6"/>
    <w:rsid w:val="000D6C57"/>
    <w:rsid w:val="001109CD"/>
    <w:rsid w:val="00113C07"/>
    <w:rsid w:val="00130FEC"/>
    <w:rsid w:val="001419CC"/>
    <w:rsid w:val="00141C06"/>
    <w:rsid w:val="001428D9"/>
    <w:rsid w:val="0015305D"/>
    <w:rsid w:val="001533D2"/>
    <w:rsid w:val="00154588"/>
    <w:rsid w:val="00164287"/>
    <w:rsid w:val="00177466"/>
    <w:rsid w:val="001A05F5"/>
    <w:rsid w:val="001A4274"/>
    <w:rsid w:val="001A6F2B"/>
    <w:rsid w:val="001B08CD"/>
    <w:rsid w:val="001C7D53"/>
    <w:rsid w:val="001F2BD6"/>
    <w:rsid w:val="002020CA"/>
    <w:rsid w:val="00216D50"/>
    <w:rsid w:val="00231788"/>
    <w:rsid w:val="00267999"/>
    <w:rsid w:val="002A1E04"/>
    <w:rsid w:val="002A2D7E"/>
    <w:rsid w:val="002A4D2D"/>
    <w:rsid w:val="002D564C"/>
    <w:rsid w:val="002F132F"/>
    <w:rsid w:val="00324629"/>
    <w:rsid w:val="00367046"/>
    <w:rsid w:val="003755EF"/>
    <w:rsid w:val="00383FDF"/>
    <w:rsid w:val="003D110A"/>
    <w:rsid w:val="004001B1"/>
    <w:rsid w:val="00401362"/>
    <w:rsid w:val="004040F2"/>
    <w:rsid w:val="00446211"/>
    <w:rsid w:val="00481406"/>
    <w:rsid w:val="00492EB5"/>
    <w:rsid w:val="00496793"/>
    <w:rsid w:val="004B2680"/>
    <w:rsid w:val="004D177C"/>
    <w:rsid w:val="004D781D"/>
    <w:rsid w:val="00511D4B"/>
    <w:rsid w:val="00515931"/>
    <w:rsid w:val="00517198"/>
    <w:rsid w:val="00523988"/>
    <w:rsid w:val="0053276F"/>
    <w:rsid w:val="00537DDA"/>
    <w:rsid w:val="005667ED"/>
    <w:rsid w:val="0057390E"/>
    <w:rsid w:val="00591D36"/>
    <w:rsid w:val="00594267"/>
    <w:rsid w:val="005957FA"/>
    <w:rsid w:val="005B14E7"/>
    <w:rsid w:val="005B18B5"/>
    <w:rsid w:val="005C69CC"/>
    <w:rsid w:val="005D4707"/>
    <w:rsid w:val="005E7883"/>
    <w:rsid w:val="0060064F"/>
    <w:rsid w:val="00636396"/>
    <w:rsid w:val="006443D8"/>
    <w:rsid w:val="006600B5"/>
    <w:rsid w:val="00682CC8"/>
    <w:rsid w:val="00685A57"/>
    <w:rsid w:val="006939AF"/>
    <w:rsid w:val="006C13A5"/>
    <w:rsid w:val="006C4FD3"/>
    <w:rsid w:val="006F21CC"/>
    <w:rsid w:val="00701501"/>
    <w:rsid w:val="007031D2"/>
    <w:rsid w:val="00715CC4"/>
    <w:rsid w:val="00755265"/>
    <w:rsid w:val="00764B02"/>
    <w:rsid w:val="00771FEF"/>
    <w:rsid w:val="007763C1"/>
    <w:rsid w:val="00781F24"/>
    <w:rsid w:val="00792BE7"/>
    <w:rsid w:val="00795000"/>
    <w:rsid w:val="007D581D"/>
    <w:rsid w:val="00801C40"/>
    <w:rsid w:val="00804DD3"/>
    <w:rsid w:val="008132D7"/>
    <w:rsid w:val="008318BD"/>
    <w:rsid w:val="00844979"/>
    <w:rsid w:val="0086264C"/>
    <w:rsid w:val="00876E43"/>
    <w:rsid w:val="00880624"/>
    <w:rsid w:val="008A1D12"/>
    <w:rsid w:val="008B282E"/>
    <w:rsid w:val="008C5DE9"/>
    <w:rsid w:val="008E4CB6"/>
    <w:rsid w:val="008F70EC"/>
    <w:rsid w:val="0093392A"/>
    <w:rsid w:val="009404B2"/>
    <w:rsid w:val="0097659D"/>
    <w:rsid w:val="00981F97"/>
    <w:rsid w:val="00982F50"/>
    <w:rsid w:val="00990963"/>
    <w:rsid w:val="009955AA"/>
    <w:rsid w:val="009A7029"/>
    <w:rsid w:val="009E1941"/>
    <w:rsid w:val="009E7834"/>
    <w:rsid w:val="00A0280B"/>
    <w:rsid w:val="00A05D50"/>
    <w:rsid w:val="00A07161"/>
    <w:rsid w:val="00A455D4"/>
    <w:rsid w:val="00A57ABD"/>
    <w:rsid w:val="00AA602A"/>
    <w:rsid w:val="00AE5582"/>
    <w:rsid w:val="00AF560D"/>
    <w:rsid w:val="00B03872"/>
    <w:rsid w:val="00B378F3"/>
    <w:rsid w:val="00B96381"/>
    <w:rsid w:val="00BB3580"/>
    <w:rsid w:val="00BD0355"/>
    <w:rsid w:val="00BD0E26"/>
    <w:rsid w:val="00BE2447"/>
    <w:rsid w:val="00BF6FCF"/>
    <w:rsid w:val="00C00107"/>
    <w:rsid w:val="00C00552"/>
    <w:rsid w:val="00C04C3B"/>
    <w:rsid w:val="00C11EF9"/>
    <w:rsid w:val="00C332F7"/>
    <w:rsid w:val="00C341C6"/>
    <w:rsid w:val="00C36291"/>
    <w:rsid w:val="00C408B6"/>
    <w:rsid w:val="00C5561C"/>
    <w:rsid w:val="00C846BD"/>
    <w:rsid w:val="00C905DE"/>
    <w:rsid w:val="00C92104"/>
    <w:rsid w:val="00C9213D"/>
    <w:rsid w:val="00CA273D"/>
    <w:rsid w:val="00CB4586"/>
    <w:rsid w:val="00CD12B9"/>
    <w:rsid w:val="00CF6B61"/>
    <w:rsid w:val="00CF75EE"/>
    <w:rsid w:val="00D125FB"/>
    <w:rsid w:val="00D2036A"/>
    <w:rsid w:val="00D20485"/>
    <w:rsid w:val="00D241D8"/>
    <w:rsid w:val="00D406C1"/>
    <w:rsid w:val="00D427F2"/>
    <w:rsid w:val="00D45897"/>
    <w:rsid w:val="00D476BF"/>
    <w:rsid w:val="00D66E01"/>
    <w:rsid w:val="00D74F15"/>
    <w:rsid w:val="00DA1DB2"/>
    <w:rsid w:val="00DB4E57"/>
    <w:rsid w:val="00DB5CF9"/>
    <w:rsid w:val="00DD26AB"/>
    <w:rsid w:val="00DE16DA"/>
    <w:rsid w:val="00DE1B46"/>
    <w:rsid w:val="00DE1BC0"/>
    <w:rsid w:val="00DF018F"/>
    <w:rsid w:val="00E07E69"/>
    <w:rsid w:val="00E527F9"/>
    <w:rsid w:val="00E5356E"/>
    <w:rsid w:val="00E54BC9"/>
    <w:rsid w:val="00E56700"/>
    <w:rsid w:val="00E70511"/>
    <w:rsid w:val="00E75902"/>
    <w:rsid w:val="00E772BC"/>
    <w:rsid w:val="00E93CBB"/>
    <w:rsid w:val="00E973DD"/>
    <w:rsid w:val="00F26A21"/>
    <w:rsid w:val="00F632C1"/>
    <w:rsid w:val="00F75A3A"/>
    <w:rsid w:val="00F8050D"/>
    <w:rsid w:val="00FA7C96"/>
    <w:rsid w:val="00FC1C13"/>
    <w:rsid w:val="00FE0D8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A8721"/>
  <w15:chartTrackingRefBased/>
  <w15:docId w15:val="{069E4777-E464-40FD-BA1E-262D69E2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36A"/>
    <w:pPr>
      <w:spacing w:line="360" w:lineRule="auto"/>
      <w:jc w:val="both"/>
    </w:pPr>
    <w:rPr>
      <w:rFonts w:ascii="Times New Roman" w:hAnsi="Times New Roman"/>
      <w:sz w:val="24"/>
      <w:lang w:val="en-GB"/>
    </w:rPr>
  </w:style>
  <w:style w:type="paragraph" w:styleId="Heading1">
    <w:name w:val="heading 1"/>
    <w:basedOn w:val="Normal"/>
    <w:next w:val="Normal"/>
    <w:link w:val="Heading1Char"/>
    <w:uiPriority w:val="9"/>
    <w:qFormat/>
    <w:rsid w:val="00D2036A"/>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D2036A"/>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8A1D12"/>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6MonthsProgressUpdate">
    <w:name w:val="6 Months Progress Update"/>
    <w:uiPriority w:val="99"/>
    <w:rsid w:val="00E93CBB"/>
    <w:pPr>
      <w:numPr>
        <w:numId w:val="1"/>
      </w:numPr>
    </w:pPr>
  </w:style>
  <w:style w:type="character" w:customStyle="1" w:styleId="Heading1Char">
    <w:name w:val="Heading 1 Char"/>
    <w:basedOn w:val="DefaultParagraphFont"/>
    <w:link w:val="Heading1"/>
    <w:uiPriority w:val="9"/>
    <w:rsid w:val="00D2036A"/>
    <w:rPr>
      <w:rFonts w:ascii="Times New Roman" w:eastAsiaTheme="majorEastAsia" w:hAnsi="Times New Roman" w:cstheme="majorBidi"/>
      <w:b/>
      <w:color w:val="000000" w:themeColor="text1"/>
      <w:sz w:val="28"/>
      <w:szCs w:val="32"/>
      <w:lang w:val="en-GB"/>
    </w:rPr>
  </w:style>
  <w:style w:type="character" w:customStyle="1" w:styleId="Heading2Char">
    <w:name w:val="Heading 2 Char"/>
    <w:basedOn w:val="DefaultParagraphFont"/>
    <w:link w:val="Heading2"/>
    <w:uiPriority w:val="9"/>
    <w:rsid w:val="00D2036A"/>
    <w:rPr>
      <w:rFonts w:ascii="Times New Roman" w:eastAsiaTheme="majorEastAsia" w:hAnsi="Times New Roman" w:cstheme="majorBidi"/>
      <w:b/>
      <w:color w:val="000000" w:themeColor="text1"/>
      <w:sz w:val="24"/>
      <w:szCs w:val="26"/>
      <w:lang w:val="en-GB"/>
    </w:rPr>
  </w:style>
  <w:style w:type="paragraph" w:styleId="NoSpacing">
    <w:name w:val="No Spacing"/>
    <w:aliases w:val="Bildbeschriftung"/>
    <w:basedOn w:val="Normal"/>
    <w:link w:val="NoSpacingChar"/>
    <w:uiPriority w:val="1"/>
    <w:qFormat/>
    <w:rsid w:val="00D2036A"/>
    <w:pPr>
      <w:spacing w:after="0" w:line="240" w:lineRule="auto"/>
    </w:pPr>
  </w:style>
  <w:style w:type="table" w:styleId="TableGrid">
    <w:name w:val="Table Grid"/>
    <w:basedOn w:val="TableNormal"/>
    <w:uiPriority w:val="39"/>
    <w:rsid w:val="00D2036A"/>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390E"/>
    <w:pPr>
      <w:spacing w:after="200" w:line="240" w:lineRule="auto"/>
    </w:pPr>
    <w:rPr>
      <w:i/>
      <w:iCs/>
      <w:color w:val="44546A" w:themeColor="text2"/>
      <w:sz w:val="18"/>
      <w:szCs w:val="18"/>
    </w:rPr>
  </w:style>
  <w:style w:type="paragraph" w:styleId="Header">
    <w:name w:val="header"/>
    <w:basedOn w:val="Normal"/>
    <w:link w:val="HeaderChar"/>
    <w:uiPriority w:val="99"/>
    <w:unhideWhenUsed/>
    <w:rsid w:val="00C332F7"/>
    <w:pPr>
      <w:tabs>
        <w:tab w:val="center" w:pos="4703"/>
        <w:tab w:val="right" w:pos="9406"/>
      </w:tabs>
      <w:spacing w:after="0" w:line="240" w:lineRule="auto"/>
    </w:pPr>
  </w:style>
  <w:style w:type="character" w:customStyle="1" w:styleId="HeaderChar">
    <w:name w:val="Header Char"/>
    <w:basedOn w:val="DefaultParagraphFont"/>
    <w:link w:val="Header"/>
    <w:uiPriority w:val="99"/>
    <w:rsid w:val="00C332F7"/>
    <w:rPr>
      <w:rFonts w:ascii="Times New Roman" w:hAnsi="Times New Roman"/>
      <w:sz w:val="24"/>
      <w:lang w:val="en-GB"/>
    </w:rPr>
  </w:style>
  <w:style w:type="paragraph" w:styleId="Footer">
    <w:name w:val="footer"/>
    <w:basedOn w:val="Normal"/>
    <w:link w:val="FooterChar"/>
    <w:uiPriority w:val="99"/>
    <w:unhideWhenUsed/>
    <w:rsid w:val="00C332F7"/>
    <w:pPr>
      <w:tabs>
        <w:tab w:val="center" w:pos="4703"/>
        <w:tab w:val="right" w:pos="9406"/>
      </w:tabs>
      <w:spacing w:after="0" w:line="240" w:lineRule="auto"/>
    </w:pPr>
  </w:style>
  <w:style w:type="character" w:customStyle="1" w:styleId="FooterChar">
    <w:name w:val="Footer Char"/>
    <w:basedOn w:val="DefaultParagraphFont"/>
    <w:link w:val="Footer"/>
    <w:uiPriority w:val="99"/>
    <w:rsid w:val="00C332F7"/>
    <w:rPr>
      <w:rFonts w:ascii="Times New Roman" w:hAnsi="Times New Roman"/>
      <w:sz w:val="24"/>
      <w:lang w:val="en-GB"/>
    </w:rPr>
  </w:style>
  <w:style w:type="paragraph" w:styleId="ListParagraph">
    <w:name w:val="List Paragraph"/>
    <w:basedOn w:val="Normal"/>
    <w:uiPriority w:val="34"/>
    <w:qFormat/>
    <w:rsid w:val="00C341C6"/>
    <w:pPr>
      <w:ind w:left="720"/>
      <w:contextualSpacing/>
    </w:pPr>
  </w:style>
  <w:style w:type="character" w:styleId="PlaceholderText">
    <w:name w:val="Placeholder Text"/>
    <w:basedOn w:val="DefaultParagraphFont"/>
    <w:uiPriority w:val="99"/>
    <w:semiHidden/>
    <w:rsid w:val="00E973DD"/>
    <w:rPr>
      <w:color w:val="808080"/>
    </w:rPr>
  </w:style>
  <w:style w:type="character" w:customStyle="1" w:styleId="Heading3Char">
    <w:name w:val="Heading 3 Char"/>
    <w:basedOn w:val="DefaultParagraphFont"/>
    <w:link w:val="Heading3"/>
    <w:uiPriority w:val="9"/>
    <w:rsid w:val="008A1D12"/>
    <w:rPr>
      <w:rFonts w:asciiTheme="majorHAnsi" w:eastAsiaTheme="majorEastAsia" w:hAnsiTheme="majorHAnsi" w:cstheme="majorBidi"/>
      <w:color w:val="1F3763" w:themeColor="accent1" w:themeShade="7F"/>
      <w:sz w:val="24"/>
      <w:szCs w:val="24"/>
      <w:lang w:val="en-GB"/>
    </w:rPr>
  </w:style>
  <w:style w:type="character" w:customStyle="1" w:styleId="NoSpacingChar">
    <w:name w:val="No Spacing Char"/>
    <w:aliases w:val="Bildbeschriftung Char"/>
    <w:basedOn w:val="DefaultParagraphFont"/>
    <w:link w:val="NoSpacing"/>
    <w:uiPriority w:val="1"/>
    <w:rsid w:val="00E75902"/>
    <w:rPr>
      <w:rFonts w:ascii="Times New Roman" w:hAnsi="Times New Roman"/>
      <w:sz w:val="24"/>
      <w:lang w:val="en-GB"/>
    </w:rPr>
  </w:style>
  <w:style w:type="character" w:styleId="CommentReference">
    <w:name w:val="annotation reference"/>
    <w:basedOn w:val="DefaultParagraphFont"/>
    <w:uiPriority w:val="99"/>
    <w:semiHidden/>
    <w:unhideWhenUsed/>
    <w:rsid w:val="00E56700"/>
    <w:rPr>
      <w:sz w:val="16"/>
      <w:szCs w:val="16"/>
    </w:rPr>
  </w:style>
  <w:style w:type="paragraph" w:styleId="CommentText">
    <w:name w:val="annotation text"/>
    <w:basedOn w:val="Normal"/>
    <w:link w:val="CommentTextChar"/>
    <w:uiPriority w:val="99"/>
    <w:semiHidden/>
    <w:unhideWhenUsed/>
    <w:rsid w:val="00E56700"/>
    <w:pPr>
      <w:spacing w:line="240" w:lineRule="auto"/>
    </w:pPr>
    <w:rPr>
      <w:sz w:val="20"/>
      <w:szCs w:val="20"/>
    </w:rPr>
  </w:style>
  <w:style w:type="character" w:customStyle="1" w:styleId="CommentTextChar">
    <w:name w:val="Comment Text Char"/>
    <w:basedOn w:val="DefaultParagraphFont"/>
    <w:link w:val="CommentText"/>
    <w:uiPriority w:val="99"/>
    <w:semiHidden/>
    <w:rsid w:val="00E56700"/>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E56700"/>
    <w:rPr>
      <w:b/>
      <w:bCs/>
    </w:rPr>
  </w:style>
  <w:style w:type="character" w:customStyle="1" w:styleId="CommentSubjectChar">
    <w:name w:val="Comment Subject Char"/>
    <w:basedOn w:val="CommentTextChar"/>
    <w:link w:val="CommentSubject"/>
    <w:uiPriority w:val="99"/>
    <w:semiHidden/>
    <w:rsid w:val="00E56700"/>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E567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700"/>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8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50EB6-0AD7-451C-8131-58DA5B0B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1389</Words>
  <Characters>7644</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hamannmartin@gmx.de</dc:creator>
  <cp:keywords/>
  <dc:description/>
  <cp:lastModifiedBy>Wiebke Drenckhan</cp:lastModifiedBy>
  <cp:revision>2</cp:revision>
  <cp:lastPrinted>2022-05-30T12:59:00Z</cp:lastPrinted>
  <dcterms:created xsi:type="dcterms:W3CDTF">2023-09-18T16:15:00Z</dcterms:created>
  <dcterms:modified xsi:type="dcterms:W3CDTF">2023-09-18T16:15:00Z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http://www.zotero.org/styles/angewandte-chemie</vt:lpwstr>
  </property>
  <property fmtid="{D5CDD505-2E9C-101B-9397-08002B2CF9AE}" pid="11" name="Mendeley Recent Style Name 4_1">
    <vt:lpwstr>Angewandte Chemie International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http://www.zotero.org/styles/journal-of-the-american-chemical-society</vt:lpwstr>
  </property>
  <property fmtid="{D5CDD505-2E9C-101B-9397-08002B2CF9AE}" pid="19" name="Mendeley Recent Style Name 8_1">
    <vt:lpwstr>Journal of the American Chemical Society</vt:lpwstr>
  </property>
  <property fmtid="{D5CDD505-2E9C-101B-9397-08002B2CF9AE}" pid="20" name="Mendeley Recent Style Id 9_1">
    <vt:lpwstr>http://www.zotero.org/styles/macromolecules</vt:lpwstr>
  </property>
  <property fmtid="{D5CDD505-2E9C-101B-9397-08002B2CF9AE}" pid="21" name="Mendeley Recent Style Name 9_1">
    <vt:lpwstr>Macromolecules</vt:lpwstr>
  </property>
</Properties>
</file>