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B7E67" w14:textId="57FC4EEB" w:rsidR="00A65886" w:rsidRDefault="007477A3">
      <w:r w:rsidRPr="007477A3">
        <w:rPr>
          <w:noProof/>
        </w:rPr>
        <w:drawing>
          <wp:inline distT="0" distB="0" distL="0" distR="0" wp14:anchorId="056C820A" wp14:editId="569169FD">
            <wp:extent cx="5486400" cy="2177415"/>
            <wp:effectExtent l="0" t="0" r="0" b="0"/>
            <wp:docPr id="671651342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1342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27ED7" w14:textId="1D6DFF0B" w:rsidR="00E0300D" w:rsidRDefault="00E0300D" w:rsidP="00E0300D">
      <w:pPr>
        <w:spacing w:before="120" w:after="120" w:line="480" w:lineRule="auto"/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</w:pPr>
      <w:r w:rsidRPr="00E0300D">
        <w:rPr>
          <w:rFonts w:ascii="Times New Roman" w:eastAsia="Calibri" w:hAnsi="Times New Roman" w:cs="Times New Roman"/>
          <w:b/>
          <w:kern w:val="0"/>
          <w:sz w:val="24"/>
          <w:szCs w:val="24"/>
          <w:lang w:val="en-GB" w:eastAsia="en-US" w:bidi="en-US"/>
          <w14:ligatures w14:val="none"/>
        </w:rPr>
        <w:t>Figure S1. Quality assessment of the included studies for meta-analysis.</w:t>
      </w:r>
      <w:r w:rsidRPr="00E0300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GB" w:eastAsia="en-US" w:bidi="en-US"/>
          <w14:ligatures w14:val="none"/>
        </w:rPr>
        <w:t xml:space="preserve"> </w:t>
      </w:r>
      <w:r w:rsidRPr="00E0300D"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  <w:t>The evidence levels of identified studies were assessed according to the criteria by the Centre for Evidence-Based Medicine in Oxford, UK</w:t>
      </w:r>
      <w:r w:rsidR="009730BF"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  <w:t xml:space="preserve"> </w:t>
      </w:r>
      <w:r w:rsidR="00CD4786" w:rsidRPr="00394333">
        <w:rPr>
          <w:rFonts w:ascii="Times New Roman" w:hAnsi="Times New Roman" w:cs="Times New Roman"/>
          <w:sz w:val="24"/>
          <w:szCs w:val="24"/>
        </w:rPr>
        <w:fldChar w:fldCharType="begin"/>
      </w:r>
      <w:r w:rsidR="00CD4786" w:rsidRPr="0039433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&lt;EndNote&gt;&lt;Cite&gt;&lt;Year&gt;2009&lt;/Year&gt;&lt;RecNum&gt;2309&lt;/RecNum&gt;&lt;DisplayText&gt;[20]&lt;/DisplayText&gt;&lt;record&gt;&lt;rec-number&gt;2309&lt;/rec-number&gt;&lt;foreign-keys&gt;&lt;key app="EN" db-id="xsrzds2vla2rzoetex25swxefepdaettrrvx" timestamp="1653119805"&gt;2309&lt;/key&gt;&lt;/foreign-keys&gt;&lt;ref-type name="Web Page"&gt;12&lt;/ref-type&gt;&lt;contributors&gt;&lt;/contributors&gt;&lt;titles&gt;&lt;title&gt;Oxford Centre for Evidence-Based Medicine: Levels of Evidence (March 2009)&lt;/title&gt;&lt;/titles&gt;&lt;volume&gt;2022&lt;/volume&gt;&lt;number&gt;March 3&lt;/number&gt;&lt;dates&gt;&lt;year&gt;2009&lt;/year&gt;&lt;/dates&gt;&lt;publisher&gt;Centre for Evidence-Based Medicine&lt;/publisher&gt;&lt;urls&gt;&lt;related-urls&gt;&lt;url&gt;https://www.cebm.ox.ac.uk/resources/levels-of-evidence/oxford-centre-for-evidence-based-medicine-levels-of-evidence-march-2009&lt;/url&gt;&lt;/related-urls&gt;&lt;/urls&gt;&lt;/record&gt;&lt;/Cite&gt;&lt;/EndNote&gt;</w:instrText>
      </w:r>
      <w:r w:rsidR="00CD4786" w:rsidRPr="00394333">
        <w:rPr>
          <w:rFonts w:ascii="Times New Roman" w:hAnsi="Times New Roman" w:cs="Times New Roman"/>
          <w:sz w:val="24"/>
          <w:szCs w:val="24"/>
        </w:rPr>
        <w:fldChar w:fldCharType="separate"/>
      </w:r>
      <w:r w:rsidR="00CD4786" w:rsidRPr="00394333">
        <w:rPr>
          <w:rFonts w:ascii="Times New Roman" w:hAnsi="Times New Roman" w:cs="Times New Roman"/>
          <w:noProof/>
          <w:sz w:val="24"/>
          <w:szCs w:val="24"/>
        </w:rPr>
        <w:t>[20]</w:t>
      </w:r>
      <w:r w:rsidR="00CD4786" w:rsidRPr="00394333">
        <w:rPr>
          <w:rFonts w:ascii="Times New Roman" w:hAnsi="Times New Roman" w:cs="Times New Roman"/>
          <w:sz w:val="24"/>
          <w:szCs w:val="24"/>
        </w:rPr>
        <w:fldChar w:fldCharType="end"/>
      </w:r>
      <w:r w:rsidR="00CD47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F522AC" w14:textId="77777777" w:rsidR="00BF2C60" w:rsidRDefault="00BF2C60" w:rsidP="00E0300D">
      <w:pPr>
        <w:spacing w:before="120" w:after="120" w:line="480" w:lineRule="auto"/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</w:pPr>
    </w:p>
    <w:p w14:paraId="2EC8F8ED" w14:textId="77777777" w:rsidR="00BF2C60" w:rsidRDefault="00BF2C60" w:rsidP="00E0300D">
      <w:pPr>
        <w:spacing w:before="120" w:after="120" w:line="480" w:lineRule="auto"/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</w:pPr>
    </w:p>
    <w:p w14:paraId="4A682165" w14:textId="55F5099D" w:rsidR="00BF2C60" w:rsidRDefault="005C4F21" w:rsidP="00497A43">
      <w:pPr>
        <w:spacing w:before="120" w:after="120"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GB" w:eastAsia="en-US" w:bidi="en-US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 w:bidi="en-US"/>
          <w14:ligatures w14:val="none"/>
        </w:rPr>
        <w:lastRenderedPageBreak/>
        <w:drawing>
          <wp:inline distT="0" distB="0" distL="0" distR="0" wp14:anchorId="0029338C" wp14:editId="1FDE1713">
            <wp:extent cx="3330472" cy="7181850"/>
            <wp:effectExtent l="0" t="0" r="3810" b="0"/>
            <wp:docPr id="20897065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24" cy="720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C23E4" w14:textId="77777777" w:rsidR="00DF5F5E" w:rsidRDefault="00DF5F5E" w:rsidP="00DF5F5E">
      <w:pPr>
        <w:spacing w:before="120"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4333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Figure S2. Leave-one-out analysis indicated that </w:t>
      </w:r>
      <w:r w:rsidRPr="00394333">
        <w:rPr>
          <w:rFonts w:ascii="Times New Roman" w:hAnsi="Times New Roman" w:cs="Times New Roman"/>
          <w:b/>
          <w:bCs/>
          <w:sz w:val="24"/>
          <w:szCs w:val="24"/>
        </w:rPr>
        <w:t xml:space="preserve">no single SNP was driving the association of MR analysis. </w:t>
      </w:r>
    </w:p>
    <w:p w14:paraId="5B940BF9" w14:textId="21D2CE20" w:rsidR="005C4F21" w:rsidRDefault="002975A6" w:rsidP="00DF5F5E">
      <w:pPr>
        <w:spacing w:before="120"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75A6">
        <w:rPr>
          <w:rFonts w:ascii="Times New Roman" w:eastAsia="Calibri" w:hAnsi="Times New Roman" w:cs="Times New Roman"/>
          <w:b/>
          <w:bCs/>
          <w:noProof/>
          <w:sz w:val="24"/>
          <w:szCs w:val="24"/>
          <w:lang w:bidi="en-US"/>
        </w:rPr>
        <w:lastRenderedPageBreak/>
        <w:drawing>
          <wp:inline distT="0" distB="0" distL="0" distR="0" wp14:anchorId="2F3A5DCB" wp14:editId="5F2BFC9D">
            <wp:extent cx="5490749" cy="3355457"/>
            <wp:effectExtent l="0" t="0" r="0" b="0"/>
            <wp:docPr id="597332299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32299" name="图形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749" cy="335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D71CD" w14:textId="77777777" w:rsidR="00C7292E" w:rsidRPr="00394333" w:rsidRDefault="00C7292E" w:rsidP="00C7292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  <w:r w:rsidRPr="00394333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Figure S3. The funnel plot for visually inspection for horizontal pleiotropy of MR analysis. </w:t>
      </w:r>
    </w:p>
    <w:p w14:paraId="5A1F354B" w14:textId="77777777" w:rsidR="005C4F21" w:rsidRDefault="005C4F21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67FBC8DC" w14:textId="77777777" w:rsidR="002975A6" w:rsidRDefault="002975A6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31175F78" w14:textId="77777777" w:rsidR="002975A6" w:rsidRDefault="002975A6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375CE122" w14:textId="77777777" w:rsidR="002975A6" w:rsidRDefault="002975A6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035AFECE" w14:textId="77777777" w:rsidR="002975A6" w:rsidRDefault="002975A6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431D5768" w14:textId="77777777" w:rsidR="002975A6" w:rsidRDefault="002975A6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6E296A9C" w14:textId="77777777" w:rsidR="002975A6" w:rsidRDefault="002975A6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00DC71A2" w14:textId="77777777" w:rsidR="002975A6" w:rsidRDefault="002975A6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2EE6E18C" w14:textId="0A729F2E" w:rsidR="002975A6" w:rsidRDefault="002975A6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  <w:r w:rsidRPr="002975A6">
        <w:rPr>
          <w:rFonts w:ascii="Times New Roman" w:eastAsia="Calibri" w:hAnsi="Times New Roman" w:cs="Times New Roman"/>
          <w:b/>
          <w:bCs/>
          <w:noProof/>
          <w:sz w:val="24"/>
          <w:szCs w:val="24"/>
          <w:lang w:bidi="en-US"/>
        </w:rPr>
        <w:drawing>
          <wp:inline distT="0" distB="0" distL="0" distR="0" wp14:anchorId="6A5155F0" wp14:editId="0A3FE221">
            <wp:extent cx="5406696" cy="2740721"/>
            <wp:effectExtent l="0" t="0" r="3810" b="2540"/>
            <wp:docPr id="199393049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30491" name="图形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696" cy="274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0E3E7" w14:textId="77777777" w:rsidR="0029257C" w:rsidRPr="00394333" w:rsidRDefault="0029257C" w:rsidP="0029257C">
      <w:pPr>
        <w:spacing w:before="120" w:after="12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394333"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  <w:t xml:space="preserve">Figure S4. The Radial plots for classification of outliers in the SNPs. </w:t>
      </w:r>
    </w:p>
    <w:p w14:paraId="6A3DB67B" w14:textId="6250355A" w:rsidR="00C7292E" w:rsidRPr="00394333" w:rsidRDefault="00C7292E" w:rsidP="00DF5F5E">
      <w:pPr>
        <w:spacing w:before="120"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p w14:paraId="09EC0463" w14:textId="55D46B41" w:rsidR="00BF2C60" w:rsidRPr="00E0300D" w:rsidRDefault="00BF2C60" w:rsidP="00E0300D">
      <w:pPr>
        <w:spacing w:before="120" w:after="120" w:line="48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 w:bidi="en-US"/>
          <w14:ligatures w14:val="none"/>
        </w:rPr>
      </w:pPr>
    </w:p>
    <w:p w14:paraId="73179E4A" w14:textId="77777777" w:rsidR="00E0300D" w:rsidRDefault="00E0300D">
      <w:pPr>
        <w:rPr>
          <w:lang w:val="en-GB"/>
        </w:rPr>
      </w:pPr>
    </w:p>
    <w:p w14:paraId="359984AC" w14:textId="77777777" w:rsidR="00E0300D" w:rsidRDefault="00E0300D">
      <w:pPr>
        <w:rPr>
          <w:lang w:val="en-GB"/>
        </w:rPr>
      </w:pPr>
    </w:p>
    <w:p w14:paraId="74FA9A7E" w14:textId="495BD1C1" w:rsidR="00701DF7" w:rsidRPr="00E0300D" w:rsidRDefault="00701DF7">
      <w:pPr>
        <w:rPr>
          <w:lang w:val="en-GB"/>
        </w:rPr>
      </w:pPr>
    </w:p>
    <w:sectPr w:rsidR="00701DF7" w:rsidRPr="00E030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D9C0" w14:textId="77777777" w:rsidR="007477A3" w:rsidRDefault="007477A3" w:rsidP="007477A3">
      <w:pPr>
        <w:spacing w:after="0" w:line="240" w:lineRule="auto"/>
      </w:pPr>
      <w:r>
        <w:separator/>
      </w:r>
    </w:p>
  </w:endnote>
  <w:endnote w:type="continuationSeparator" w:id="0">
    <w:p w14:paraId="5B0C4365" w14:textId="77777777" w:rsidR="007477A3" w:rsidRDefault="007477A3" w:rsidP="0074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F7C2" w14:textId="77777777" w:rsidR="007477A3" w:rsidRDefault="007477A3" w:rsidP="007477A3">
      <w:pPr>
        <w:spacing w:after="0" w:line="240" w:lineRule="auto"/>
      </w:pPr>
      <w:r>
        <w:separator/>
      </w:r>
    </w:p>
  </w:footnote>
  <w:footnote w:type="continuationSeparator" w:id="0">
    <w:p w14:paraId="4D949E15" w14:textId="77777777" w:rsidR="007477A3" w:rsidRDefault="007477A3" w:rsidP="00747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Neuro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zds2vla2rzoetex25swxefepdaettrrvx&quot;&gt;2022-Meta_Analysis&lt;record-ids&gt;&lt;item&gt;2309&lt;/item&gt;&lt;/record-ids&gt;&lt;/item&gt;&lt;/Libraries&gt;"/>
  </w:docVars>
  <w:rsids>
    <w:rsidRoot w:val="003C6D5B"/>
    <w:rsid w:val="001007CE"/>
    <w:rsid w:val="0013483F"/>
    <w:rsid w:val="0029257C"/>
    <w:rsid w:val="002975A6"/>
    <w:rsid w:val="003C6D5B"/>
    <w:rsid w:val="00497A43"/>
    <w:rsid w:val="005415FB"/>
    <w:rsid w:val="005C4F21"/>
    <w:rsid w:val="00604D1C"/>
    <w:rsid w:val="0067311B"/>
    <w:rsid w:val="00701DF7"/>
    <w:rsid w:val="007477A3"/>
    <w:rsid w:val="009730BF"/>
    <w:rsid w:val="00A65886"/>
    <w:rsid w:val="00BF2C60"/>
    <w:rsid w:val="00C7292E"/>
    <w:rsid w:val="00CD4786"/>
    <w:rsid w:val="00DF5F5E"/>
    <w:rsid w:val="00E0300D"/>
    <w:rsid w:val="00F9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7D8BB"/>
  <w15:chartTrackingRefBased/>
  <w15:docId w15:val="{B8B58104-07B0-41CC-A4BB-A194D234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7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7477A3"/>
  </w:style>
  <w:style w:type="paragraph" w:styleId="a5">
    <w:name w:val="footer"/>
    <w:basedOn w:val="a"/>
    <w:link w:val="a6"/>
    <w:uiPriority w:val="99"/>
    <w:unhideWhenUsed/>
    <w:rsid w:val="007477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7477A3"/>
  </w:style>
  <w:style w:type="paragraph" w:customStyle="1" w:styleId="EndNoteBibliographyTitle">
    <w:name w:val="EndNote Bibliography Title"/>
    <w:basedOn w:val="a"/>
    <w:link w:val="EndNoteBibliographyTitle0"/>
    <w:rsid w:val="00E0300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E0300D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E0300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E0300D"/>
    <w:rPr>
      <w:rFonts w:ascii="Calibri" w:hAnsi="Calibri" w:cs="Calibri"/>
      <w:noProof/>
    </w:rPr>
  </w:style>
  <w:style w:type="character" w:styleId="a7">
    <w:name w:val="Hyperlink"/>
    <w:basedOn w:val="a0"/>
    <w:uiPriority w:val="99"/>
    <w:unhideWhenUsed/>
    <w:rsid w:val="00E0300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03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sv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2023-09-18T12:13:00Z</dcterms:created>
  <dcterms:modified xsi:type="dcterms:W3CDTF">2023-09-18T15:47:00Z</dcterms:modified>
</cp:coreProperties>
</file>