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312BD6F" w14:textId="02677162" w:rsidR="00590CE9" w:rsidRDefault="00590CE9" w:rsidP="00DD3267">
      <w:pPr>
        <w:pStyle w:val="BBAuthorName"/>
        <w:rPr>
          <w:rFonts w:ascii="Times New Roman" w:hAnsi="Times New Roman"/>
          <w:b/>
          <w:i w:val="0"/>
          <w:sz w:val="44"/>
        </w:rPr>
      </w:pPr>
      <w:bookmarkStart w:id="0" w:name="_Hlk100916100"/>
      <w:r>
        <w:rPr>
          <w:rFonts w:ascii="Times New Roman" w:hAnsi="Times New Roman"/>
          <w:b/>
          <w:i w:val="0"/>
          <w:sz w:val="44"/>
        </w:rPr>
        <w:t>Supp</w:t>
      </w:r>
      <w:r w:rsidR="001D6F9B">
        <w:rPr>
          <w:rFonts w:ascii="Times New Roman" w:hAnsi="Times New Roman"/>
          <w:b/>
          <w:i w:val="0"/>
          <w:sz w:val="44"/>
        </w:rPr>
        <w:t>lementary</w:t>
      </w:r>
      <w:r>
        <w:rPr>
          <w:rFonts w:ascii="Times New Roman" w:hAnsi="Times New Roman"/>
          <w:b/>
          <w:i w:val="0"/>
          <w:sz w:val="44"/>
        </w:rPr>
        <w:t xml:space="preserve"> Information</w:t>
      </w:r>
    </w:p>
    <w:p w14:paraId="027A627E" w14:textId="14CCEB0A" w:rsidR="00AA1662" w:rsidRPr="00055B1E" w:rsidRDefault="00E07B34" w:rsidP="00AA1662">
      <w:pPr>
        <w:pStyle w:val="BBAuthorName"/>
      </w:pPr>
      <w:r>
        <w:rPr>
          <w:rFonts w:ascii="Times New Roman" w:hAnsi="Times New Roman"/>
          <w:b/>
          <w:i w:val="0"/>
          <w:sz w:val="44"/>
        </w:rPr>
        <w:t xml:space="preserve">Paradigm shift for </w:t>
      </w:r>
      <w:r w:rsidR="00C5360A">
        <w:rPr>
          <w:rFonts w:ascii="Times New Roman" w:hAnsi="Times New Roman"/>
          <w:b/>
          <w:i w:val="0"/>
          <w:sz w:val="44"/>
        </w:rPr>
        <w:t>p</w:t>
      </w:r>
      <w:r w:rsidR="00AA1662">
        <w:rPr>
          <w:rFonts w:ascii="Times New Roman" w:hAnsi="Times New Roman"/>
          <w:b/>
          <w:i w:val="0"/>
          <w:sz w:val="44"/>
        </w:rPr>
        <w:t>latinum oxidation below fuel cell open-circuit voltage</w:t>
      </w:r>
    </w:p>
    <w:p w14:paraId="1D88CC9F" w14:textId="77777777" w:rsidR="002C5072" w:rsidRPr="00AE66CE" w:rsidRDefault="002C5072" w:rsidP="002C5072">
      <w:pPr>
        <w:pStyle w:val="BBAuthorName"/>
      </w:pPr>
      <w:r>
        <w:t xml:space="preserve">Carlos A. Campos-Roldán </w:t>
      </w:r>
      <w:r w:rsidRPr="00055B1E">
        <w:rPr>
          <w:vertAlign w:val="superscript"/>
        </w:rPr>
        <w:t>1</w:t>
      </w:r>
      <w:r>
        <w:t xml:space="preserve">, Amir Gasmi </w:t>
      </w:r>
      <w:r w:rsidRPr="00055B1E">
        <w:rPr>
          <w:vertAlign w:val="superscript"/>
        </w:rPr>
        <w:t>1</w:t>
      </w:r>
      <w:r w:rsidRPr="00055B1E">
        <w:t>,</w:t>
      </w:r>
      <w:r>
        <w:t xml:space="preserve"> Morgane Stodel </w:t>
      </w:r>
      <w:r>
        <w:rPr>
          <w:vertAlign w:val="superscript"/>
        </w:rPr>
        <w:t>2</w:t>
      </w:r>
      <w:r>
        <w:t>,</w:t>
      </w:r>
      <w:r w:rsidRPr="006475FA">
        <w:t xml:space="preserve"> </w:t>
      </w:r>
      <w:r w:rsidRPr="00055B1E">
        <w:t xml:space="preserve">Isaac Martens </w:t>
      </w:r>
      <w:r>
        <w:rPr>
          <w:vertAlign w:val="superscript"/>
        </w:rPr>
        <w:t>3</w:t>
      </w:r>
      <w:r>
        <w:t>,</w:t>
      </w:r>
      <w:r w:rsidRPr="00617CB3">
        <w:rPr>
          <w:rFonts w:ascii="Times New Roman" w:hAnsi="Times New Roman"/>
          <w:color w:val="000000" w:themeColor="text1"/>
        </w:rPr>
        <w:t xml:space="preserve"> </w:t>
      </w:r>
      <w:r w:rsidRPr="00CF4631">
        <w:rPr>
          <w:rFonts w:ascii="Times New Roman" w:hAnsi="Times New Roman"/>
          <w:color w:val="000000" w:themeColor="text1"/>
        </w:rPr>
        <w:t>J</w:t>
      </w:r>
      <w:r>
        <w:rPr>
          <w:rFonts w:ascii="Times New Roman" w:hAnsi="Times New Roman"/>
          <w:color w:val="000000" w:themeColor="text1"/>
        </w:rPr>
        <w:t xml:space="preserve">ean-Sébastien </w:t>
      </w:r>
      <w:r w:rsidRPr="00B90E23">
        <w:rPr>
          <w:rFonts w:ascii="Times New Roman" w:hAnsi="Times New Roman"/>
          <w:color w:val="000000" w:themeColor="text1"/>
        </w:rPr>
        <w:t>Filhol</w:t>
      </w:r>
      <w:r>
        <w:rPr>
          <w:rFonts w:ascii="Times New Roman" w:hAnsi="Times New Roman"/>
          <w:color w:val="000000" w:themeColor="text1"/>
        </w:rPr>
        <w:t xml:space="preserve"> </w:t>
      </w:r>
      <w:r w:rsidRPr="00055B1E">
        <w:rPr>
          <w:vertAlign w:val="superscript"/>
        </w:rPr>
        <w:t>1</w:t>
      </w:r>
      <w:r>
        <w:t>,</w:t>
      </w:r>
      <w:r w:rsidRPr="00055B1E">
        <w:t xml:space="preserve"> Jakub Drnec</w:t>
      </w:r>
      <w:r w:rsidRPr="00055B1E">
        <w:rPr>
          <w:vertAlign w:val="superscript"/>
        </w:rPr>
        <w:t xml:space="preserve"> </w:t>
      </w:r>
      <w:r>
        <w:rPr>
          <w:vertAlign w:val="superscript"/>
        </w:rPr>
        <w:t>3</w:t>
      </w:r>
      <w:r>
        <w:t xml:space="preserve">, Pierre-Yves Blanchard </w:t>
      </w:r>
      <w:r w:rsidRPr="00055B1E">
        <w:rPr>
          <w:vertAlign w:val="superscript"/>
        </w:rPr>
        <w:t>1</w:t>
      </w:r>
      <w:r>
        <w:t xml:space="preserve">, Sara Cavaliere </w:t>
      </w:r>
      <w:r w:rsidRPr="00055B1E">
        <w:rPr>
          <w:vertAlign w:val="superscript"/>
        </w:rPr>
        <w:t>1</w:t>
      </w:r>
      <w:r>
        <w:t xml:space="preserve">, Deborah Jones </w:t>
      </w:r>
      <w:r w:rsidRPr="00F34D35">
        <w:rPr>
          <w:vertAlign w:val="superscript"/>
        </w:rPr>
        <w:t>1</w:t>
      </w:r>
      <w:r>
        <w:t xml:space="preserve"> and</w:t>
      </w:r>
      <w:r w:rsidRPr="00AE66CE">
        <w:t xml:space="preserve"> </w:t>
      </w:r>
      <w:r w:rsidRPr="00055B1E">
        <w:t xml:space="preserve">Raphaël Chattot </w:t>
      </w:r>
      <w:r w:rsidRPr="00055B1E">
        <w:rPr>
          <w:vertAlign w:val="superscript"/>
        </w:rPr>
        <w:t>1, *</w:t>
      </w:r>
    </w:p>
    <w:p w14:paraId="11FBA676" w14:textId="77777777" w:rsidR="00AA1662" w:rsidRPr="00055B1E" w:rsidRDefault="00AA1662" w:rsidP="00AA1662">
      <w:pPr>
        <w:pStyle w:val="BIEmailAddress"/>
      </w:pPr>
    </w:p>
    <w:p w14:paraId="7E2DA6F9" w14:textId="77777777" w:rsidR="00AA1662" w:rsidRPr="0069436D" w:rsidRDefault="00AA1662" w:rsidP="00AA1662">
      <w:pPr>
        <w:jc w:val="center"/>
        <w:rPr>
          <w:szCs w:val="24"/>
          <w:lang w:val="fr-FR"/>
        </w:rPr>
      </w:pPr>
      <w:r w:rsidRPr="00AA1662">
        <w:rPr>
          <w:szCs w:val="24"/>
          <w:vertAlign w:val="superscript"/>
          <w:lang w:val="fr-FR"/>
        </w:rPr>
        <w:t>1</w:t>
      </w:r>
      <w:r w:rsidRPr="00AA1662">
        <w:rPr>
          <w:szCs w:val="24"/>
          <w:lang w:val="fr-FR"/>
        </w:rPr>
        <w:t xml:space="preserve"> ICGM, Univ. </w:t>
      </w:r>
      <w:r w:rsidRPr="0069436D">
        <w:rPr>
          <w:szCs w:val="24"/>
          <w:lang w:val="fr-FR"/>
        </w:rPr>
        <w:t>Montpellier, CNRS, ENSCM, 34095 Montpellier Cedex 5, France</w:t>
      </w:r>
    </w:p>
    <w:p w14:paraId="386BA1CF" w14:textId="2A660DE5" w:rsidR="00AA1662" w:rsidRPr="00B90F5D" w:rsidRDefault="00AA1662" w:rsidP="00AA1662">
      <w:pPr>
        <w:jc w:val="center"/>
        <w:rPr>
          <w:szCs w:val="24"/>
          <w:lang w:val="fr-FR"/>
        </w:rPr>
      </w:pPr>
      <w:r w:rsidRPr="00845F58">
        <w:rPr>
          <w:szCs w:val="24"/>
          <w:vertAlign w:val="superscript"/>
          <w:lang w:val="fr-FR"/>
        </w:rPr>
        <w:t>2</w:t>
      </w:r>
      <w:r>
        <w:rPr>
          <w:szCs w:val="24"/>
          <w:lang w:val="fr-FR"/>
        </w:rPr>
        <w:t xml:space="preserve"> </w:t>
      </w:r>
      <w:r w:rsidR="00B90F5D" w:rsidRPr="00B90F5D">
        <w:rPr>
          <w:lang w:val="fr-FR"/>
        </w:rPr>
        <w:t>CIRIMAT, Université Toulouse 3 Paul Sabatier, Toulouse INP, CNRS, Université de Toulouse, 118 Route de Narbonne, 31062 Toulouse cedex 9 - France</w:t>
      </w:r>
    </w:p>
    <w:p w14:paraId="142B45B6" w14:textId="7D694E06" w:rsidR="00AA1662" w:rsidRPr="00B86729" w:rsidRDefault="00AA1662" w:rsidP="00AA1662">
      <w:pPr>
        <w:pStyle w:val="BIEmailAddress"/>
        <w:jc w:val="center"/>
        <w:rPr>
          <w:rFonts w:cstheme="minorHAnsi"/>
          <w:lang w:val="fr-FR"/>
        </w:rPr>
      </w:pPr>
      <w:r w:rsidRPr="00B86729">
        <w:rPr>
          <w:vertAlign w:val="superscript"/>
          <w:lang w:val="fr-FR"/>
        </w:rPr>
        <w:t xml:space="preserve">3 </w:t>
      </w:r>
      <w:r w:rsidRPr="00B86729">
        <w:rPr>
          <w:rFonts w:cstheme="minorHAnsi"/>
          <w:lang w:val="fr-FR"/>
        </w:rPr>
        <w:t xml:space="preserve">ESRF, The </w:t>
      </w:r>
      <w:proofErr w:type="spellStart"/>
      <w:r w:rsidRPr="00B86729">
        <w:rPr>
          <w:rFonts w:cstheme="minorHAnsi"/>
          <w:lang w:val="fr-FR"/>
        </w:rPr>
        <w:t>European</w:t>
      </w:r>
      <w:proofErr w:type="spellEnd"/>
      <w:r w:rsidRPr="00B86729">
        <w:rPr>
          <w:rFonts w:cstheme="minorHAnsi"/>
          <w:lang w:val="fr-FR"/>
        </w:rPr>
        <w:t xml:space="preserve"> Synchrotron</w:t>
      </w:r>
      <w:r w:rsidR="00E07B34">
        <w:rPr>
          <w:rFonts w:cstheme="minorHAnsi"/>
          <w:lang w:val="fr-FR"/>
        </w:rPr>
        <w:t xml:space="preserve"> Radiation Facility</w:t>
      </w:r>
      <w:r w:rsidRPr="00B86729">
        <w:rPr>
          <w:rFonts w:cstheme="minorHAnsi"/>
          <w:lang w:val="fr-FR"/>
        </w:rPr>
        <w:t>, 71 Avenue des Martyrs, CS40220, 38043 Grenoble Cedex 9, France</w:t>
      </w:r>
    </w:p>
    <w:p w14:paraId="47F73694" w14:textId="77777777" w:rsidR="0054316E" w:rsidRPr="00E07B34" w:rsidRDefault="0054316E" w:rsidP="0054316E">
      <w:pPr>
        <w:pStyle w:val="BDAbstract"/>
        <w:rPr>
          <w:lang w:val="fr-FR"/>
        </w:rPr>
      </w:pPr>
    </w:p>
    <w:p w14:paraId="4116979D" w14:textId="77777777" w:rsidR="007D677E" w:rsidRPr="00E07B34" w:rsidRDefault="007D677E" w:rsidP="007D677E">
      <w:pPr>
        <w:pStyle w:val="BDAbstract"/>
        <w:rPr>
          <w:lang w:val="fr-FR"/>
        </w:rPr>
      </w:pPr>
    </w:p>
    <w:p w14:paraId="43884D14" w14:textId="77777777" w:rsidR="00201226" w:rsidRPr="00E07B34" w:rsidRDefault="00201226" w:rsidP="00201226">
      <w:pPr>
        <w:pStyle w:val="AIReceivedDate"/>
        <w:rPr>
          <w:lang w:val="fr-FR"/>
        </w:rPr>
      </w:pPr>
    </w:p>
    <w:p w14:paraId="0FC5B82C" w14:textId="309B0B48" w:rsidR="004925E0" w:rsidRPr="00E07B34" w:rsidRDefault="004925E0" w:rsidP="00025D98">
      <w:pPr>
        <w:pStyle w:val="TAMainText"/>
        <w:ind w:firstLine="0"/>
        <w:rPr>
          <w:lang w:val="fr-FR"/>
        </w:rPr>
      </w:pPr>
    </w:p>
    <w:p w14:paraId="79CF0791" w14:textId="46F5775B" w:rsidR="003F46B2" w:rsidRPr="00B86729" w:rsidRDefault="004925E0" w:rsidP="00025D98">
      <w:pPr>
        <w:rPr>
          <w:lang w:val="fr-FR"/>
        </w:rPr>
      </w:pPr>
      <w:r w:rsidRPr="00B86729">
        <w:rPr>
          <w:lang w:val="fr-FR"/>
        </w:rPr>
        <w:t>*</w:t>
      </w:r>
      <w:proofErr w:type="gramStart"/>
      <w:r w:rsidRPr="00B86729">
        <w:rPr>
          <w:lang w:val="fr-FR"/>
        </w:rPr>
        <w:t>e-mail:</w:t>
      </w:r>
      <w:proofErr w:type="gramEnd"/>
      <w:r w:rsidRPr="00B86729">
        <w:rPr>
          <w:lang w:val="fr-FR"/>
        </w:rPr>
        <w:t xml:space="preserve"> (RC) </w:t>
      </w:r>
      <w:r w:rsidR="00174852" w:rsidRPr="00B86729">
        <w:rPr>
          <w:lang w:val="fr-FR"/>
        </w:rPr>
        <w:t>raphael.chattot@</w:t>
      </w:r>
      <w:r w:rsidR="00201226" w:rsidRPr="00B86729">
        <w:rPr>
          <w:lang w:val="fr-FR"/>
        </w:rPr>
        <w:t>umontpellier</w:t>
      </w:r>
      <w:r w:rsidR="00174852" w:rsidRPr="00B86729">
        <w:rPr>
          <w:lang w:val="fr-FR"/>
        </w:rPr>
        <w:t>.fr</w:t>
      </w:r>
    </w:p>
    <w:bookmarkEnd w:id="0"/>
    <w:p w14:paraId="450F7FB0" w14:textId="2DDF4FE1" w:rsidR="00A90AC4" w:rsidRPr="0054316E" w:rsidRDefault="00A90AC4" w:rsidP="00D61ABD">
      <w:pPr>
        <w:pStyle w:val="BDAbstract"/>
        <w:rPr>
          <w:b/>
          <w:sz w:val="24"/>
          <w:szCs w:val="28"/>
          <w:lang w:val="fr-FR"/>
        </w:rPr>
      </w:pPr>
    </w:p>
    <w:p w14:paraId="6B082A80" w14:textId="77777777" w:rsidR="00132381" w:rsidRPr="0054316E" w:rsidRDefault="00132381" w:rsidP="00132381">
      <w:pPr>
        <w:pStyle w:val="TAMainText"/>
        <w:rPr>
          <w:lang w:val="fr-FR"/>
        </w:rPr>
      </w:pPr>
    </w:p>
    <w:p w14:paraId="101609E0" w14:textId="0E3D587D" w:rsidR="008C4B57" w:rsidRPr="00731800" w:rsidRDefault="008C4B57" w:rsidP="008C4B57">
      <w:pPr>
        <w:spacing w:after="0"/>
        <w:rPr>
          <w:b/>
          <w:sz w:val="24"/>
          <w:szCs w:val="24"/>
        </w:rPr>
      </w:pPr>
      <w:bookmarkStart w:id="1" w:name="_Hlk142400862"/>
      <w:r w:rsidRPr="00731800">
        <w:rPr>
          <w:b/>
          <w:sz w:val="24"/>
          <w:szCs w:val="24"/>
        </w:rPr>
        <w:t>METHODS</w:t>
      </w:r>
    </w:p>
    <w:p w14:paraId="38858415" w14:textId="77777777" w:rsidR="008C4B57" w:rsidRDefault="008C4B57" w:rsidP="008C4B57">
      <w:r w:rsidRPr="00000CFA">
        <w:rPr>
          <w:b/>
        </w:rPr>
        <w:t>Materials.</w:t>
      </w:r>
      <w:r>
        <w:t xml:space="preserve"> Commercial membrane electrode assemblies (MEAs) were purchased from Fuel Cell Store and used in PEMFC without further treatment. The 5-layer, 4.84 cm</w:t>
      </w:r>
      <w:r w:rsidRPr="00B759F6">
        <w:rPr>
          <w:vertAlign w:val="superscript"/>
        </w:rPr>
        <w:t>2</w:t>
      </w:r>
      <w:r>
        <w:t>, MEAs were composed of a 60 wt.% carbon-supported Pt/C catalyst loaded at 0.5 mg</w:t>
      </w:r>
      <w:r w:rsidRPr="00B759F6">
        <w:rPr>
          <w:vertAlign w:val="subscript"/>
        </w:rPr>
        <w:t>Pt</w:t>
      </w:r>
      <w:r>
        <w:t xml:space="preserve"> cm</w:t>
      </w:r>
      <w:r w:rsidRPr="00B759F6">
        <w:rPr>
          <w:vertAlign w:val="superscript"/>
        </w:rPr>
        <w:t>-2</w:t>
      </w:r>
      <w:r>
        <w:t xml:space="preserve"> for both anode and cathode, a 50.8 </w:t>
      </w:r>
      <w:r>
        <w:rPr>
          <w:rFonts w:cs="Times"/>
        </w:rPr>
        <w:t>µ</w:t>
      </w:r>
      <w:r>
        <w:t>m thick Nafion</w:t>
      </w:r>
      <w:r w:rsidRPr="00B759F6">
        <w:rPr>
          <w:vertAlign w:val="superscript"/>
        </w:rPr>
        <w:t>®</w:t>
      </w:r>
      <w:r>
        <w:t xml:space="preserve"> NRE-212 membrane, and woven carbon cloth with microporous layer as gas diffusion layers. A 40 wt.% carbon-supported Pt/C was purchased from Johnson Matthey (JM) and used in thin-film electrochemical flow cell without any further treatment. </w:t>
      </w:r>
    </w:p>
    <w:p w14:paraId="15E3BE47" w14:textId="1E2F59BE" w:rsidR="006D2D3D" w:rsidRDefault="008C4B57" w:rsidP="008C4B57">
      <w:r>
        <w:rPr>
          <w:b/>
        </w:rPr>
        <w:t>X-ray transparent f</w:t>
      </w:r>
      <w:r w:rsidRPr="00956A93">
        <w:rPr>
          <w:b/>
        </w:rPr>
        <w:t xml:space="preserve">uel cell </w:t>
      </w:r>
      <w:r>
        <w:rPr>
          <w:b/>
        </w:rPr>
        <w:t>operation</w:t>
      </w:r>
      <w:r>
        <w:t xml:space="preserve">. The MEA was mounted in a house-made X-ray transparent fuel cell largely described in previous contributions </w:t>
      </w:r>
      <w:r>
        <w:fldChar w:fldCharType="begin" w:fldLock="1"/>
      </w:r>
      <w:r w:rsidR="0039734E">
        <w:instrText>ADDIN CSL_CITATION {"citationItems":[{"id":"ITEM-1","itemData":{"DOI":"10.1016/j.jpowsour.2019.226906","ISSN":"03787753","abstract":"© 2019 We have constructed a 5 cm2 proton exchange membrane hydrogen fuel cell optimized for transparency of high energy X-rays. This cell allows for in situ elastic scattering measurements (WAXS, SAXS) during electrochemical operation with minimal trade-offs in cell performance vs benchtop designs, and is capable of reaching automotive current densities. A key feature is that the beam enters the cell at grazing incidence to the electrodes, massively increasing the effective pathlength and therefore the signal-to-background ratio. The 360</w:instrText>
      </w:r>
      <w:r w:rsidR="0039734E">
        <w:rPr>
          <w:rFonts w:ascii="Cambria Math" w:hAnsi="Cambria Math" w:cs="Cambria Math"/>
        </w:rPr>
        <w:instrText>∘</w:instrText>
      </w:r>
      <w:r w:rsidR="0039734E">
        <w:instrText xml:space="preserve"> transparency in the plane of the sample permits imaging coupled with advanced techniques, such as X-ray diffraction computed tomography.","author":[{"dropping-particle":"","family":"Martens","given":"Isaac","non-dropping-particle":"","parse-names":false,"suffix":""},{"dropping-particle":"","family":"Vamvakeros","given":"Antonis","non-dropping-particle":"","parse-names":false,"suffix":""},{"dropping-particle":"","family":"Chattot","given":"Raphael","non-dropping-particle":"","parse-names":false,"suffix":""},{"dropping-particle":"V.","family":"Blanco","given":"Maria","non-dropping-particle":"","parse-names":false,"suffix":""},{"dropping-particle":"","family":"Rasola","given":"Miika","non-dropping-particle":"","parse-names":false,"suffix":""},{"dropping-particle":"","family":"Pusa","given":"Janne","non-dropping-particle":"","parse-names":false,"suffix":""},{"dropping-particle":"","family":"Jacques","given":"Simon D.M.","non-dropping-particle":"","parse-names":false,"suffix":""},{"dropping-particle":"","family":"Bizzotto","given":"Dan","non-dropping-particle":"","parse-names":false,"suffix":""},{"dropping-particle":"","family":"Wilkinson","given":"David P.","non-dropping-particle":"","parse-names":false,"suffix":""},{"dropping-particle":"","family":"Ruffmann","given":"Bastian","non-dropping-particle":"","parse-names":false,"suffix":""},{"dropping-particle":"","family":"Heidemann","given":"Stefan","non-dropping-particle":"","parse-names":false,"suffix":""},{"dropping-particle":"","family":"Honkimäki","given":"Veijo","non-dropping-particle":"","parse-names":false,"suffix":""},{"dropping-particle":"","family":"Drnec","given":"Jakub","non-dropping-particle":"","parse-names":false,"suffix":""}],"container-title":"Journal of Power Sources","id":"ITEM-1","issued":{"date-parts":[["2019","10"]]},"page":"226906","title":"X-ray transparent proton-exchange membrane fuel cell design for in situ wide and small angle scattering tomography","type":"article-journal","volume":"437"},"uris":["http://www.mendeley.com/documents/?uuid=c239c603-aea0-3559-9840-6ddfd1516c89"]},{"id":"ITEM-2","itemData":{"DOI":"10.1021/acsenergylett.1c00718","ISSN":"2380-8195","abstract":"The proliferation of hydrogen fuel cell systems is hindered by a degradation of the platinum catalyst. Here, we provide a device-level assessment of the catalyst degradation phenomena and its coupling to nanoscale hydration gradients, using advanced operando X-ray scattering tomography tailored for device-scale imaging. Gradients formed inside the fuel cell produce a heterogeneous degradation of the catalyst nanostructure, which can be linked to the flow field design and water distribution in the cell. Striking differences in catalyst degradation are observed between operating fuel cell devices and the liquid cell routinely used for catalyst stability studies, highlighting the crucial impact of the complex operating environment on the catalyst degradation phenomena. This degradation knowledge gap accentuates the necessity of multimodal, in situ characterization of real devices when assessing the performance and durability of electrocatalysts and, more generally, electrochemically active phases used in energy conversion and storage technologies.","author":[{"dropping-particle":"","family":"Martens","given":"Isaac","non-dropping-particle":"","parse-names":false,"suffix":""},{"dropping-particle":"","family":"Vamvakeros","given":"Antonis","non-dropping-particle":"","parse-names":false,"suffix":""},{"dropping-particle":"","family":"Martinez","given":"Nicolas","non-dropping-particle":"","parse-names":false,"suffix":""},{"dropping-particle":"","family":"Chattot","given":"Raphaël","non-dropping-particle":"","parse-names":false,"suffix":""},{"dropping-particle":"","family":"Pusa","given":"Janne","non-dropping-particle":"","parse-names":false,"suffix":""},{"dropping-particle":"","family":"Blanco","given":"Maria Valeria","non-dropping-particle":"","parse-names":false,"suffix":""},{"dropping-particle":"","family":"Fisher","given":"Elizabeth A.","non-dropping-particle":"","parse-names":false,"suffix":""},{"dropping-particle":"","family":"Asset","given":"Tristan","non-dropping-particle":"","parse-names":false,"suffix":""},{"dropping-particle":"","family":"Escribano","given":"Sylvie","non-dropping-particle":"","parse-names":false,"suffix":""},{"dropping-particle":"","family":"Micoud","given":"Fabrice","non-dropping-particle":"","parse-names":false,"suffix":""},{"dropping-particle":"","family":"Starr","given":"Tim","non-dropping-particle":"","parse-names":false,"suffix":""},{"dropping-particle":"","family":"Coelho","given":"Alan","non-dropping-particle":"","parse-names":false,"suffix":""},{"dropping-particle":"","family":"Honkimäki","given":"Veijo","non-dropping-particle":"","parse-names":false,"suffix":""},{"dropping-particle":"","family":"Bizzotto","given":"Dan","non-dropping-particle":"","parse-names":false,"suffix":""},{"dropping-particle":"","family":"Wilkinson","given":"David P.","non-dropping-particle":"","parse-names":false,"suffix":""},{"dropping-particle":"","family":"Jacques","given":"Simon D. M.","non-dropping-particle":"","parse-names":false,"suffix":""},{"dropping-particle":"","family":"Maillard","given":"Frédéric","non-dropping-particle":"","parse-names":false,"suffix":""},{"dropping-particle":"","family":"Dubau","given":"Laetitia","non-dropping-particle":"","parse-names":false,"suffix":""},{"dropping-particle":"","family":"Lyonnard","given":"Sandrine","non-dropping-particle":"","parse-names":false,"suffix":""},{"dropping-particle":"","family":"Morin","given":"Arnaud","non-dropping-particle":"","parse-names":false,"suffix":""},{"dropping-particle":"","family":"Drnec","given":"Jakub","non-dropping-particle":"","parse-names":false,"suffix":""}],"container-title":"ACS Energy Letters","id":"ITEM-2","issue":"8","issued":{"date-parts":[["2021","8","13"]]},"page":"2742-2749","publisher":"American Chemical Society","title":"Imaging Heterogeneous Electrocatalyst Stability and Decoupling Degradation Mechanisms in Operating Hydrogen Fuel Cells","type":"article-journal","volume":"6"},"uris":["http://www.mendeley.com/documents/?uuid=4be5d6d0-c936-38c5-9ee8-4e2913501955"]},{"id":"ITEM-3","itemData":{"DOI":"10.1016/j.jpowsour.2021.230851","ISSN":"03787753","author":[{"dropping-particle":"","family":"Martens","given":"Isaac","non-dropping-particle":"","parse-names":false,"suffix":""},{"dropping-particle":"","family":"Chattot","given":"Raphaël","non-dropping-particle":"","parse-names":false,"suffix":""},{"dropping-particle":"","family":"Drnec","given":"Jakub","non-dropping-particle":"","parse-names":false,"suffix":""}],"container-title":"Journal of Power Sources","id":"ITEM-3","issued":{"date-parts":[["2022","2"]]},"page":"230851","title":"Decoupling catalyst aggregation, ripening, and coalescence processes inside operating fuel cells","type":"article-journal","volume":"521"},"uris":["http://www.mendeley.com/documents/?uuid=ac59780a-ddc7-31de-b1d2-3e0f74ccb9d3"]},{"id":"ITEM-4","itemData":{"DOI":"10.1016/j.jpowsour.2022.232345","ISSN":"03787753","author":[{"dropping-particle":"","family":"Chattot","given":"Raphaël","non-dropping-particle":"","parse-names":false,"suffix":""},{"dropping-particle":"","family":"Mirolo","given":"Marta","non-dropping-particle":"","parse-names":false,"suffix":""},{"dropping-particle":"","family":"Martens","given":"Isaac","non-dropping-particle":"","parse-names":false,"suffix":""},{"dropping-particle":"","family":"Kumar","given":"Kavita","non-dropping-particle":"","parse-names":false,"suffix":""},{"dropping-particle":"","family":"Martin","given":"Vincent","non-dropping-particle":"","parse-names":false,"suffix":""},{"dropping-particle":"","family":"Gasmi","given":"Amir","non-dropping-particle":"","parse-names":false,"suffix":""},{"dropping-particle":"","family":"Dubau","given":"Laetitia","non-dropping-particle":"","parse-names":false,"suffix":""},{"dropping-particle":"","family":"Maillard","given":"Frédéric","non-dropping-particle":"","parse-names":false,"suffix":""},{"dropping-particle":"","family":"Castanheira","given":"Luis","non-dropping-particle":"","parse-names":false,"suffix":""},{"dropping-particle":"","family":"Drnec","given":"Jakub","non-dropping-particle":"","parse-names":false,"suffix":""}],"container-title":"Journal of Power Sources","id":"ITEM-4","issued":{"date-parts":[["2023","1"]]},"page":"232345","title":"Beware of cyclic voltammetry! Measurement artefact in accelerated stress test of fuel cell cathode revealed by operando X-ray diffraction","type":"article-journal","volume":"555"},"uris":["http://www.mendeley.com/documents/?uuid=33220230-0586-403c-bd75-1252494f58c9"]}],"mendeley":{"formattedCitation":"&lt;sup&gt;1–4&lt;/sup&gt;","plainTextFormattedCitation":"1–4","previouslyFormattedCitation":"&lt;sup&gt;1–4&lt;/sup&gt;"},"properties":{"noteIndex":0},"schema":"https://github.com/citation-style-language/schema/raw/master/csl-citation.json"}</w:instrText>
      </w:r>
      <w:r>
        <w:fldChar w:fldCharType="separate"/>
      </w:r>
      <w:r w:rsidR="00BC19B8" w:rsidRPr="00BC19B8">
        <w:rPr>
          <w:noProof/>
          <w:vertAlign w:val="superscript"/>
        </w:rPr>
        <w:t>1–4</w:t>
      </w:r>
      <w:r>
        <w:fldChar w:fldCharType="end"/>
      </w:r>
      <w:r w:rsidR="00E42691">
        <w:t xml:space="preserve"> and pictured in </w:t>
      </w:r>
      <w:r w:rsidR="00E42691" w:rsidRPr="00E42691">
        <w:rPr>
          <w:b/>
        </w:rPr>
        <w:t>Picture S1.a</w:t>
      </w:r>
      <w:r>
        <w:t>. The cell was operated at</w:t>
      </w:r>
      <w:r w:rsidRPr="005C4CB6">
        <w:t xml:space="preserve"> 80 °C</w:t>
      </w:r>
      <w:r>
        <w:t xml:space="preserve"> with</w:t>
      </w:r>
      <w:r w:rsidRPr="005C4CB6">
        <w:t xml:space="preserve"> H</w:t>
      </w:r>
      <w:r w:rsidRPr="005C4CB6">
        <w:rPr>
          <w:vertAlign w:val="subscript"/>
        </w:rPr>
        <w:t>2</w:t>
      </w:r>
      <w:r w:rsidRPr="005C4CB6">
        <w:t>/</w:t>
      </w:r>
      <w:r>
        <w:t>O</w:t>
      </w:r>
      <w:r w:rsidRPr="005C4CB6">
        <w:rPr>
          <w:vertAlign w:val="subscript"/>
        </w:rPr>
        <w:t>2</w:t>
      </w:r>
      <w:r w:rsidRPr="005C4CB6">
        <w:t xml:space="preserve"> </w:t>
      </w:r>
      <w:r>
        <w:t xml:space="preserve">or </w:t>
      </w:r>
      <w:r w:rsidRPr="005C4CB6">
        <w:t>H</w:t>
      </w:r>
      <w:r w:rsidRPr="005C4CB6">
        <w:rPr>
          <w:vertAlign w:val="subscript"/>
        </w:rPr>
        <w:t>2</w:t>
      </w:r>
      <w:r w:rsidRPr="005C4CB6">
        <w:t>/</w:t>
      </w:r>
      <w:r>
        <w:t>N</w:t>
      </w:r>
      <w:r w:rsidRPr="005C4CB6">
        <w:rPr>
          <w:vertAlign w:val="subscript"/>
        </w:rPr>
        <w:t>2</w:t>
      </w:r>
      <w:r w:rsidRPr="005C4CB6">
        <w:t xml:space="preserve"> at anode/cathode, 65 °C dewpoint</w:t>
      </w:r>
      <w:r>
        <w:t xml:space="preserve"> (52 % relative humidity)</w:t>
      </w:r>
      <w:r w:rsidRPr="005C4CB6">
        <w:t xml:space="preserve"> </w:t>
      </w:r>
      <w:r>
        <w:t xml:space="preserve">and </w:t>
      </w:r>
      <w:r w:rsidRPr="005C4CB6">
        <w:t>100 mbar backpressure</w:t>
      </w:r>
      <w:r>
        <w:t xml:space="preserve">. After a break-in procedure consisting in a 1 h voltage hold at 0.60 V in </w:t>
      </w:r>
      <w:r w:rsidRPr="005C4CB6">
        <w:t>H</w:t>
      </w:r>
      <w:r w:rsidRPr="005C4CB6">
        <w:rPr>
          <w:vertAlign w:val="subscript"/>
        </w:rPr>
        <w:t>2</w:t>
      </w:r>
      <w:r w:rsidRPr="005C4CB6">
        <w:t>/</w:t>
      </w:r>
      <w:r>
        <w:t>O</w:t>
      </w:r>
      <w:r w:rsidRPr="005C4CB6">
        <w:rPr>
          <w:vertAlign w:val="subscript"/>
        </w:rPr>
        <w:t>2</w:t>
      </w:r>
      <w:r>
        <w:rPr>
          <w:vertAlign w:val="subscript"/>
        </w:rPr>
        <w:t xml:space="preserve">, </w:t>
      </w:r>
      <w:r>
        <w:t>the cathode was purged with N</w:t>
      </w:r>
      <w:r>
        <w:rPr>
          <w:vertAlign w:val="subscript"/>
        </w:rPr>
        <w:t>2</w:t>
      </w:r>
      <w:r>
        <w:t xml:space="preserve"> to both fix and minimize ohmic voltage losses. The cell voltage was controlled by a SP-240 potentiostat (Biologic) equipped with a 4 A booster. Prior to any cyclic voltammetry experiment, the high frequency resistance (200 kHz) was measured by means of </w:t>
      </w:r>
      <w:proofErr w:type="spellStart"/>
      <w:r>
        <w:t>potentio</w:t>
      </w:r>
      <w:proofErr w:type="spellEnd"/>
      <w:r>
        <w:t xml:space="preserve"> electrochemical impedance spectroscopy (PEIS), and the potential of the working electrode was dynamically compensated for 85 % of the ohmic losses.</w:t>
      </w:r>
    </w:p>
    <w:p w14:paraId="3DEBE175" w14:textId="221639F2" w:rsidR="008C4B57" w:rsidRPr="00263AFD" w:rsidRDefault="008C4B57" w:rsidP="008C4B57">
      <w:r>
        <w:rPr>
          <w:b/>
        </w:rPr>
        <w:t>Conventional f</w:t>
      </w:r>
      <w:r w:rsidRPr="00956A93">
        <w:rPr>
          <w:b/>
        </w:rPr>
        <w:t xml:space="preserve">uel cell </w:t>
      </w:r>
      <w:r>
        <w:rPr>
          <w:b/>
        </w:rPr>
        <w:t>operation.</w:t>
      </w:r>
      <w:r>
        <w:t xml:space="preserve"> The MEA was mounted in a commercial single-cell PEMFC casing (Scribner) and operated at</w:t>
      </w:r>
      <w:r w:rsidRPr="005C4CB6">
        <w:t xml:space="preserve"> 80 °C</w:t>
      </w:r>
      <w:r>
        <w:t xml:space="preserve"> with </w:t>
      </w:r>
      <w:r w:rsidRPr="005C4CB6">
        <w:t>H</w:t>
      </w:r>
      <w:r w:rsidRPr="005C4CB6">
        <w:rPr>
          <w:vertAlign w:val="subscript"/>
        </w:rPr>
        <w:t>2</w:t>
      </w:r>
      <w:r w:rsidRPr="005C4CB6">
        <w:t>/</w:t>
      </w:r>
      <w:r>
        <w:t>Air or</w:t>
      </w:r>
      <w:r w:rsidRPr="005C4CB6">
        <w:t xml:space="preserve"> H</w:t>
      </w:r>
      <w:r w:rsidRPr="005C4CB6">
        <w:rPr>
          <w:vertAlign w:val="subscript"/>
        </w:rPr>
        <w:t>2</w:t>
      </w:r>
      <w:r w:rsidRPr="005C4CB6">
        <w:t>/</w:t>
      </w:r>
      <w:r>
        <w:t>O</w:t>
      </w:r>
      <w:r w:rsidRPr="005C4CB6">
        <w:rPr>
          <w:vertAlign w:val="subscript"/>
        </w:rPr>
        <w:t>2</w:t>
      </w:r>
      <w:r w:rsidRPr="005C4CB6">
        <w:t xml:space="preserve"> at anode/cathode, </w:t>
      </w:r>
      <w:r>
        <w:t>80</w:t>
      </w:r>
      <w:r w:rsidRPr="005C4CB6">
        <w:t xml:space="preserve"> °C dewpoint</w:t>
      </w:r>
      <w:r>
        <w:t xml:space="preserve"> (100 % relative humidity)</w:t>
      </w:r>
      <w:r w:rsidRPr="005C4CB6">
        <w:t xml:space="preserve"> </w:t>
      </w:r>
      <w:r>
        <w:t>and 5</w:t>
      </w:r>
      <w:r w:rsidRPr="005C4CB6">
        <w:t>00 mbar backpressure</w:t>
      </w:r>
      <w:r>
        <w:t xml:space="preserve"> with a house-made test bench. The cell voltage was controlled by a SP-150 potentiostat (Biologic) equipped with a 20 A booster. The break-in procedure was conducted in </w:t>
      </w:r>
      <w:r w:rsidRPr="005C4CB6">
        <w:t>H</w:t>
      </w:r>
      <w:r w:rsidRPr="005C4CB6">
        <w:rPr>
          <w:vertAlign w:val="subscript"/>
        </w:rPr>
        <w:t>2</w:t>
      </w:r>
      <w:r w:rsidRPr="005C4CB6">
        <w:t>/</w:t>
      </w:r>
      <w:r>
        <w:t>Air (</w:t>
      </w:r>
      <w:r w:rsidR="007526B3">
        <w:t>313</w:t>
      </w:r>
      <w:r>
        <w:t>/496 sccm) and consisted of potential cycles between the open circuit voltage (OCV, 10 s), a 100 mV s</w:t>
      </w:r>
      <w:r w:rsidRPr="002D37C0">
        <w:rPr>
          <w:vertAlign w:val="superscript"/>
        </w:rPr>
        <w:t>-1</w:t>
      </w:r>
      <w:r>
        <w:t xml:space="preserve"> potential sweep from the OCV to 0.10 V, followed by 1 min hold at 0.10 V. The cycles were repeated for a total duration of 1 h. The oxidant gas was then turned to O</w:t>
      </w:r>
      <w:r w:rsidRPr="002D37C0">
        <w:rPr>
          <w:vertAlign w:val="subscript"/>
        </w:rPr>
        <w:t>2</w:t>
      </w:r>
      <w:r>
        <w:t xml:space="preserve"> and polarization curve was recorded using the staircase </w:t>
      </w:r>
      <w:proofErr w:type="spellStart"/>
      <w:r>
        <w:t>potentio</w:t>
      </w:r>
      <w:proofErr w:type="spellEnd"/>
      <w:r>
        <w:t xml:space="preserve"> electrochemical impedance spectroscopy with a total of 14 potential </w:t>
      </w:r>
      <w:r>
        <w:lastRenderedPageBreak/>
        <w:t>steps (3 min hold) between the OCV and 0.10 V. The high frequency resistances measured at the end of all steps was used to later correct the potential values from the ohmic losses.</w:t>
      </w:r>
      <w:r w:rsidR="00F81914">
        <w:t xml:space="preserve"> Cyclic voltammogram of the cathode catalyst and cell performance are displayed in </w:t>
      </w:r>
      <w:r w:rsidR="00F81914" w:rsidRPr="00F81914">
        <w:rPr>
          <w:b/>
        </w:rPr>
        <w:t>Figure S3</w:t>
      </w:r>
      <w:r w:rsidR="00F81914">
        <w:t>.</w:t>
      </w:r>
    </w:p>
    <w:p w14:paraId="1D351D3F" w14:textId="55AE76AA" w:rsidR="008C4B57" w:rsidRDefault="008C4B57" w:rsidP="008C4B57">
      <w:r>
        <w:rPr>
          <w:b/>
        </w:rPr>
        <w:t>X-ray transparent t</w:t>
      </w:r>
      <w:r w:rsidRPr="008928E9">
        <w:rPr>
          <w:b/>
        </w:rPr>
        <w:t>hin-film electrochemical flow cell operation</w:t>
      </w:r>
      <w:r>
        <w:t xml:space="preserve">. 10 </w:t>
      </w:r>
      <w:r>
        <w:rPr>
          <w:rFonts w:cs="Times"/>
        </w:rPr>
        <w:t>µ</w:t>
      </w:r>
      <w:r>
        <w:t xml:space="preserve">L of an ink suspension composed of 5 mg of 40 wt.% Pt/C catalyst (JM), 3600 </w:t>
      </w:r>
      <w:r>
        <w:rPr>
          <w:rFonts w:cs="Times"/>
        </w:rPr>
        <w:t>µL of 18.2 M</w:t>
      </w:r>
      <w:r w:rsidRPr="008928E9">
        <w:rPr>
          <w:rFonts w:cs="Times"/>
        </w:rPr>
        <w:t>Ω</w:t>
      </w:r>
      <w:r>
        <w:rPr>
          <w:rFonts w:cs="Times"/>
        </w:rPr>
        <w:t xml:space="preserve"> ultra-pure water (Millipore), 1446 µL of isopropanol and 20 µL of 5 wt.% Nafion solution </w:t>
      </w:r>
      <w:r w:rsidRPr="00E1143F">
        <w:t>(Electrochem. Inc.)</w:t>
      </w:r>
      <w:r>
        <w:rPr>
          <w:rFonts w:cs="Times"/>
        </w:rPr>
        <w:t xml:space="preserve"> were deposited on a 0.196 cm</w:t>
      </w:r>
      <w:r w:rsidRPr="00DD77F5">
        <w:rPr>
          <w:rFonts w:cs="Times"/>
          <w:vertAlign w:val="superscript"/>
        </w:rPr>
        <w:t>2</w:t>
      </w:r>
      <w:r>
        <w:rPr>
          <w:rFonts w:cs="Times"/>
        </w:rPr>
        <w:t xml:space="preserve"> glassy carbon substrate thus reaching </w:t>
      </w:r>
      <w:r w:rsidRPr="00E1143F">
        <w:t xml:space="preserve">a </w:t>
      </w:r>
      <w:r>
        <w:t>Pt</w:t>
      </w:r>
      <w:r w:rsidRPr="00E1143F">
        <w:t xml:space="preserve"> loading of 2</w:t>
      </w:r>
      <w:r>
        <w:t>0</w:t>
      </w:r>
      <w:r w:rsidRPr="00E1143F">
        <w:t xml:space="preserve"> </w:t>
      </w:r>
      <m:oMath>
        <m:sSub>
          <m:sSubPr>
            <m:ctrlPr>
              <w:rPr>
                <w:rFonts w:ascii="Cambria Math" w:hAnsi="Cambria Math"/>
              </w:rPr>
            </m:ctrlPr>
          </m:sSubPr>
          <m:e>
            <m:r>
              <m:rPr>
                <m:sty m:val="p"/>
              </m:rPr>
              <w:rPr>
                <w:rFonts w:ascii="Cambria Math" w:hAnsi="Cambria Math"/>
              </w:rPr>
              <m:t>μg</m:t>
            </m:r>
          </m:e>
          <m:sub>
            <m:r>
              <m:rPr>
                <m:sty m:val="p"/>
              </m:rPr>
              <w:rPr>
                <w:rFonts w:ascii="Cambria Math" w:hAnsi="Cambria Math"/>
              </w:rPr>
              <m:t>Pt</m:t>
            </m:r>
          </m:sub>
        </m:sSub>
        <m:r>
          <m:rPr>
            <m:sty m:val="p"/>
          </m:rPr>
          <w:rPr>
            <w:rFonts w:ascii="Cambria Math" w:hAnsi="Cambria Math"/>
          </w:rPr>
          <m:t xml:space="preserve"> </m:t>
        </m:r>
        <m:sSup>
          <m:sSupPr>
            <m:ctrlPr>
              <w:rPr>
                <w:rFonts w:ascii="Cambria Math" w:hAnsi="Cambria Math"/>
              </w:rPr>
            </m:ctrlPr>
          </m:sSupPr>
          <m:e>
            <m:r>
              <m:rPr>
                <m:sty m:val="p"/>
              </m:rPr>
              <w:rPr>
                <w:rFonts w:ascii="Cambria Math" w:hAnsi="Cambria Math"/>
              </w:rPr>
              <m:t>cm</m:t>
            </m:r>
          </m:e>
          <m:sup>
            <m:r>
              <m:rPr>
                <m:sty m:val="p"/>
              </m:rPr>
              <w:rPr>
                <w:rFonts w:ascii="Cambria Math" w:hAnsi="Cambria Math"/>
              </w:rPr>
              <m:t>-2</m:t>
            </m:r>
          </m:sup>
        </m:sSup>
      </m:oMath>
      <w:r w:rsidRPr="00E1143F">
        <w:t>.</w:t>
      </w:r>
      <w:r>
        <w:t xml:space="preserve"> The sample was mounted in a 3-electrode flow cell described in previous contributions </w:t>
      </w:r>
      <w:r>
        <w:fldChar w:fldCharType="begin" w:fldLock="1"/>
      </w:r>
      <w:r w:rsidR="0039734E">
        <w:instrText>ADDIN CSL_CITATION {"citationItems":[{"id":"ITEM-1","itemData":{"DOI":"10.1021/jacs.1c06780","ISSN":"0002-7863","author":[{"dropping-particle":"","family":"Chattot","given":"Raphaël","non-dropping-particle":"","parse-names":false,"suffix":""},{"dropping-particle":"","family":"Martens","given":"Isaac","non-dropping-particle":"","parse-names":false,"suffix":""},{"dropping-particle":"","family":"Mirolo","given":"Marta","non-dropping-particle":"","parse-names":false,"suffix":""},{"dropping-particle":"","family":"Ronovsky","given":"Michal","non-dropping-particle":"","parse-names":false,"suffix":""},{"dropping-particle":"","family":"Russello","given":"Florian","non-dropping-particle":"","parse-names":false,"suffix":""},{"dropping-particle":"","family":"Isern","given":"Helena","non-dropping-particle":"","parse-names":false,"suffix":""},{"dropping-particle":"","family":"Braesch","given":"Guillaume","non-dropping-particle":"","parse-names":false,"suffix":""},{"dropping-particle":"","family":"Hornberger","given":"Elisabeth","non-dropping-particle":"","parse-names":false,"suffix":""},{"dropping-particle":"","family":"Strasser","given":"Peter","non-dropping-particle":"","parse-names":false,"suffix":""},{"dropping-particle":"","family":"Sibert","given":"Eric","non-dropping-particle":"","parse-names":false,"suffix":""},{"dropping-particle":"","family":"Chatenet","given":"Marian","non-dropping-particle":"","parse-names":false,"suffix":""},{"dropping-particle":"","family":"Honkimäki","given":"Veijo","non-dropping-particle":"","parse-names":false,"suffix":""},{"dropping-particle":"","family":"Drnec","given":"Jakub","non-dropping-particle":"","parse-names":false,"suffix":""}],"container-title":"Journal of the American Chemical Society","id":"ITEM-1","issue":"41","issued":{"date-parts":[["2021","10","20"]]},"page":"17068-17078","title":"Electrochemical Strain Dynamics in Noble Metal Nanocatalysts","type":"article-journal","volume":"143"},"uris":["http://www.mendeley.com/documents/?uuid=b6e4b63d-4364-45d3-b59a-7663998a6ad5"]},{"id":"ITEM-2","itemData":{"DOI":"10.1021/acscatal.2c04495","ISSN":"2155-5435","author":[{"dropping-particle":"","family":"Chattot","given":"Raphaël","non-dropping-particle":"","parse-names":false,"suffix":""},{"dropping-particle":"","family":"Roiron","given":"Camille","non-dropping-particle":"","parse-names":false,"suffix":""},{"dropping-particle":"","family":"Kumar","given":"Kavita","non-dropping-particle":"","parse-names":false,"suffix":""},{"dropping-particle":"","family":"Martin","given":"Vincent","non-dropping-particle":"","parse-names":false,"suffix":""},{"dropping-particle":"","family":"Campos Roldan","given":"Carlos Augusto","non-dropping-particle":"","parse-names":false,"suffix":""},{"dropping-particle":"","family":"Mirolo","given":"Marta","non-dropping-particle":"","parse-names":false,"suffix":""},{"dropping-particle":"","family":"Martens","given":"Isaac","non-dropping-particle":"","parse-names":false,"suffix":""},{"dropping-particle":"","family":"Castanheira","given":"Luis","non-dropping-particle":"","parse-names":false,"suffix":""},{"dropping-particle":"","family":"Viola","given":"Arnaud","non-dropping-particle":"","parse-names":false,"suffix":""},{"dropping-particle":"","family":"Bacabe","given":"Rémi","non-dropping-particle":"","parse-names":false,"suffix":""},{"dropping-particle":"","family":"Cavaliere","given":"Sara","non-dropping-particle":"","parse-names":false,"suffix":""},{"dropping-particle":"","family":"Blanchard","given":"Pierre-yves","non-dropping-particle":"","parse-names":false,"suffix":""},{"dropping-particle":"","family":"Dubau","given":"Laetitia","non-dropping-particle":"","parse-names":false,"suffix":""},{"dropping-particle":"","family":"Maillard","given":"Frédéric","non-dropping-particle":"","parse-names":false,"suffix":""},{"dropping-particle":"","family":"Drnec","given":"Jakub","non-dropping-particle":"","parse-names":false,"suffix":""}],"container-title":"ACS Catalysis","id":"ITEM-2","issue":"24","issued":{"date-parts":[["2022","12","16"]]},"page":"15675-15685","title":"Break-In Bad: On the Conditioning of Fuel Cell Nanoalloy Catalysts","type":"article-journal","volume":"12"},"uris":["http://www.mendeley.com/documents/?uuid=0b3697b3-a300-4f41-83ef-e90e5150c8c3"]}],"mendeley":{"formattedCitation":"&lt;sup&gt;5,6&lt;/sup&gt;","plainTextFormattedCitation":"5,6","previouslyFormattedCitation":"&lt;sup&gt;5,6&lt;/sup&gt;"},"properties":{"noteIndex":0},"schema":"https://github.com/citation-style-language/schema/raw/master/csl-citation.json"}</w:instrText>
      </w:r>
      <w:r>
        <w:fldChar w:fldCharType="separate"/>
      </w:r>
      <w:r w:rsidR="00BC19B8" w:rsidRPr="00BC19B8">
        <w:rPr>
          <w:noProof/>
          <w:vertAlign w:val="superscript"/>
        </w:rPr>
        <w:t>5,6</w:t>
      </w:r>
      <w:r>
        <w:fldChar w:fldCharType="end"/>
      </w:r>
      <w:r w:rsidR="00F81914">
        <w:t xml:space="preserve"> and pictured in </w:t>
      </w:r>
      <w:r w:rsidR="00F81914" w:rsidRPr="00F81914">
        <w:rPr>
          <w:b/>
        </w:rPr>
        <w:t>Picture S1</w:t>
      </w:r>
      <w:r w:rsidR="00F81914">
        <w:rPr>
          <w:b/>
        </w:rPr>
        <w:t>.b</w:t>
      </w:r>
      <w:r>
        <w:t xml:space="preserve">. A Pt wire was used as counter electrode and a commercial </w:t>
      </w:r>
      <w:r w:rsidRPr="00E1143F">
        <w:t xml:space="preserve">Ag/AgCl electrode (ET072, </w:t>
      </w:r>
      <w:proofErr w:type="spellStart"/>
      <w:r w:rsidRPr="00E1143F">
        <w:t>eDAQ</w:t>
      </w:r>
      <w:proofErr w:type="spellEnd"/>
      <w:r w:rsidRPr="00E1143F">
        <w:t xml:space="preserve">) </w:t>
      </w:r>
      <w:r>
        <w:t xml:space="preserve">as reference electrode. The cell was fed with </w:t>
      </w:r>
      <w:r w:rsidRPr="00E1143F">
        <w:t>0.1</w:t>
      </w:r>
      <w:r>
        <w:t>0</w:t>
      </w:r>
      <w:r w:rsidRPr="00E1143F">
        <w:t xml:space="preserve"> M HClO</w:t>
      </w:r>
      <w:r w:rsidRPr="00E1143F">
        <w:rPr>
          <w:vertAlign w:val="subscript"/>
        </w:rPr>
        <w:t>4</w:t>
      </w:r>
      <w:r w:rsidRPr="00E1143F">
        <w:t xml:space="preserve">, </w:t>
      </w:r>
      <w:r>
        <w:t>(</w:t>
      </w:r>
      <w:r w:rsidRPr="00E1143F">
        <w:t>Suprapur</w:t>
      </w:r>
      <w:r w:rsidRPr="00E1143F">
        <w:rPr>
          <w:vertAlign w:val="superscript"/>
        </w:rPr>
        <w:sym w:font="Symbol" w:char="F0D2"/>
      </w:r>
      <w:r w:rsidRPr="00E1143F">
        <w:t>, Merck)</w:t>
      </w:r>
      <w:r>
        <w:t xml:space="preserve"> </w:t>
      </w:r>
      <w:r w:rsidRPr="00E1143F">
        <w:t>at a rate of 20 mL min</w:t>
      </w:r>
      <w:r w:rsidRPr="00E1143F">
        <w:rPr>
          <w:vertAlign w:val="superscript"/>
        </w:rPr>
        <w:t>-1</w:t>
      </w:r>
      <w:r w:rsidRPr="00E1143F">
        <w:t xml:space="preserve"> using a peristaltic pump</w:t>
      </w:r>
      <w:r>
        <w:t xml:space="preserve">. The electrochemistry was controlled by a SP-300 potentiostat (Biologic). The catalyst was first conditioned using 50 cycles between 0.05 and 1.23 V </w:t>
      </w:r>
      <w:r>
        <w:rPr>
          <w:i/>
        </w:rPr>
        <w:t>vs</w:t>
      </w:r>
      <w:r>
        <w:t>. RHE at 500 mV s</w:t>
      </w:r>
      <w:r w:rsidRPr="00C37602">
        <w:rPr>
          <w:vertAlign w:val="superscript"/>
        </w:rPr>
        <w:t>-1</w:t>
      </w:r>
      <w:r>
        <w:t xml:space="preserve">. The temperature of the room was regulated at 25 </w:t>
      </w:r>
      <w:r>
        <w:rPr>
          <w:rFonts w:cs="Times"/>
        </w:rPr>
        <w:t>º</w:t>
      </w:r>
      <w:r>
        <w:t xml:space="preserve">C. </w:t>
      </w:r>
    </w:p>
    <w:p w14:paraId="19AFC844" w14:textId="67629C14" w:rsidR="008C4B57" w:rsidRPr="00C277DF" w:rsidRDefault="00186204" w:rsidP="008C4B57">
      <w:pPr>
        <w:rPr>
          <w:szCs w:val="22"/>
        </w:rPr>
      </w:pPr>
      <w:r>
        <w:rPr>
          <w:b/>
          <w:szCs w:val="22"/>
        </w:rPr>
        <w:t xml:space="preserve">Stroboscopic </w:t>
      </w:r>
      <w:r>
        <w:rPr>
          <w:b/>
          <w:i/>
          <w:szCs w:val="22"/>
        </w:rPr>
        <w:t>o</w:t>
      </w:r>
      <w:r w:rsidRPr="00A46732">
        <w:rPr>
          <w:b/>
          <w:i/>
          <w:szCs w:val="22"/>
        </w:rPr>
        <w:t>perando</w:t>
      </w:r>
      <w:r w:rsidRPr="00A46732">
        <w:rPr>
          <w:b/>
          <w:szCs w:val="22"/>
        </w:rPr>
        <w:t xml:space="preserve"> synchrotron wide-angle X-ray scattering (WAXS) measurements</w:t>
      </w:r>
      <w:r w:rsidR="008C4B57" w:rsidRPr="00A46732">
        <w:rPr>
          <w:b/>
          <w:szCs w:val="22"/>
        </w:rPr>
        <w:t xml:space="preserve">. </w:t>
      </w:r>
      <w:r w:rsidR="008C4B57" w:rsidRPr="00A46732">
        <w:rPr>
          <w:szCs w:val="22"/>
        </w:rPr>
        <w:t xml:space="preserve">Synchrotron WAXS measurements were performed at ID31 beamline of the European Synchrotron Radiation facility (ESRF) in Grenoble, France. The high energy X-ray beam (77 keV) was focused on the sample through the cells in grazing incidence configuration, and the scattered signal was collected using a </w:t>
      </w:r>
      <w:proofErr w:type="spellStart"/>
      <w:r w:rsidR="008C4B57" w:rsidRPr="00A46732">
        <w:rPr>
          <w:szCs w:val="22"/>
        </w:rPr>
        <w:t>Dectris</w:t>
      </w:r>
      <w:proofErr w:type="spellEnd"/>
      <w:r w:rsidR="008C4B57" w:rsidRPr="00A46732">
        <w:rPr>
          <w:szCs w:val="22"/>
        </w:rPr>
        <w:t xml:space="preserve"> Pilatus </w:t>
      </w:r>
      <w:proofErr w:type="spellStart"/>
      <w:r w:rsidR="008C4B57" w:rsidRPr="00A46732">
        <w:rPr>
          <w:szCs w:val="22"/>
        </w:rPr>
        <w:t>CdTe</w:t>
      </w:r>
      <w:proofErr w:type="spellEnd"/>
      <w:r w:rsidR="008C4B57" w:rsidRPr="00A46732">
        <w:rPr>
          <w:szCs w:val="22"/>
        </w:rPr>
        <w:t xml:space="preserve"> 2M detector. The energy, detector distance and tilts were calibrated using a standard CeO</w:t>
      </w:r>
      <w:r w:rsidR="008C4B57" w:rsidRPr="00A46732">
        <w:rPr>
          <w:szCs w:val="22"/>
          <w:vertAlign w:val="subscript"/>
        </w:rPr>
        <w:t xml:space="preserve">2 </w:t>
      </w:r>
      <w:r w:rsidR="008C4B57" w:rsidRPr="00A46732">
        <w:rPr>
          <w:szCs w:val="22"/>
        </w:rPr>
        <w:t xml:space="preserve">powder and the 2D diffraction patterns were reduced to the presented 1D curves using the pyFAI software package </w:t>
      </w:r>
      <w:r w:rsidR="008C4B57" w:rsidRPr="00A46732">
        <w:rPr>
          <w:szCs w:val="22"/>
        </w:rPr>
        <w:fldChar w:fldCharType="begin" w:fldLock="1"/>
      </w:r>
      <w:r w:rsidR="0039734E">
        <w:rPr>
          <w:szCs w:val="22"/>
        </w:rPr>
        <w:instrText>ADDIN CSL_CITATION {"citationItems":[{"id":"ITEM-1","itemData":{"DOI":"10.1107/S1600576715004306","ISSN":"16005767","PMID":"25844080","abstract":"pyFAI is an open-source software package designed to perform azimuthal integration and, correspondingly, two-dimensional regrouping on area-detector frames for small- and wide-angle X-ray scattering experiments. It is written in Python (with binary submodules for improved performance), a language widely accepted and used by the scientific community today, which enables users to easily incorporate the pyFAI library into their processing pipeline. This article focuses on recent work, especially the ease of calibration, its accuracy and the execution speed for integration.","author":[{"dropping-particle":"","family":"Ashiotis","given":"Giannis","non-dropping-particle":"","parse-names":false,"suffix":""},{"dropping-particle":"","family":"Deschildre","given":"Aurore","non-dropping-particle":"","parse-names":false,"suffix":""},{"dropping-particle":"","family":"Nawaz","given":"Zubair","non-dropping-particle":"","parse-names":false,"suffix":""},{"dropping-particle":"","family":"Wright","given":"Jonathan P.","non-dropping-particle":"","parse-names":false,"suffix":""},{"dropping-particle":"","family":"Karkoulis","given":"Dimitrios","non-dropping-particle":"","parse-names":false,"suffix":""},{"dropping-particle":"","family":"Picca","given":"Frédéric Emmanuel","non-dropping-particle":"","parse-names":false,"suffix":""},{"dropping-particle":"","family":"Kieffer","given":"Jérôme","non-dropping-particle":"","parse-names":false,"suffix":""}],"container-title":"Journal of Applied Crystallography","id":"ITEM-1","issued":{"date-parts":[["2015"]]},"page":"510-519","publisher":"International Union of Crystallography","title":"The fast azimuthal integration Python library: PyFAI","type":"article-journal","volume":"48"},"uris":["http://www.mendeley.com/documents/?uuid=e3dbb37f-023e-4b8b-91c4-ba739937198d"]}],"mendeley":{"formattedCitation":"&lt;sup&gt;7&lt;/sup&gt;","plainTextFormattedCitation":"7","previouslyFormattedCitation":"&lt;sup&gt;7&lt;/sup&gt;"},"properties":{"noteIndex":0},"schema":"https://github.com/citation-style-language/schema/raw/master/csl-citation.json"}</w:instrText>
      </w:r>
      <w:r w:rsidR="008C4B57" w:rsidRPr="00A46732">
        <w:rPr>
          <w:szCs w:val="22"/>
        </w:rPr>
        <w:fldChar w:fldCharType="separate"/>
      </w:r>
      <w:r w:rsidR="00BC19B8" w:rsidRPr="00BC19B8">
        <w:rPr>
          <w:noProof/>
          <w:szCs w:val="22"/>
          <w:vertAlign w:val="superscript"/>
        </w:rPr>
        <w:t>7</w:t>
      </w:r>
      <w:r w:rsidR="008C4B57" w:rsidRPr="00A46732">
        <w:rPr>
          <w:szCs w:val="22"/>
        </w:rPr>
        <w:fldChar w:fldCharType="end"/>
      </w:r>
      <w:r w:rsidR="008C4B57" w:rsidRPr="00A46732">
        <w:rPr>
          <w:szCs w:val="22"/>
        </w:rPr>
        <w:t xml:space="preserve">. </w:t>
      </w:r>
      <w:r>
        <w:rPr>
          <w:szCs w:val="22"/>
        </w:rPr>
        <w:t xml:space="preserve">For a fair comparison between cyclic voltammetry experiments recorded at different potential sweep rates, the chosen temporal resolution for the reconstructed WAXS patterns was kept constant at </w:t>
      </w:r>
      <w:r>
        <w:rPr>
          <w:i/>
          <w:szCs w:val="22"/>
        </w:rPr>
        <w:t xml:space="preserve">ca. </w:t>
      </w:r>
      <w:r>
        <w:rPr>
          <w:szCs w:val="22"/>
        </w:rPr>
        <w:t>1/60</w:t>
      </w:r>
      <w:r w:rsidRPr="00592DD7">
        <w:rPr>
          <w:szCs w:val="22"/>
          <w:vertAlign w:val="superscript"/>
        </w:rPr>
        <w:t>th</w:t>
      </w:r>
      <w:r>
        <w:rPr>
          <w:szCs w:val="22"/>
        </w:rPr>
        <w:t xml:space="preserve"> of the cycle period </w:t>
      </w:r>
      <w:r>
        <w:rPr>
          <w:i/>
          <w:szCs w:val="22"/>
        </w:rPr>
        <w:t>T</w:t>
      </w:r>
      <w:r w:rsidR="008C4B57">
        <w:rPr>
          <w:i/>
          <w:szCs w:val="22"/>
        </w:rPr>
        <w:t>.</w:t>
      </w:r>
      <w:r w:rsidR="008C4B57">
        <w:rPr>
          <w:szCs w:val="22"/>
        </w:rPr>
        <w:t xml:space="preserve"> The WAXS measurements were performed on stable cyclic voltammograms.</w:t>
      </w:r>
    </w:p>
    <w:p w14:paraId="07A28C08" w14:textId="4349B55B" w:rsidR="008C4B57" w:rsidRDefault="008C4B57" w:rsidP="008C4B57">
      <w:r w:rsidRPr="00AF10C0">
        <w:rPr>
          <w:b/>
        </w:rPr>
        <w:t>Rietveld refinement of the WAXS patterns</w:t>
      </w:r>
      <w:r>
        <w:t xml:space="preserve">. </w:t>
      </w:r>
      <w:r w:rsidRPr="005D5840">
        <w:t>Rietveld refinement of the WAXS patterns was performed to extract the</w:t>
      </w:r>
      <w:r>
        <w:t xml:space="preserve"> phase structure,</w:t>
      </w:r>
      <w:r w:rsidRPr="005D5840">
        <w:t xml:space="preserve"> crystallite size</w:t>
      </w:r>
      <w:r>
        <w:t xml:space="preserve"> and </w:t>
      </w:r>
      <w:r w:rsidRPr="005D5840">
        <w:t>la</w:t>
      </w:r>
      <w:r>
        <w:t xml:space="preserve">ttice parameter </w:t>
      </w:r>
      <w:r w:rsidRPr="005D5840">
        <w:t xml:space="preserve">using the </w:t>
      </w:r>
      <w:r w:rsidRPr="005D5840">
        <w:rPr>
          <w:i/>
        </w:rPr>
        <w:t>Fm3m</w:t>
      </w:r>
      <w:r>
        <w:t xml:space="preserve"> structure of Pt </w:t>
      </w:r>
      <w:r w:rsidRPr="005D5840">
        <w:t xml:space="preserve">and the </w:t>
      </w:r>
      <w:r w:rsidRPr="005D5840">
        <w:lastRenderedPageBreak/>
        <w:t>Fullprof software. The instrumental resolution function was determined by the refinement of a CeO</w:t>
      </w:r>
      <w:r w:rsidRPr="005D5840">
        <w:rPr>
          <w:vertAlign w:val="subscript"/>
        </w:rPr>
        <w:t>2</w:t>
      </w:r>
      <w:r w:rsidRPr="005D5840">
        <w:t xml:space="preserve"> standard sample. Thomson-Cox-Hastings profile function was adopted </w:t>
      </w:r>
      <w:r w:rsidRPr="005D5840">
        <w:fldChar w:fldCharType="begin" w:fldLock="1"/>
      </w:r>
      <w:r w:rsidR="0039734E">
        <w:instrText>ADDIN CSL_CITATION {"citationItems":[{"id":"ITEM-1","itemData":{"DOI":"10.1107/S0021889887087090","ISBN":"0021-8898","ISSN":"00218898","PMID":"8100019551732062751","abstract":"The application of the Rietveld refinement technique to synchrotron X-ray data collected from a capillary sample of Al 2 O 3 in Debye-Scherrer geometry is described. The data were obtained at the Cornell High Energy Synchrotron","author":[{"dropping-particle":"","family":"Thompson","given":"P","non-dropping-particle":"","parse-names":false,"suffix":""},{"dropping-particle":"","family":"Cox","given":"D E","non-dropping-particle":"","parse-names":false,"suffix":""},{"dropping-particle":"","family":"Hastings","given":"J B","non-dropping-particle":"","parse-names":false,"suffix":""}],"container-title":"Journal of Applied Crystallography","id":"ITEM-1","issue":"2","issued":{"date-parts":[["1987"]]},"page":"79-83","title":"Rietveld Refinement of Debye-Scherrer Synchrotron X-ray Data from A1203","type":"article-journal","volume":"20"},"uris":["http://www.mendeley.com/documents/?uuid=5d13c359-59bc-4ef4-af2a-2303088336ab"]}],"mendeley":{"formattedCitation":"&lt;sup&gt;8&lt;/sup&gt;","plainTextFormattedCitation":"8","previouslyFormattedCitation":"&lt;sup&gt;8&lt;/sup&gt;"},"properties":{"noteIndex":0},"schema":"https://github.com/citation-style-language/schema/raw/master/csl-citation.json"}</w:instrText>
      </w:r>
      <w:r w:rsidRPr="005D5840">
        <w:fldChar w:fldCharType="separate"/>
      </w:r>
      <w:r w:rsidR="00BC19B8" w:rsidRPr="00BC19B8">
        <w:rPr>
          <w:noProof/>
          <w:vertAlign w:val="superscript"/>
        </w:rPr>
        <w:t>8</w:t>
      </w:r>
      <w:r w:rsidRPr="005D5840">
        <w:fldChar w:fldCharType="end"/>
      </w:r>
      <w:r w:rsidRPr="005D5840">
        <w:t>. The background of patterns was described by an interpolated set of po</w:t>
      </w:r>
      <w:r>
        <w:t>ints with refinable intensities.</w:t>
      </w:r>
    </w:p>
    <w:p w14:paraId="01E2D2A5" w14:textId="77777777" w:rsidR="008C4B57" w:rsidRDefault="008C4B57" w:rsidP="008C4B57">
      <w:r w:rsidRPr="00E34BAB">
        <w:rPr>
          <w:b/>
        </w:rPr>
        <w:t>First-order rate constant determination</w:t>
      </w:r>
      <w:r>
        <w:t>. The lattice constant and scattered intensity variations during potential steps were fitted using a linear combination of exponential functions of the type:</w:t>
      </w:r>
    </w:p>
    <w:p w14:paraId="75B7BF35" w14:textId="77777777" w:rsidR="008C4B57" w:rsidRPr="00087037" w:rsidRDefault="008C4B57" w:rsidP="008C4B57">
      <m:oMathPara>
        <m:oMath>
          <m:r>
            <w:rPr>
              <w:rFonts w:ascii="Cambria Math" w:hAnsi="Cambria Math"/>
            </w:rPr>
            <m:t>y=</m:t>
          </m:r>
          <m:sSub>
            <m:sSubPr>
              <m:ctrlPr>
                <w:rPr>
                  <w:rFonts w:ascii="Cambria Math" w:hAnsi="Cambria Math"/>
                  <w:i/>
                </w:rPr>
              </m:ctrlPr>
            </m:sSubPr>
            <m:e>
              <m:r>
                <w:rPr>
                  <w:rFonts w:ascii="Cambria Math" w:hAnsi="Cambria Math"/>
                </w:rPr>
                <m:t>y</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1</m:t>
              </m:r>
            </m:sub>
          </m:sSub>
          <m:sSup>
            <m:sSupPr>
              <m:ctrlPr>
                <w:rPr>
                  <w:rFonts w:ascii="Cambria Math" w:hAnsi="Cambria Math"/>
                  <w:i/>
                </w:rPr>
              </m:ctrlPr>
            </m:sSupPr>
            <m:e>
              <m:r>
                <w:rPr>
                  <w:rFonts w:ascii="Cambria Math" w:hAnsi="Cambria Math"/>
                </w:rPr>
                <m:t>e</m:t>
              </m:r>
            </m:e>
            <m:sup>
              <m:r>
                <w:rPr>
                  <w:rFonts w:ascii="Cambria Math" w:hAnsi="Cambria Math"/>
                </w:rPr>
                <m:t>-(x-</m:t>
              </m:r>
              <m:sSub>
                <m:sSubPr>
                  <m:ctrlPr>
                    <w:rPr>
                      <w:rFonts w:ascii="Cambria Math" w:hAnsi="Cambria Math"/>
                      <w:i/>
                    </w:rPr>
                  </m:ctrlPr>
                </m:sSubPr>
                <m:e>
                  <m:r>
                    <w:rPr>
                      <w:rFonts w:ascii="Cambria Math" w:hAnsi="Cambria Math"/>
                    </w:rPr>
                    <m:t>x</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1</m:t>
                  </m:r>
                </m:sub>
              </m:sSub>
            </m:sup>
          </m:sSup>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2</m:t>
              </m:r>
            </m:sub>
          </m:sSub>
          <m:sSup>
            <m:sSupPr>
              <m:ctrlPr>
                <w:rPr>
                  <w:rFonts w:ascii="Cambria Math" w:hAnsi="Cambria Math"/>
                  <w:i/>
                </w:rPr>
              </m:ctrlPr>
            </m:sSupPr>
            <m:e>
              <m:r>
                <w:rPr>
                  <w:rFonts w:ascii="Cambria Math" w:hAnsi="Cambria Math"/>
                </w:rPr>
                <m:t>e</m:t>
              </m:r>
            </m:e>
            <m:sup>
              <m:r>
                <w:rPr>
                  <w:rFonts w:ascii="Cambria Math" w:hAnsi="Cambria Math"/>
                </w:rPr>
                <m:t>-(x-</m:t>
              </m:r>
              <m:sSub>
                <m:sSubPr>
                  <m:ctrlPr>
                    <w:rPr>
                      <w:rFonts w:ascii="Cambria Math" w:hAnsi="Cambria Math"/>
                      <w:i/>
                    </w:rPr>
                  </m:ctrlPr>
                </m:sSubPr>
                <m:e>
                  <m:r>
                    <w:rPr>
                      <w:rFonts w:ascii="Cambria Math" w:hAnsi="Cambria Math"/>
                    </w:rPr>
                    <m:t>x</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2</m:t>
                  </m:r>
                </m:sub>
              </m:sSub>
            </m:sup>
          </m:sSup>
        </m:oMath>
      </m:oMathPara>
    </w:p>
    <w:p w14:paraId="252F4819" w14:textId="5540048B" w:rsidR="008C4B57" w:rsidRDefault="008C4B57" w:rsidP="008C4B57">
      <w:r>
        <w:t xml:space="preserve">where </w:t>
      </w:r>
      <m:oMath>
        <m:sSub>
          <m:sSubPr>
            <m:ctrlPr>
              <w:rPr>
                <w:rFonts w:ascii="Cambria Math" w:hAnsi="Cambria Math"/>
                <w:i/>
              </w:rPr>
            </m:ctrlPr>
          </m:sSubPr>
          <m:e>
            <m:r>
              <w:rPr>
                <w:rFonts w:ascii="Cambria Math" w:hAnsi="Cambria Math"/>
              </w:rPr>
              <m:t>y</m:t>
            </m:r>
          </m:e>
          <m:sub>
            <m:r>
              <w:rPr>
                <w:rFonts w:ascii="Cambria Math" w:hAnsi="Cambria Math"/>
              </w:rPr>
              <m:t>0</m:t>
            </m:r>
          </m:sub>
        </m:sSub>
      </m:oMath>
      <w:r>
        <w:t xml:space="preserve"> and </w:t>
      </w:r>
      <m:oMath>
        <m:sSub>
          <m:sSubPr>
            <m:ctrlPr>
              <w:rPr>
                <w:rFonts w:ascii="Cambria Math" w:hAnsi="Cambria Math"/>
                <w:i/>
              </w:rPr>
            </m:ctrlPr>
          </m:sSubPr>
          <m:e>
            <m:r>
              <w:rPr>
                <w:rFonts w:ascii="Cambria Math" w:hAnsi="Cambria Math"/>
              </w:rPr>
              <m:t>x</m:t>
            </m:r>
          </m:e>
          <m:sub>
            <m:r>
              <w:rPr>
                <w:rFonts w:ascii="Cambria Math" w:hAnsi="Cambria Math"/>
              </w:rPr>
              <m:t>0</m:t>
            </m:r>
          </m:sub>
        </m:sSub>
      </m:oMath>
      <w:r>
        <w:t xml:space="preserve"> are the fitted boundary conditions, </w:t>
      </w:r>
      <m:oMath>
        <m:sSub>
          <m:sSubPr>
            <m:ctrlPr>
              <w:rPr>
                <w:rFonts w:ascii="Cambria Math" w:hAnsi="Cambria Math"/>
                <w:i/>
              </w:rPr>
            </m:ctrlPr>
          </m:sSubPr>
          <m:e>
            <m:r>
              <w:rPr>
                <w:rFonts w:ascii="Cambria Math" w:hAnsi="Cambria Math"/>
              </w:rPr>
              <m:t>A</m:t>
            </m:r>
          </m:e>
          <m:sub>
            <m:r>
              <w:rPr>
                <w:rFonts w:ascii="Cambria Math" w:hAnsi="Cambria Math"/>
              </w:rPr>
              <m:t>1</m:t>
            </m:r>
          </m:sub>
        </m:sSub>
      </m:oMath>
      <w:r>
        <w:t xml:space="preserve"> and</w:t>
      </w:r>
      <m:oMath>
        <m:r>
          <w:rPr>
            <w:rFonts w:ascii="Cambria Math" w:hAnsi="Cambria Math"/>
          </w:rPr>
          <m:t xml:space="preserve"> </m:t>
        </m:r>
        <m:sSub>
          <m:sSubPr>
            <m:ctrlPr>
              <w:rPr>
                <w:rFonts w:ascii="Cambria Math" w:hAnsi="Cambria Math"/>
                <w:i/>
              </w:rPr>
            </m:ctrlPr>
          </m:sSubPr>
          <m:e>
            <m:r>
              <w:rPr>
                <w:rFonts w:ascii="Cambria Math" w:hAnsi="Cambria Math"/>
              </w:rPr>
              <m:t>A</m:t>
            </m:r>
          </m:e>
          <m:sub>
            <m:r>
              <w:rPr>
                <w:rFonts w:ascii="Cambria Math" w:hAnsi="Cambria Math"/>
              </w:rPr>
              <m:t>2</m:t>
            </m:r>
          </m:sub>
        </m:sSub>
      </m:oMath>
      <w:r>
        <w:t xml:space="preserve"> the fitted amplitude variations, and </w:t>
      </w:r>
      <m:oMath>
        <m:sSub>
          <m:sSubPr>
            <m:ctrlPr>
              <w:rPr>
                <w:rFonts w:ascii="Cambria Math" w:hAnsi="Cambria Math"/>
                <w:i/>
              </w:rPr>
            </m:ctrlPr>
          </m:sSubPr>
          <m:e>
            <m:r>
              <w:rPr>
                <w:rFonts w:ascii="Cambria Math" w:hAnsi="Cambria Math"/>
              </w:rPr>
              <m:t>t</m:t>
            </m:r>
          </m:e>
          <m:sub>
            <m:r>
              <w:rPr>
                <w:rFonts w:ascii="Cambria Math" w:hAnsi="Cambria Math"/>
              </w:rPr>
              <m:t>1</m:t>
            </m:r>
          </m:sub>
        </m:sSub>
      </m:oMath>
      <w:r>
        <w:t xml:space="preserve"> and </w:t>
      </w:r>
      <m:oMath>
        <m:sSub>
          <m:sSubPr>
            <m:ctrlPr>
              <w:rPr>
                <w:rFonts w:ascii="Cambria Math" w:hAnsi="Cambria Math"/>
                <w:i/>
              </w:rPr>
            </m:ctrlPr>
          </m:sSubPr>
          <m:e>
            <m:r>
              <w:rPr>
                <w:rFonts w:ascii="Cambria Math" w:hAnsi="Cambria Math"/>
              </w:rPr>
              <m:t>t</m:t>
            </m:r>
          </m:e>
          <m:sub>
            <m:r>
              <w:rPr>
                <w:rFonts w:ascii="Cambria Math" w:hAnsi="Cambria Math"/>
              </w:rPr>
              <m:t>2</m:t>
            </m:r>
          </m:sub>
        </m:sSub>
      </m:oMath>
      <w:r>
        <w:t xml:space="preserve"> are the fitted first-order time constants. The two exponential functions were found necessary to capture the oxidation process while only one was sufficient to capture the reduction. More details and numerical values of the fitted parameters can be found in </w:t>
      </w:r>
      <w:r w:rsidR="00F81914" w:rsidRPr="00F81914">
        <w:rPr>
          <w:b/>
        </w:rPr>
        <w:t>Figure S6</w:t>
      </w:r>
      <w:r w:rsidR="00F81914">
        <w:t xml:space="preserve"> and </w:t>
      </w:r>
      <w:r w:rsidR="00F81914" w:rsidRPr="00F81914">
        <w:rPr>
          <w:b/>
        </w:rPr>
        <w:t>Table S1</w:t>
      </w:r>
      <w:r>
        <w:t>.</w:t>
      </w:r>
    </w:p>
    <w:p w14:paraId="21EDAA98" w14:textId="25CDF931" w:rsidR="008C4B57" w:rsidRPr="005728AF" w:rsidRDefault="008C4B57" w:rsidP="008C4B57">
      <w:r w:rsidRPr="00DF1EF6">
        <w:rPr>
          <w:b/>
          <w:szCs w:val="22"/>
        </w:rPr>
        <w:t>Electrochemical on-line inductively coupled plasma mass spectrometry</w:t>
      </w:r>
      <w:r w:rsidRPr="00DF1EF6">
        <w:rPr>
          <w:szCs w:val="22"/>
        </w:rPr>
        <w:t xml:space="preserve">. </w:t>
      </w:r>
      <w:r w:rsidRPr="00DF1EF6">
        <w:rPr>
          <w:szCs w:val="22"/>
          <w:lang w:val="en-US"/>
        </w:rPr>
        <w:t>A commercial electrochemical flow cell (</w:t>
      </w:r>
      <w:proofErr w:type="spellStart"/>
      <w:r w:rsidRPr="00DF1EF6">
        <w:rPr>
          <w:szCs w:val="22"/>
          <w:lang w:val="en-US"/>
        </w:rPr>
        <w:t>BASi</w:t>
      </w:r>
      <w:proofErr w:type="spellEnd"/>
      <w:r w:rsidRPr="00DF1EF6">
        <w:rPr>
          <w:szCs w:val="22"/>
          <w:lang w:val="en-US"/>
        </w:rPr>
        <w:t xml:space="preserve">, MF-1092, cross-flow cell) was used. The flow cell consists in two glassy carbon </w:t>
      </w:r>
      <w:proofErr w:type="gramStart"/>
      <w:r w:rsidRPr="00DF1EF6">
        <w:rPr>
          <w:szCs w:val="22"/>
          <w:lang w:val="en-US"/>
        </w:rPr>
        <w:t>disk</w:t>
      </w:r>
      <w:proofErr w:type="gramEnd"/>
      <w:r w:rsidRPr="00DF1EF6">
        <w:rPr>
          <w:szCs w:val="22"/>
          <w:lang w:val="en-US"/>
        </w:rPr>
        <w:t xml:space="preserve"> (3 mm) aligned in series, which are embedded into PEEK material. The first disk was used as counter electrode, and the working electrode is in the direction of the electrolyte flow. </w:t>
      </w:r>
      <w:r>
        <w:t xml:space="preserve">3.4 </w:t>
      </w:r>
      <w:r>
        <w:rPr>
          <w:rFonts w:cs="Times"/>
        </w:rPr>
        <w:t>µ</w:t>
      </w:r>
      <w:r>
        <w:t xml:space="preserve">L of an ink suspension composed of 5.4 mg of 40 wt.% Pt/C catalyst (JM), 1800 </w:t>
      </w:r>
      <w:r>
        <w:rPr>
          <w:rFonts w:cs="Times"/>
        </w:rPr>
        <w:t>µL of 18.2 M</w:t>
      </w:r>
      <w:r w:rsidRPr="008928E9">
        <w:rPr>
          <w:rFonts w:cs="Times"/>
        </w:rPr>
        <w:t>Ω</w:t>
      </w:r>
      <w:r>
        <w:rPr>
          <w:rFonts w:cs="Times"/>
        </w:rPr>
        <w:t xml:space="preserve"> ultra-pure water (Millipore), 723 µL of isopropanol and 29 µL of 5 wt.% Nafion solution </w:t>
      </w:r>
      <w:r w:rsidRPr="00E1143F">
        <w:t>(Electrochem. Inc.)</w:t>
      </w:r>
      <w:r>
        <w:rPr>
          <w:rFonts w:cs="Times"/>
        </w:rPr>
        <w:t xml:space="preserve"> were deposited on the 0.071 cm</w:t>
      </w:r>
      <w:r w:rsidRPr="00DD77F5">
        <w:rPr>
          <w:rFonts w:cs="Times"/>
          <w:vertAlign w:val="superscript"/>
        </w:rPr>
        <w:t>2</w:t>
      </w:r>
      <w:r>
        <w:rPr>
          <w:rFonts w:cs="Times"/>
        </w:rPr>
        <w:t xml:space="preserve"> glassy carbon substrate thus reaching </w:t>
      </w:r>
      <w:r w:rsidRPr="00E1143F">
        <w:t xml:space="preserve">a </w:t>
      </w:r>
      <w:r>
        <w:t>Pt</w:t>
      </w:r>
      <w:r w:rsidRPr="00E1143F">
        <w:t xml:space="preserve"> loading of 2</w:t>
      </w:r>
      <w:r>
        <w:t>0</w:t>
      </w:r>
      <w:r w:rsidRPr="00E1143F">
        <w:t xml:space="preserve"> </w:t>
      </w:r>
      <m:oMath>
        <m:sSub>
          <m:sSubPr>
            <m:ctrlPr>
              <w:rPr>
                <w:rFonts w:ascii="Cambria Math" w:hAnsi="Cambria Math"/>
              </w:rPr>
            </m:ctrlPr>
          </m:sSubPr>
          <m:e>
            <m:r>
              <m:rPr>
                <m:sty m:val="p"/>
              </m:rPr>
              <w:rPr>
                <w:rFonts w:ascii="Cambria Math" w:hAnsi="Cambria Math"/>
              </w:rPr>
              <m:t>μg</m:t>
            </m:r>
          </m:e>
          <m:sub>
            <m:r>
              <m:rPr>
                <m:sty m:val="p"/>
              </m:rPr>
              <w:rPr>
                <w:rFonts w:ascii="Cambria Math" w:hAnsi="Cambria Math"/>
              </w:rPr>
              <m:t>Pt</m:t>
            </m:r>
          </m:sub>
        </m:sSub>
        <m:r>
          <m:rPr>
            <m:sty m:val="p"/>
          </m:rPr>
          <w:rPr>
            <w:rFonts w:ascii="Cambria Math" w:hAnsi="Cambria Math"/>
          </w:rPr>
          <m:t xml:space="preserve"> </m:t>
        </m:r>
        <m:sSup>
          <m:sSupPr>
            <m:ctrlPr>
              <w:rPr>
                <w:rFonts w:ascii="Cambria Math" w:hAnsi="Cambria Math"/>
              </w:rPr>
            </m:ctrlPr>
          </m:sSupPr>
          <m:e>
            <m:r>
              <m:rPr>
                <m:sty m:val="p"/>
              </m:rPr>
              <w:rPr>
                <w:rFonts w:ascii="Cambria Math" w:hAnsi="Cambria Math"/>
              </w:rPr>
              <m:t>cm</m:t>
            </m:r>
          </m:e>
          <m:sup>
            <m:r>
              <m:rPr>
                <m:sty m:val="p"/>
              </m:rPr>
              <w:rPr>
                <w:rFonts w:ascii="Cambria Math" w:hAnsi="Cambria Math"/>
              </w:rPr>
              <m:t>-2</m:t>
            </m:r>
          </m:sup>
        </m:sSup>
      </m:oMath>
      <w:r w:rsidRPr="00E1143F">
        <w:t>.</w:t>
      </w:r>
      <w:r>
        <w:t xml:space="preserve"> An Ag/AgCl reference electrode was used. The cell was fed with aqueous electrolyte</w:t>
      </w:r>
      <w:r w:rsidRPr="00E1143F">
        <w:t xml:space="preserve"> at a rate of </w:t>
      </w:r>
      <w:r>
        <w:t>400</w:t>
      </w:r>
      <w:r w:rsidRPr="00E1143F">
        <w:t xml:space="preserve"> </w:t>
      </w:r>
      <w:r>
        <w:rPr>
          <w:rFonts w:cs="Times"/>
        </w:rPr>
        <w:t>µ</w:t>
      </w:r>
      <w:r w:rsidRPr="00E1143F">
        <w:t>L min</w:t>
      </w:r>
      <w:r w:rsidRPr="00E1143F">
        <w:rPr>
          <w:vertAlign w:val="superscript"/>
        </w:rPr>
        <w:t>-1</w:t>
      </w:r>
      <w:r w:rsidRPr="00E1143F">
        <w:t xml:space="preserve"> using a peristaltic pump</w:t>
      </w:r>
      <w:r>
        <w:t xml:space="preserve">. The electrochemistry was controlled by a SP-300 potentiostat (Biologic). The electrolyte was either </w:t>
      </w:r>
      <w:r w:rsidRPr="00E1143F">
        <w:t>0.1</w:t>
      </w:r>
      <w:r>
        <w:t>0</w:t>
      </w:r>
      <w:r w:rsidRPr="00E1143F">
        <w:t xml:space="preserve"> M HClO</w:t>
      </w:r>
      <w:r w:rsidRPr="00E1143F">
        <w:rPr>
          <w:vertAlign w:val="subscript"/>
        </w:rPr>
        <w:t>4</w:t>
      </w:r>
      <w:r w:rsidRPr="00E1143F">
        <w:t xml:space="preserve">, </w:t>
      </w:r>
      <w:r>
        <w:t>(99.999</w:t>
      </w:r>
      <w:r w:rsidR="004B16A5">
        <w:t xml:space="preserve"> </w:t>
      </w:r>
      <w:r>
        <w:t>% trace metal basis</w:t>
      </w:r>
      <w:r w:rsidRPr="00E1143F">
        <w:t>, Merck)</w:t>
      </w:r>
      <w:r>
        <w:t xml:space="preserve"> at room temperature (26 </w:t>
      </w:r>
      <w:r>
        <w:rPr>
          <w:rFonts w:cs="Times"/>
        </w:rPr>
        <w:t>º</w:t>
      </w:r>
      <w:r>
        <w:t>C), 1.0</w:t>
      </w:r>
      <w:r w:rsidRPr="00E1143F">
        <w:t xml:space="preserve"> M HClO</w:t>
      </w:r>
      <w:r w:rsidRPr="00E1143F">
        <w:rPr>
          <w:vertAlign w:val="subscript"/>
        </w:rPr>
        <w:t>4</w:t>
      </w:r>
      <w:r>
        <w:t xml:space="preserve"> at room temperature (28 </w:t>
      </w:r>
      <w:r>
        <w:rPr>
          <w:rFonts w:cs="Times"/>
        </w:rPr>
        <w:t>º</w:t>
      </w:r>
      <w:r>
        <w:t>C) or 1.0</w:t>
      </w:r>
      <w:r w:rsidRPr="00E1143F">
        <w:t xml:space="preserve"> M HClO</w:t>
      </w:r>
      <w:r w:rsidRPr="00E1143F">
        <w:rPr>
          <w:vertAlign w:val="subscript"/>
        </w:rPr>
        <w:t>4</w:t>
      </w:r>
      <w:r>
        <w:t xml:space="preserve"> at 60 </w:t>
      </w:r>
      <w:r>
        <w:rPr>
          <w:rFonts w:cs="Times"/>
        </w:rPr>
        <w:t>º</w:t>
      </w:r>
      <w:r>
        <w:t xml:space="preserve">C (temperature at the cell outlet). In this last case, the electrolyte was heated prior entering the electrochemical cell (see </w:t>
      </w:r>
      <w:r w:rsidR="00F81914">
        <w:rPr>
          <w:b/>
        </w:rPr>
        <w:t>Picture S2</w:t>
      </w:r>
      <w:r>
        <w:t xml:space="preserve">). The potential shift of the Ag/AgCl reference electrode with temperature was calibrated </w:t>
      </w:r>
      <w:r>
        <w:rPr>
          <w:i/>
        </w:rPr>
        <w:t>in situ</w:t>
      </w:r>
      <w:r>
        <w:t xml:space="preserve"> by measuring the open circuit voltage of the Pt/C working electrode after hydrogen evolution in the cell. </w:t>
      </w:r>
      <w:r w:rsidRPr="00A26B1E">
        <w:rPr>
          <w:lang w:val="en-US"/>
        </w:rPr>
        <w:t xml:space="preserve">The flow cell was connected to an Agilent 7900 ICP-MS </w:t>
      </w:r>
      <w:r w:rsidRPr="00A26B1E">
        <w:rPr>
          <w:lang w:val="en-US"/>
        </w:rPr>
        <w:lastRenderedPageBreak/>
        <w:t xml:space="preserve">equipped with a </w:t>
      </w:r>
      <w:proofErr w:type="spellStart"/>
      <w:r w:rsidRPr="00A26B1E">
        <w:rPr>
          <w:lang w:val="en-US"/>
        </w:rPr>
        <w:t>Micromist</w:t>
      </w:r>
      <w:proofErr w:type="spellEnd"/>
      <w:r w:rsidRPr="00A26B1E">
        <w:rPr>
          <w:lang w:val="en-US"/>
        </w:rPr>
        <w:t xml:space="preserve">/Scott nebulizer. The </w:t>
      </w:r>
      <w:r w:rsidRPr="00A26B1E">
        <w:rPr>
          <w:vertAlign w:val="superscript"/>
          <w:lang w:val="en-US"/>
        </w:rPr>
        <w:t>195</w:t>
      </w:r>
      <w:r w:rsidRPr="00A26B1E">
        <w:rPr>
          <w:lang w:val="en-US"/>
        </w:rPr>
        <w:t xml:space="preserve">Pt metal ions were detected with 0.1 s integration time per point. Before each measurement, calibration curves were carried out using daily prepared standard solutions of </w:t>
      </w:r>
      <w:r w:rsidRPr="00A26B1E">
        <w:rPr>
          <w:vertAlign w:val="superscript"/>
          <w:lang w:val="en-US"/>
        </w:rPr>
        <w:t>195</w:t>
      </w:r>
      <w:r w:rsidRPr="00A26B1E">
        <w:rPr>
          <w:lang w:val="en-US"/>
        </w:rPr>
        <w:t>Pt (0, 10, 100, 1000 and 10000 ppt)</w:t>
      </w:r>
      <w:r>
        <w:rPr>
          <w:lang w:val="en-US"/>
        </w:rPr>
        <w:t xml:space="preserve">. The catalyst was conditioned also using </w:t>
      </w:r>
      <w:r>
        <w:t xml:space="preserve">50 cycles between 0.05 and 1.23 V </w:t>
      </w:r>
      <w:r>
        <w:rPr>
          <w:i/>
        </w:rPr>
        <w:t>vs</w:t>
      </w:r>
      <w:r>
        <w:t>. RHE at 500 mV s</w:t>
      </w:r>
      <w:r w:rsidRPr="00C37602">
        <w:rPr>
          <w:vertAlign w:val="superscript"/>
        </w:rPr>
        <w:t>-1</w:t>
      </w:r>
      <w:r>
        <w:t>. The associated Pt electrochemical surface area used for normalization of the ICP-MS data was measured separately using the CO</w:t>
      </w:r>
      <w:r w:rsidRPr="00A46732">
        <w:rPr>
          <w:vertAlign w:val="subscript"/>
        </w:rPr>
        <w:t>ads</w:t>
      </w:r>
      <w:r>
        <w:t xml:space="preserve"> stripping technique.</w:t>
      </w:r>
    </w:p>
    <w:p w14:paraId="2BFE09FC" w14:textId="0D24BCF9" w:rsidR="00F356B4" w:rsidRPr="00956A93" w:rsidRDefault="00F356B4" w:rsidP="00F356B4">
      <w:pPr>
        <w:rPr>
          <w:lang w:val="en-US"/>
        </w:rPr>
      </w:pPr>
      <w:bookmarkStart w:id="2" w:name="_Hlk145479332"/>
      <w:bookmarkEnd w:id="1"/>
      <w:r w:rsidRPr="00100D6C">
        <w:rPr>
          <w:b/>
          <w:lang w:val="en-US"/>
        </w:rPr>
        <w:t xml:space="preserve">Computational details. </w:t>
      </w:r>
      <w:r w:rsidRPr="00100D6C">
        <w:rPr>
          <w:lang w:val="en-US"/>
        </w:rPr>
        <w:t xml:space="preserve">Periodic DFT calculations were performed using the Vienna </w:t>
      </w:r>
      <w:r w:rsidRPr="00100D6C">
        <w:rPr>
          <w:i/>
          <w:lang w:val="en-US"/>
        </w:rPr>
        <w:t>Ab Initio</w:t>
      </w:r>
      <w:r w:rsidRPr="00100D6C">
        <w:rPr>
          <w:lang w:val="en-US"/>
        </w:rPr>
        <w:t xml:space="preserve"> Simulation Package (VASP) </w:t>
      </w:r>
      <w:r w:rsidRPr="00100D6C">
        <w:rPr>
          <w:lang w:val="en-US"/>
        </w:rPr>
        <w:fldChar w:fldCharType="begin" w:fldLock="1"/>
      </w:r>
      <w:r w:rsidR="0039734E">
        <w:rPr>
          <w:lang w:val="en-US"/>
        </w:rPr>
        <w:instrText>ADDIN CSL_CITATION {"citationItems":[{"id":"ITEM-1","itemData":{"DOI":"10.1016/0927-0256(96)00008-0","ISBN":"0927-0256","ISSN":"09270256","PMID":"9984901","abstract":"We present a detailed description and comparison of algorithms for performing ab-initio quantum-mechanical calculations using pseudopotentials and a plane-wave basis set. We will discuss: (a) partial occupancies within the framework of the linear tetrahedron method and the finite temperature density-functional theory, (b) iterative methods for the diagonalization of the Konn-Sham Hamiltonian and a discussion of an efficient iterative method based on the ideas of Pulay's residual minimization, which is close to an order N2atomsscaling even for relatively large systems, (c) efficient Broyden-like and Pulay-like mixing methods for the charge density including a new special 'preconditioning' optimized for a plane-wave basis set, (d) conjugate gradient methods for minimizing the electronic free energy with respect to all degrees of freedom simultaneously. We have implemented these algorithms within a powerful package called VAMP (Vienna ab-initio molecular-dynamics package). The program and the techniques have been used successfully for a large number of different systems (liquid and amorphous semiconductors, liquid simple and transition metals, metallic and semi-conducting surfaces, phonons in simple metals, transition metals and semiconductors) and turned out to be very reliable.","author":[{"dropping-particle":"","family":"Kresse","given":"G.","non-dropping-particle":"","parse-names":false,"suffix":""},{"dropping-particle":"","family":"Furthmüller","given":"J.","non-dropping-particle":"","parse-names":false,"suffix":""}],"container-title":"Computational Materials Science","id":"ITEM-1","issue":"1","issued":{"date-parts":[["1996"]]},"page":"15-50","title":"Efficiency of ab-initio total energy calculations for metals and semiconductors using a plane-wave basis set","type":"article-journal","volume":"6"},"uris":["http://www.mendeley.com/documents/?uuid=6eef948c-1601-42eb-9645-59e047519478"]},{"id":"ITEM-2","itemData":{"DOI":"10.1103/PhysRevB.54.11169","ISSN":"0163-1829","author":[{"dropping-particle":"","family":"Kresse","given":"G.","non-dropping-particle":"","parse-names":false,"suffix":""},{"dropping-particle":"","family":"Furthmüller","given":"J.","non-dropping-particle":"","parse-names":false,"suffix":""}],"container-title":"Physical Review B","id":"ITEM-2","issue":"16","issued":{"date-parts":[["1996","10"]]},"page":"11169-11186","publisher":"American Physical Society","title":"Efficient iterative schemes for &lt;i&gt;ab initio&lt;/i&gt; total-energy calculations using a plane-wave basis set","type":"article-journal","volume":"54"},"uris":["http://www.mendeley.com/documents/?uuid=9f76e18f-961f-3391-9f4f-6dd6b59240d4","http://www.mendeley.com/documents/?uuid=835e638a-4008-4372-a1d6-24837d7af86d"]}],"mendeley":{"formattedCitation":"&lt;sup&gt;9,10&lt;/sup&gt;","plainTextFormattedCitation":"9,10","previouslyFormattedCitation":"&lt;sup&gt;49,50&lt;/sup&gt;"},"properties":{"noteIndex":0},"schema":"https://github.com/citation-style-language/schema/raw/master/csl-citation.json"}</w:instrText>
      </w:r>
      <w:r w:rsidRPr="00100D6C">
        <w:rPr>
          <w:lang w:val="en-US"/>
        </w:rPr>
        <w:fldChar w:fldCharType="separate"/>
      </w:r>
      <w:r w:rsidR="0039734E" w:rsidRPr="0039734E">
        <w:rPr>
          <w:noProof/>
          <w:vertAlign w:val="superscript"/>
          <w:lang w:val="en-US"/>
        </w:rPr>
        <w:t>9,10</w:t>
      </w:r>
      <w:r w:rsidRPr="00100D6C">
        <w:rPr>
          <w:lang w:val="en-US"/>
        </w:rPr>
        <w:fldChar w:fldCharType="end"/>
      </w:r>
      <w:r w:rsidRPr="00100D6C">
        <w:rPr>
          <w:lang w:val="en-US"/>
        </w:rPr>
        <w:t xml:space="preserve"> within the generalized gradient approximation (GGA) using PBE </w:t>
      </w:r>
      <w:r w:rsidRPr="00100D6C">
        <w:rPr>
          <w:lang w:val="en-US"/>
        </w:rPr>
        <w:fldChar w:fldCharType="begin" w:fldLock="1"/>
      </w:r>
      <w:r w:rsidR="0039734E">
        <w:rPr>
          <w:lang w:val="en-US"/>
        </w:rPr>
        <w:instrText>ADDIN CSL_CITATION {"citationItems":[{"id":"ITEM-1","itemData":{"DOI":"10.1103/PhysRevLett.77.3865","ISSN":"0031-9007","author":[{"dropping-particle":"","family":"Perdew","given":"J P","non-dropping-particle":"","parse-names":false,"suffix":""},{"dropping-particle":"","family":"Burke","given":"K","non-dropping-particle":"","parse-names":false,"suffix":""},{"dropping-particle":"","family":"Ernzerhof","given":"M","non-dropping-particle":"","parse-names":false,"suffix":""},{"dropping-particle":"","family":"Ernzerhof","given":"M","non-dropping-particle":"","parse-names":false,"suffix":""}],"container-title":"Physical Review Letters","id":"ITEM-1","issue":"18","issued":{"date-parts":[["1996"]]},"page":"3865","title":"Generalized gradient approximation made simple","type":"article-journal","volume":"77"},"uris":["http://www.mendeley.com/documents/?uuid=c334642c-c4dd-4070-8926-e4e0ca9afee3"]}],"mendeley":{"formattedCitation":"&lt;sup&gt;11&lt;/sup&gt;","plainTextFormattedCitation":"11","previouslyFormattedCitation":"&lt;sup&gt;51&lt;/sup&gt;"},"properties":{"noteIndex":0},"schema":"https://github.com/citation-style-language/schema/raw/master/csl-citation.json"}</w:instrText>
      </w:r>
      <w:r w:rsidRPr="00100D6C">
        <w:rPr>
          <w:lang w:val="en-US"/>
        </w:rPr>
        <w:fldChar w:fldCharType="separate"/>
      </w:r>
      <w:r w:rsidR="0039734E" w:rsidRPr="0039734E">
        <w:rPr>
          <w:noProof/>
          <w:vertAlign w:val="superscript"/>
          <w:lang w:val="en-US"/>
        </w:rPr>
        <w:t>11</w:t>
      </w:r>
      <w:r w:rsidRPr="00100D6C">
        <w:rPr>
          <w:lang w:val="en-US"/>
        </w:rPr>
        <w:fldChar w:fldCharType="end"/>
      </w:r>
      <w:r w:rsidRPr="00100D6C">
        <w:rPr>
          <w:lang w:val="en-US"/>
        </w:rPr>
        <w:t xml:space="preserve"> functional for  exchange and correlation potential and projector augmented wave pseudopotentials (PAW) </w:t>
      </w:r>
      <w:r w:rsidRPr="00100D6C">
        <w:rPr>
          <w:lang w:val="en-US"/>
        </w:rPr>
        <w:fldChar w:fldCharType="begin" w:fldLock="1"/>
      </w:r>
      <w:r w:rsidR="0039734E">
        <w:rPr>
          <w:lang w:val="en-US"/>
        </w:rPr>
        <w:instrText>ADDIN CSL_CITATION {"citationItems":[{"id":"ITEM-1","itemData":{"DOI":"10.1103/PhysRevB.59.1758","ISSN":"0163-1829","author":[{"dropping-particle":"","family":"Kresse","given":"G.","non-dropping-particle":"","parse-names":false,"suffix":""},{"dropping-particle":"","family":"Joubert","given":"D.","non-dropping-particle":"","parse-names":false,"suffix":""}],"container-title":"Physical Review B","id":"ITEM-1","issue":"3","issued":{"date-parts":[["1999","1","15"]]},"page":"1758-1775","title":"From ultrasoft pseudopotentials to the projector augmented-wave method","type":"article-journal","volume":"59"},"uris":["http://www.mendeley.com/documents/?uuid=1bac09ce-b4c1-4c59-b675-3f95716e995c"]}],"mendeley":{"formattedCitation":"&lt;sup&gt;12&lt;/sup&gt;","plainTextFormattedCitation":"12","previouslyFormattedCitation":"&lt;sup&gt;52&lt;/sup&gt;"},"properties":{"noteIndex":0},"schema":"https://github.com/citation-style-language/schema/raw/master/csl-citation.json"}</w:instrText>
      </w:r>
      <w:r w:rsidRPr="00100D6C">
        <w:rPr>
          <w:lang w:val="en-US"/>
        </w:rPr>
        <w:fldChar w:fldCharType="separate"/>
      </w:r>
      <w:r w:rsidR="0039734E" w:rsidRPr="0039734E">
        <w:rPr>
          <w:noProof/>
          <w:vertAlign w:val="superscript"/>
          <w:lang w:val="en-US"/>
        </w:rPr>
        <w:t>12</w:t>
      </w:r>
      <w:r w:rsidRPr="00100D6C">
        <w:rPr>
          <w:lang w:val="en-US"/>
        </w:rPr>
        <w:fldChar w:fldCharType="end"/>
      </w:r>
      <w:r w:rsidRPr="00100D6C">
        <w:rPr>
          <w:lang w:val="en-US"/>
        </w:rPr>
        <w:t xml:space="preserve"> with a cut-off energy of 450 eV. 201 Pt atoms truncated-octahedral clusters were computed with up to 192 hydrogen atom and 120 oxygen atoms adsorbed on their facets. H atoms were adsorbed on all hcp sites of the {111} facets and on all residual bridge sites of both </w:t>
      </w:r>
      <w:proofErr w:type="gramStart"/>
      <w:r w:rsidRPr="00100D6C">
        <w:rPr>
          <w:lang w:val="en-US"/>
        </w:rPr>
        <w:t>edges</w:t>
      </w:r>
      <w:proofErr w:type="gramEnd"/>
      <w:r w:rsidRPr="00100D6C">
        <w:rPr>
          <w:lang w:val="en-US"/>
        </w:rPr>
        <w:t xml:space="preserve"> sites and {110} facets. O atoms were adsorbed on the most stable </w:t>
      </w:r>
      <w:proofErr w:type="spellStart"/>
      <w:r w:rsidRPr="00100D6C">
        <w:rPr>
          <w:i/>
          <w:lang w:val="en-US"/>
        </w:rPr>
        <w:t>fcc</w:t>
      </w:r>
      <w:proofErr w:type="spellEnd"/>
      <w:r w:rsidRPr="00100D6C">
        <w:rPr>
          <w:lang w:val="en-US"/>
        </w:rPr>
        <w:t xml:space="preserve"> sites of the {111} facets and 4 more O atoms were adsorbed on the {100} ones converging into a threefold-like site. They were set in 2.8x2.8x2.8 nm</w:t>
      </w:r>
      <w:r w:rsidRPr="00100D6C">
        <w:rPr>
          <w:vertAlign w:val="superscript"/>
          <w:lang w:val="en-US"/>
        </w:rPr>
        <w:t>3</w:t>
      </w:r>
      <w:r w:rsidRPr="00100D6C">
        <w:rPr>
          <w:lang w:val="en-US"/>
        </w:rPr>
        <w:t xml:space="preserve"> cubic unit cell. The intermolecular facet distances between periodic surfaces were larger than 9 Å. Gamma point calculations were used and structural relaxations were performed on all atoms. The residual forces after structural relaxation were lower than 0.01 eV/Å. Simulated diffraction patterns were obtained by Diamond code.</w:t>
      </w:r>
      <w:bookmarkEnd w:id="2"/>
    </w:p>
    <w:p w14:paraId="2F0BFEC1" w14:textId="77777777" w:rsidR="008C4B57" w:rsidRPr="00836E7C" w:rsidRDefault="008C4B57" w:rsidP="008C4B57">
      <w:pPr>
        <w:rPr>
          <w:lang w:val="en-US"/>
        </w:rPr>
      </w:pPr>
    </w:p>
    <w:p w14:paraId="2836D951" w14:textId="5B3BC587" w:rsidR="00AF49A5" w:rsidRPr="008C4B57" w:rsidRDefault="00AF49A5" w:rsidP="000B5610">
      <w:pPr>
        <w:pStyle w:val="TFReferencesSection"/>
        <w:spacing w:after="0"/>
        <w:ind w:firstLine="0"/>
        <w:rPr>
          <w:lang w:val="en-US"/>
        </w:rPr>
      </w:pPr>
    </w:p>
    <w:p w14:paraId="1F15A25D" w14:textId="77777777" w:rsidR="00AF49A5" w:rsidRPr="00862563" w:rsidRDefault="00AF49A5" w:rsidP="000B5610">
      <w:pPr>
        <w:pStyle w:val="TFReferencesSection"/>
        <w:spacing w:after="0"/>
        <w:ind w:firstLine="0"/>
        <w:rPr>
          <w:lang w:val="en-US"/>
        </w:rPr>
      </w:pPr>
    </w:p>
    <w:p w14:paraId="3B2A34F3" w14:textId="47216193" w:rsidR="00CE3160" w:rsidRDefault="00E42691" w:rsidP="00CE3160">
      <w:pPr>
        <w:pStyle w:val="TFReferencesSection"/>
        <w:keepNext/>
        <w:spacing w:after="0"/>
        <w:ind w:firstLine="0"/>
      </w:pPr>
      <w:r w:rsidRPr="00E42691">
        <w:rPr>
          <w:noProof/>
        </w:rPr>
        <w:lastRenderedPageBreak/>
        <w:drawing>
          <wp:inline distT="0" distB="0" distL="0" distR="0" wp14:anchorId="4BA8B384" wp14:editId="083428CF">
            <wp:extent cx="5943600" cy="2357934"/>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3600" cy="2357934"/>
                    </a:xfrm>
                    <a:prstGeom prst="rect">
                      <a:avLst/>
                    </a:prstGeom>
                    <a:noFill/>
                    <a:ln>
                      <a:noFill/>
                    </a:ln>
                  </pic:spPr>
                </pic:pic>
              </a:graphicData>
            </a:graphic>
          </wp:inline>
        </w:drawing>
      </w:r>
    </w:p>
    <w:p w14:paraId="1D39BE55" w14:textId="1F2A858A" w:rsidR="007A7030" w:rsidRDefault="00CE3160" w:rsidP="00CE3160">
      <w:pPr>
        <w:pStyle w:val="Caption"/>
        <w:rPr>
          <w:i w:val="0"/>
        </w:rPr>
      </w:pPr>
      <w:r w:rsidRPr="00CE3160">
        <w:rPr>
          <w:b/>
          <w:i w:val="0"/>
        </w:rPr>
        <w:t xml:space="preserve">Supplementary Picture </w:t>
      </w:r>
      <w:r w:rsidR="006233F5">
        <w:rPr>
          <w:b/>
          <w:i w:val="0"/>
        </w:rPr>
        <w:t>S</w:t>
      </w:r>
      <w:r w:rsidRPr="00CE3160">
        <w:rPr>
          <w:b/>
          <w:i w:val="0"/>
        </w:rPr>
        <w:t xml:space="preserve">1: Setups for </w:t>
      </w:r>
      <w:r w:rsidRPr="00CE3160">
        <w:rPr>
          <w:b/>
        </w:rPr>
        <w:t>operando</w:t>
      </w:r>
      <w:r w:rsidRPr="00CE3160">
        <w:rPr>
          <w:b/>
          <w:i w:val="0"/>
        </w:rPr>
        <w:t xml:space="preserve"> high energy X-ray scattering</w:t>
      </w:r>
      <w:r w:rsidR="00BC19B8">
        <w:rPr>
          <w:b/>
          <w:i w:val="0"/>
        </w:rPr>
        <w:t xml:space="preserve"> experiments</w:t>
      </w:r>
      <w:r>
        <w:rPr>
          <w:i w:val="0"/>
        </w:rPr>
        <w:t xml:space="preserve">. a) X-ray transparent PEMFC and b) thin-film </w:t>
      </w:r>
      <w:r w:rsidR="00E42691">
        <w:rPr>
          <w:i w:val="0"/>
        </w:rPr>
        <w:t xml:space="preserve">electrochemical </w:t>
      </w:r>
      <w:r>
        <w:rPr>
          <w:i w:val="0"/>
        </w:rPr>
        <w:t>flow cell.</w:t>
      </w:r>
    </w:p>
    <w:p w14:paraId="2B8D398C" w14:textId="77777777" w:rsidR="00255076" w:rsidRPr="00255076" w:rsidRDefault="00255076" w:rsidP="00255076"/>
    <w:p w14:paraId="4212798E" w14:textId="6EC303BF" w:rsidR="00255076" w:rsidRDefault="00D74B7E" w:rsidP="00255076">
      <w:pPr>
        <w:pStyle w:val="TFReferencesSection"/>
        <w:keepNext/>
        <w:spacing w:after="0"/>
        <w:ind w:firstLine="0"/>
      </w:pPr>
      <w:r>
        <w:rPr>
          <w:noProof/>
        </w:rPr>
        <w:drawing>
          <wp:inline distT="0" distB="0" distL="0" distR="0" wp14:anchorId="76FD4A32" wp14:editId="55746E94">
            <wp:extent cx="5944235" cy="396303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4235" cy="3963035"/>
                    </a:xfrm>
                    <a:prstGeom prst="rect">
                      <a:avLst/>
                    </a:prstGeom>
                    <a:noFill/>
                  </pic:spPr>
                </pic:pic>
              </a:graphicData>
            </a:graphic>
          </wp:inline>
        </w:drawing>
      </w:r>
    </w:p>
    <w:p w14:paraId="759AC8EB" w14:textId="10E9A37E" w:rsidR="00CE3160" w:rsidRPr="00255076" w:rsidRDefault="00255076" w:rsidP="00255076">
      <w:pPr>
        <w:pStyle w:val="Caption"/>
        <w:rPr>
          <w:b/>
          <w:i w:val="0"/>
          <w:sz w:val="24"/>
        </w:rPr>
      </w:pPr>
      <w:r w:rsidRPr="00255076">
        <w:rPr>
          <w:b/>
          <w:i w:val="0"/>
        </w:rPr>
        <w:t xml:space="preserve">Supplementary </w:t>
      </w:r>
      <w:r>
        <w:rPr>
          <w:b/>
          <w:i w:val="0"/>
        </w:rPr>
        <w:t>P</w:t>
      </w:r>
      <w:r w:rsidRPr="00255076">
        <w:rPr>
          <w:b/>
          <w:i w:val="0"/>
        </w:rPr>
        <w:t>icture S2</w:t>
      </w:r>
      <w:r w:rsidRPr="00255076">
        <w:rPr>
          <w:i w:val="0"/>
        </w:rPr>
        <w:t>: Setup for the electrochemical on-line ICP-MS experiment at controlled temperature</w:t>
      </w:r>
    </w:p>
    <w:p w14:paraId="05BC81E5" w14:textId="331B874D" w:rsidR="00FF6CC5" w:rsidRDefault="00C82447" w:rsidP="00C82447">
      <w:pPr>
        <w:keepNext/>
        <w:jc w:val="center"/>
      </w:pPr>
      <w:r w:rsidRPr="00C82447">
        <w:rPr>
          <w:noProof/>
        </w:rPr>
        <w:lastRenderedPageBreak/>
        <w:drawing>
          <wp:inline distT="0" distB="0" distL="0" distR="0" wp14:anchorId="37F129A4" wp14:editId="7E5162EF">
            <wp:extent cx="5943600" cy="4546222"/>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4546222"/>
                    </a:xfrm>
                    <a:prstGeom prst="rect">
                      <a:avLst/>
                    </a:prstGeom>
                    <a:noFill/>
                    <a:ln>
                      <a:noFill/>
                    </a:ln>
                  </pic:spPr>
                </pic:pic>
              </a:graphicData>
            </a:graphic>
          </wp:inline>
        </w:drawing>
      </w:r>
    </w:p>
    <w:p w14:paraId="6789C596" w14:textId="47D0E635" w:rsidR="00863376" w:rsidRPr="00C82447" w:rsidRDefault="00AF49A5" w:rsidP="00FF6CC5">
      <w:pPr>
        <w:pStyle w:val="Caption"/>
      </w:pPr>
      <w:r>
        <w:rPr>
          <w:b/>
          <w:i w:val="0"/>
        </w:rPr>
        <w:t xml:space="preserve">Supplementary </w:t>
      </w:r>
      <w:r w:rsidR="00FF6CC5" w:rsidRPr="00FF6CC5">
        <w:rPr>
          <w:b/>
          <w:i w:val="0"/>
        </w:rPr>
        <w:t xml:space="preserve">Figure S1: </w:t>
      </w:r>
      <w:r w:rsidR="00C82447" w:rsidRPr="00C82447">
        <w:rPr>
          <w:b/>
          <w:i w:val="0"/>
        </w:rPr>
        <w:t>Effect of the used WAXS data processing on the refinement of Pt/C structural parameters during cyclic voltammetry at 1000 mV s</w:t>
      </w:r>
      <w:r w:rsidR="00C82447" w:rsidRPr="00C82447">
        <w:rPr>
          <w:b/>
          <w:i w:val="0"/>
          <w:vertAlign w:val="superscript"/>
        </w:rPr>
        <w:t>-1</w:t>
      </w:r>
      <w:r w:rsidR="00C82447">
        <w:rPr>
          <w:i w:val="0"/>
        </w:rPr>
        <w:t xml:space="preserve">. a) example of raw </w:t>
      </w:r>
      <w:r w:rsidR="00C82447">
        <w:t xml:space="preserve">vs. </w:t>
      </w:r>
      <w:r w:rsidR="00C82447" w:rsidRPr="00C82447">
        <w:rPr>
          <w:i w:val="0"/>
        </w:rPr>
        <w:t>reconstructed patterns</w:t>
      </w:r>
      <w:r w:rsidR="00C82447">
        <w:rPr>
          <w:i w:val="0"/>
        </w:rPr>
        <w:t xml:space="preserve">, refined </w:t>
      </w:r>
      <w:r w:rsidR="00565FBE">
        <w:rPr>
          <w:i w:val="0"/>
        </w:rPr>
        <w:t xml:space="preserve">b) </w:t>
      </w:r>
      <w:r w:rsidR="00C82447">
        <w:rPr>
          <w:i w:val="0"/>
        </w:rPr>
        <w:t xml:space="preserve">lattice constant and c) scale factor from raw patterns, refined </w:t>
      </w:r>
      <w:r w:rsidR="00565FBE">
        <w:rPr>
          <w:i w:val="0"/>
        </w:rPr>
        <w:t xml:space="preserve">d) </w:t>
      </w:r>
      <w:r w:rsidR="00C82447">
        <w:rPr>
          <w:i w:val="0"/>
        </w:rPr>
        <w:t>lattice constant and e) scale factor from reconstructed pattern</w:t>
      </w:r>
      <w:r w:rsidR="008948E9">
        <w:rPr>
          <w:i w:val="0"/>
        </w:rPr>
        <w:t>s using similar refinement model.</w:t>
      </w:r>
    </w:p>
    <w:p w14:paraId="1CA50D37" w14:textId="02F8C309" w:rsidR="00AF49A5" w:rsidRDefault="00AF49A5" w:rsidP="00AF49A5"/>
    <w:p w14:paraId="4F0FE827" w14:textId="65A6ADF2" w:rsidR="00565FBE" w:rsidRDefault="00565FBE" w:rsidP="00565FBE">
      <w:pPr>
        <w:keepNext/>
      </w:pPr>
      <w:r w:rsidRPr="00565FBE">
        <w:rPr>
          <w:noProof/>
        </w:rPr>
        <w:lastRenderedPageBreak/>
        <w:drawing>
          <wp:inline distT="0" distB="0" distL="0" distR="0" wp14:anchorId="166EE306" wp14:editId="6EE85E08">
            <wp:extent cx="5943600" cy="378968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442" t="8369" r="4800" b="9485"/>
                    <a:stretch/>
                  </pic:blipFill>
                  <pic:spPr bwMode="auto">
                    <a:xfrm>
                      <a:off x="0" y="0"/>
                      <a:ext cx="5943600" cy="3789680"/>
                    </a:xfrm>
                    <a:prstGeom prst="rect">
                      <a:avLst/>
                    </a:prstGeom>
                    <a:noFill/>
                    <a:ln>
                      <a:noFill/>
                    </a:ln>
                    <a:extLst>
                      <a:ext uri="{53640926-AAD7-44D8-BBD7-CCE9431645EC}">
                        <a14:shadowObscured xmlns:a14="http://schemas.microsoft.com/office/drawing/2010/main"/>
                      </a:ext>
                    </a:extLst>
                  </pic:spPr>
                </pic:pic>
              </a:graphicData>
            </a:graphic>
          </wp:inline>
        </w:drawing>
      </w:r>
    </w:p>
    <w:p w14:paraId="1C5EF1C2" w14:textId="64E3331D" w:rsidR="00AF49A5" w:rsidRDefault="00565FBE" w:rsidP="00565FBE">
      <w:pPr>
        <w:pStyle w:val="Caption"/>
        <w:rPr>
          <w:i w:val="0"/>
        </w:rPr>
      </w:pPr>
      <w:r w:rsidRPr="00565FBE">
        <w:rPr>
          <w:b/>
          <w:i w:val="0"/>
        </w:rPr>
        <w:t xml:space="preserve">Supplementary Figure S2: </w:t>
      </w:r>
      <w:r w:rsidR="008948E9">
        <w:rPr>
          <w:b/>
          <w:i w:val="0"/>
        </w:rPr>
        <w:t xml:space="preserve">calculated </w:t>
      </w:r>
      <w:r w:rsidR="008948E9">
        <w:rPr>
          <w:b/>
        </w:rPr>
        <w:t xml:space="preserve">vs. </w:t>
      </w:r>
      <w:r w:rsidR="008948E9">
        <w:rPr>
          <w:b/>
          <w:i w:val="0"/>
        </w:rPr>
        <w:t xml:space="preserve">observed diffraction patterns of Pt nanoparticles covered with adsorbed hydrogen or oxygen. </w:t>
      </w:r>
      <w:r w:rsidR="008948E9">
        <w:rPr>
          <w:i w:val="0"/>
        </w:rPr>
        <w:t>a) calculated patterns b) recorded patterns, Pt-201 model of nanoparticle covered with c) oxygen, d) free of adsorbate and e) covered with hydrogen.</w:t>
      </w:r>
    </w:p>
    <w:p w14:paraId="3A4BC9E2" w14:textId="787D395C" w:rsidR="00BC19B8" w:rsidRDefault="00433F23" w:rsidP="00BC19B8">
      <w:pPr>
        <w:pStyle w:val="TFReferencesSection"/>
        <w:keepNext/>
        <w:spacing w:after="0"/>
        <w:ind w:firstLine="0"/>
      </w:pPr>
      <w:r w:rsidRPr="00433F23">
        <w:rPr>
          <w:noProof/>
        </w:rPr>
        <w:lastRenderedPageBreak/>
        <w:drawing>
          <wp:inline distT="0" distB="0" distL="0" distR="0" wp14:anchorId="37FBA795" wp14:editId="2B801ABA">
            <wp:extent cx="5943600" cy="454537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4545379"/>
                    </a:xfrm>
                    <a:prstGeom prst="rect">
                      <a:avLst/>
                    </a:prstGeom>
                    <a:noFill/>
                    <a:ln>
                      <a:noFill/>
                    </a:ln>
                  </pic:spPr>
                </pic:pic>
              </a:graphicData>
            </a:graphic>
          </wp:inline>
        </w:drawing>
      </w:r>
    </w:p>
    <w:p w14:paraId="088CB06E" w14:textId="57A559C3" w:rsidR="00BC19B8" w:rsidRPr="00416F54" w:rsidRDefault="00BC19B8" w:rsidP="00BC19B8">
      <w:pPr>
        <w:pStyle w:val="Caption"/>
        <w:rPr>
          <w:b/>
          <w:i w:val="0"/>
          <w:sz w:val="24"/>
        </w:rPr>
      </w:pPr>
      <w:r w:rsidRPr="00416F54">
        <w:rPr>
          <w:b/>
          <w:i w:val="0"/>
        </w:rPr>
        <w:t>Supplementary Figure S</w:t>
      </w:r>
      <w:r>
        <w:rPr>
          <w:b/>
          <w:i w:val="0"/>
        </w:rPr>
        <w:t>3</w:t>
      </w:r>
      <w:r w:rsidRPr="00416F54">
        <w:rPr>
          <w:b/>
          <w:i w:val="0"/>
        </w:rPr>
        <w:t>: MEA performance in PEMFC</w:t>
      </w:r>
      <w:r w:rsidRPr="00416F54">
        <w:rPr>
          <w:i w:val="0"/>
        </w:rPr>
        <w:t xml:space="preserve">. a) </w:t>
      </w:r>
      <w:r>
        <w:rPr>
          <w:i w:val="0"/>
        </w:rPr>
        <w:t>cyclic voltammogram recorded at 50 mV s</w:t>
      </w:r>
      <w:r w:rsidRPr="00416F54">
        <w:rPr>
          <w:i w:val="0"/>
          <w:vertAlign w:val="superscript"/>
        </w:rPr>
        <w:t>-1</w:t>
      </w:r>
      <w:r>
        <w:rPr>
          <w:i w:val="0"/>
        </w:rPr>
        <w:t xml:space="preserve"> in H</w:t>
      </w:r>
      <w:r w:rsidRPr="00416F54">
        <w:rPr>
          <w:i w:val="0"/>
          <w:vertAlign w:val="subscript"/>
        </w:rPr>
        <w:t>2</w:t>
      </w:r>
      <w:r>
        <w:rPr>
          <w:i w:val="0"/>
        </w:rPr>
        <w:t>/N</w:t>
      </w:r>
      <w:r w:rsidRPr="00416F54">
        <w:rPr>
          <w:i w:val="0"/>
          <w:vertAlign w:val="subscript"/>
        </w:rPr>
        <w:t>2</w:t>
      </w:r>
      <w:r>
        <w:rPr>
          <w:i w:val="0"/>
          <w:vertAlign w:val="subscript"/>
        </w:rPr>
        <w:t xml:space="preserve">. </w:t>
      </w:r>
      <w:r>
        <w:rPr>
          <w:i w:val="0"/>
        </w:rPr>
        <w:t>b) current density (left axis, solid markers) and power density (right axis, hollow markers) recorded during polarization curve in H</w:t>
      </w:r>
      <w:r w:rsidRPr="00416F54">
        <w:rPr>
          <w:i w:val="0"/>
          <w:vertAlign w:val="subscript"/>
        </w:rPr>
        <w:t>2</w:t>
      </w:r>
      <w:r>
        <w:rPr>
          <w:i w:val="0"/>
        </w:rPr>
        <w:t>/O</w:t>
      </w:r>
      <w:r w:rsidRPr="00416F54">
        <w:rPr>
          <w:i w:val="0"/>
          <w:vertAlign w:val="subscript"/>
        </w:rPr>
        <w:t>2</w:t>
      </w:r>
      <w:r>
        <w:rPr>
          <w:i w:val="0"/>
          <w:vertAlign w:val="subscript"/>
        </w:rPr>
        <w:t xml:space="preserve"> </w:t>
      </w:r>
      <w:r>
        <w:rPr>
          <w:i w:val="0"/>
        </w:rPr>
        <w:t xml:space="preserve">after 3 min stabilization per point. The cell </w:t>
      </w:r>
      <w:r w:rsidRPr="00416F54">
        <w:rPr>
          <w:i w:val="0"/>
        </w:rPr>
        <w:t xml:space="preserve">operated at 80 °C with </w:t>
      </w:r>
      <w:r w:rsidR="007526B3">
        <w:rPr>
          <w:i w:val="0"/>
        </w:rPr>
        <w:t>313</w:t>
      </w:r>
      <w:r w:rsidRPr="00416F54">
        <w:rPr>
          <w:i w:val="0"/>
        </w:rPr>
        <w:t>/496 sccm at anode/cathode, 80 °C dewpoint (100 % relative humidity) and 500 mbar backpressure with a house-made test bench</w:t>
      </w:r>
      <w:r>
        <w:rPr>
          <w:i w:val="0"/>
        </w:rPr>
        <w:t>.</w:t>
      </w:r>
      <w:r w:rsidR="00433F23">
        <w:rPr>
          <w:i w:val="0"/>
        </w:rPr>
        <w:t xml:space="preserve"> In b), the markers and error bars correspond to the average and standard deviation values, respectively, of two independent measurements.</w:t>
      </w:r>
    </w:p>
    <w:p w14:paraId="7B2CD505" w14:textId="01F519D4" w:rsidR="0023060A" w:rsidRDefault="0023060A" w:rsidP="0023060A"/>
    <w:p w14:paraId="169D2F90" w14:textId="52E234FF" w:rsidR="00651162" w:rsidRPr="00651162" w:rsidRDefault="00651162" w:rsidP="00651162">
      <w:pPr>
        <w:pStyle w:val="Caption"/>
        <w:jc w:val="center"/>
      </w:pPr>
    </w:p>
    <w:p w14:paraId="4B6BA437" w14:textId="77777777" w:rsidR="00862563" w:rsidRDefault="00862563" w:rsidP="00862563">
      <w:pPr>
        <w:keepNext/>
      </w:pPr>
      <w:r w:rsidRPr="00862563">
        <w:rPr>
          <w:noProof/>
        </w:rPr>
        <w:lastRenderedPageBreak/>
        <w:drawing>
          <wp:inline distT="0" distB="0" distL="0" distR="0" wp14:anchorId="7F7DAE47" wp14:editId="15685381">
            <wp:extent cx="5943600" cy="4143903"/>
            <wp:effectExtent l="0" t="0" r="0" b="0"/>
            <wp:docPr id="8" name="Picture 7">
              <a:extLst xmlns:a="http://schemas.openxmlformats.org/drawingml/2006/main">
                <a:ext uri="{FF2B5EF4-FFF2-40B4-BE49-F238E27FC236}">
                  <a16:creationId xmlns:a16="http://schemas.microsoft.com/office/drawing/2014/main" id="{4F5F6401-AEA7-462D-8FE3-7A9E0C4A9B8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4F5F6401-AEA7-462D-8FE3-7A9E0C4A9B83}"/>
                        </a:ext>
                      </a:extLst>
                    </pic:cNvPr>
                    <pic:cNvPicPr>
                      <a:picLocks noChangeAspect="1"/>
                    </pic:cNvPicPr>
                  </pic:nvPicPr>
                  <pic:blipFill rotWithShape="1">
                    <a:blip r:embed="rId13"/>
                    <a:srcRect l="8364" t="4156" r="19618" b="53333"/>
                    <a:stretch/>
                  </pic:blipFill>
                  <pic:spPr>
                    <a:xfrm>
                      <a:off x="0" y="0"/>
                      <a:ext cx="5943600" cy="4143903"/>
                    </a:xfrm>
                    <a:prstGeom prst="rect">
                      <a:avLst/>
                    </a:prstGeom>
                  </pic:spPr>
                </pic:pic>
              </a:graphicData>
            </a:graphic>
          </wp:inline>
        </w:drawing>
      </w:r>
    </w:p>
    <w:p w14:paraId="20A0871A" w14:textId="6F21AF8B" w:rsidR="008948E9" w:rsidRPr="00E570A4" w:rsidRDefault="00862563" w:rsidP="00862563">
      <w:pPr>
        <w:pStyle w:val="Caption"/>
        <w:rPr>
          <w:i w:val="0"/>
        </w:rPr>
      </w:pPr>
      <w:r w:rsidRPr="00E570A4">
        <w:rPr>
          <w:b/>
          <w:i w:val="0"/>
        </w:rPr>
        <w:t>Supplementary Figure S</w:t>
      </w:r>
      <w:r w:rsidR="00056D91">
        <w:rPr>
          <w:b/>
          <w:i w:val="0"/>
        </w:rPr>
        <w:t>4</w:t>
      </w:r>
      <w:r w:rsidRPr="00E570A4">
        <w:rPr>
          <w:i w:val="0"/>
        </w:rPr>
        <w:t xml:space="preserve">: </w:t>
      </w:r>
      <w:r w:rsidR="00E570A4" w:rsidRPr="00E570A4">
        <w:rPr>
          <w:i w:val="0"/>
        </w:rPr>
        <w:t>Fits associated to the surface crystallinity loss or recovery during oxidation and reduction in both PEMFC and thin-film electrochemical cells.</w:t>
      </w:r>
    </w:p>
    <w:p w14:paraId="6B5B9E27" w14:textId="77777777" w:rsidR="00F567A3" w:rsidRDefault="00F567A3" w:rsidP="00F567A3">
      <w:pPr>
        <w:keepNext/>
        <w:jc w:val="center"/>
      </w:pPr>
      <w:r w:rsidRPr="00F567A3">
        <w:rPr>
          <w:noProof/>
        </w:rPr>
        <w:lastRenderedPageBreak/>
        <w:drawing>
          <wp:inline distT="0" distB="0" distL="0" distR="0" wp14:anchorId="66CFFF29" wp14:editId="304D4C28">
            <wp:extent cx="5943600" cy="455254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4552545"/>
                    </a:xfrm>
                    <a:prstGeom prst="rect">
                      <a:avLst/>
                    </a:prstGeom>
                    <a:noFill/>
                    <a:ln>
                      <a:noFill/>
                    </a:ln>
                  </pic:spPr>
                </pic:pic>
              </a:graphicData>
            </a:graphic>
          </wp:inline>
        </w:drawing>
      </w:r>
    </w:p>
    <w:p w14:paraId="0DDF2816" w14:textId="2C63F1A4" w:rsidR="00BA008F" w:rsidRDefault="00F567A3" w:rsidP="00F567A3">
      <w:pPr>
        <w:pStyle w:val="Caption"/>
        <w:jc w:val="center"/>
        <w:rPr>
          <w:i w:val="0"/>
        </w:rPr>
      </w:pPr>
      <w:r w:rsidRPr="00F567A3">
        <w:rPr>
          <w:b/>
          <w:i w:val="0"/>
        </w:rPr>
        <w:t xml:space="preserve">Supplementary Figure </w:t>
      </w:r>
      <w:r w:rsidR="00BC19B8">
        <w:rPr>
          <w:b/>
          <w:i w:val="0"/>
        </w:rPr>
        <w:t>S</w:t>
      </w:r>
      <w:r w:rsidR="00056D91">
        <w:rPr>
          <w:b/>
          <w:i w:val="0"/>
        </w:rPr>
        <w:t>5</w:t>
      </w:r>
      <w:r w:rsidRPr="00F567A3">
        <w:rPr>
          <w:i w:val="0"/>
        </w:rPr>
        <w:t xml:space="preserve">: Estimation of the double-layer capacitance </w:t>
      </w:r>
      <w:r w:rsidRPr="00F567A3">
        <w:t>C</w:t>
      </w:r>
      <w:r w:rsidRPr="00F567A3">
        <w:rPr>
          <w:vertAlign w:val="subscript"/>
        </w:rPr>
        <w:t>DL</w:t>
      </w:r>
      <w:r w:rsidRPr="00F567A3">
        <w:rPr>
          <w:i w:val="0"/>
        </w:rPr>
        <w:t xml:space="preserve"> from linear regression of double-layer current</w:t>
      </w:r>
      <w:r>
        <w:rPr>
          <w:i w:val="0"/>
        </w:rPr>
        <w:t>s</w:t>
      </w:r>
      <w:r w:rsidRPr="00F567A3">
        <w:rPr>
          <w:i w:val="0"/>
        </w:rPr>
        <w:t xml:space="preserve"> measured at </w:t>
      </w:r>
      <w:r w:rsidRPr="00F567A3">
        <w:t>E</w:t>
      </w:r>
      <w:r w:rsidRPr="00F567A3">
        <w:rPr>
          <w:i w:val="0"/>
        </w:rPr>
        <w:t xml:space="preserve"> = 0.40 V </w:t>
      </w:r>
      <w:r w:rsidRPr="00F567A3">
        <w:t>vs</w:t>
      </w:r>
      <w:r w:rsidRPr="00F567A3">
        <w:rPr>
          <w:i w:val="0"/>
        </w:rPr>
        <w:t>. RHE</w:t>
      </w:r>
      <w:r>
        <w:rPr>
          <w:i w:val="0"/>
        </w:rPr>
        <w:t xml:space="preserve"> at different potential sweep rates for a) the thin-film flow cell and b) the PEMFC.</w:t>
      </w:r>
    </w:p>
    <w:p w14:paraId="32D1C577" w14:textId="34913056" w:rsidR="00056D91" w:rsidRDefault="00056D91" w:rsidP="00056D91"/>
    <w:p w14:paraId="09D847F9" w14:textId="77777777" w:rsidR="00056D91" w:rsidRDefault="00056D91" w:rsidP="00056D91">
      <w:pPr>
        <w:keepNext/>
        <w:jc w:val="center"/>
      </w:pPr>
      <w:r w:rsidRPr="0023060A">
        <w:rPr>
          <w:noProof/>
        </w:rPr>
        <w:lastRenderedPageBreak/>
        <w:drawing>
          <wp:inline distT="0" distB="0" distL="0" distR="0" wp14:anchorId="54C4231B" wp14:editId="03839E26">
            <wp:extent cx="4162425" cy="5009515"/>
            <wp:effectExtent l="0" t="0" r="0"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r="29962"/>
                    <a:stretch/>
                  </pic:blipFill>
                  <pic:spPr bwMode="auto">
                    <a:xfrm>
                      <a:off x="0" y="0"/>
                      <a:ext cx="4162748" cy="5009904"/>
                    </a:xfrm>
                    <a:prstGeom prst="rect">
                      <a:avLst/>
                    </a:prstGeom>
                    <a:noFill/>
                    <a:ln>
                      <a:noFill/>
                    </a:ln>
                    <a:extLst>
                      <a:ext uri="{53640926-AAD7-44D8-BBD7-CCE9431645EC}">
                        <a14:shadowObscured xmlns:a14="http://schemas.microsoft.com/office/drawing/2010/main"/>
                      </a:ext>
                    </a:extLst>
                  </pic:spPr>
                </pic:pic>
              </a:graphicData>
            </a:graphic>
          </wp:inline>
        </w:drawing>
      </w:r>
    </w:p>
    <w:p w14:paraId="494DC15F" w14:textId="75FE46EC" w:rsidR="00056D91" w:rsidRDefault="00056D91" w:rsidP="00056D91">
      <w:pPr>
        <w:pStyle w:val="Caption"/>
        <w:rPr>
          <w:i w:val="0"/>
        </w:rPr>
      </w:pPr>
      <w:r w:rsidRPr="002C10AE">
        <w:rPr>
          <w:b/>
          <w:i w:val="0"/>
        </w:rPr>
        <w:t>Supplementary Figure S</w:t>
      </w:r>
      <w:r>
        <w:rPr>
          <w:b/>
          <w:i w:val="0"/>
        </w:rPr>
        <w:t>6</w:t>
      </w:r>
      <w:r w:rsidRPr="002C10AE">
        <w:rPr>
          <w:b/>
          <w:i w:val="0"/>
        </w:rPr>
        <w:t xml:space="preserve">: Reconstructed cyclic voltammograms during (ultra-fast) </w:t>
      </w:r>
      <w:r w:rsidRPr="002C10AE">
        <w:rPr>
          <w:b/>
        </w:rPr>
        <w:t>operando</w:t>
      </w:r>
      <w:r w:rsidRPr="002C10AE">
        <w:rPr>
          <w:b/>
          <w:i w:val="0"/>
        </w:rPr>
        <w:t xml:space="preserve"> WAXS measurements</w:t>
      </w:r>
      <w:r>
        <w:rPr>
          <w:b/>
          <w:i w:val="0"/>
        </w:rPr>
        <w:t xml:space="preserve"> in PEMFC</w:t>
      </w:r>
      <w:r w:rsidRPr="002C10AE">
        <w:rPr>
          <w:i w:val="0"/>
        </w:rPr>
        <w:t>.</w:t>
      </w:r>
      <w:r>
        <w:rPr>
          <w:b/>
          <w:i w:val="0"/>
        </w:rPr>
        <w:t xml:space="preserve"> </w:t>
      </w:r>
      <w:r>
        <w:rPr>
          <w:i w:val="0"/>
        </w:rPr>
        <w:t>The error bars represent the standard deviations associated to the averaged values during cycle merging.</w:t>
      </w:r>
    </w:p>
    <w:p w14:paraId="47002FE7" w14:textId="77777777" w:rsidR="00056D91" w:rsidRDefault="00056D91" w:rsidP="00056D91"/>
    <w:p w14:paraId="6D3A9B50" w14:textId="77777777" w:rsidR="00056D91" w:rsidRDefault="00056D91" w:rsidP="00056D91">
      <w:pPr>
        <w:keepNext/>
        <w:jc w:val="center"/>
      </w:pPr>
      <w:r w:rsidRPr="00651162">
        <w:rPr>
          <w:noProof/>
        </w:rPr>
        <w:lastRenderedPageBreak/>
        <w:drawing>
          <wp:inline distT="0" distB="0" distL="0" distR="0" wp14:anchorId="6B56DB63" wp14:editId="7E2B5F05">
            <wp:extent cx="4124325" cy="500951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r="30604"/>
                    <a:stretch/>
                  </pic:blipFill>
                  <pic:spPr bwMode="auto">
                    <a:xfrm>
                      <a:off x="0" y="0"/>
                      <a:ext cx="4124645" cy="5009904"/>
                    </a:xfrm>
                    <a:prstGeom prst="rect">
                      <a:avLst/>
                    </a:prstGeom>
                    <a:noFill/>
                    <a:ln>
                      <a:noFill/>
                    </a:ln>
                    <a:extLst>
                      <a:ext uri="{53640926-AAD7-44D8-BBD7-CCE9431645EC}">
                        <a14:shadowObscured xmlns:a14="http://schemas.microsoft.com/office/drawing/2010/main"/>
                      </a:ext>
                    </a:extLst>
                  </pic:spPr>
                </pic:pic>
              </a:graphicData>
            </a:graphic>
          </wp:inline>
        </w:drawing>
      </w:r>
    </w:p>
    <w:p w14:paraId="7C654990" w14:textId="4153CE67" w:rsidR="00056D91" w:rsidRDefault="00056D91" w:rsidP="00056D91">
      <w:pPr>
        <w:pStyle w:val="Caption"/>
        <w:rPr>
          <w:i w:val="0"/>
        </w:rPr>
      </w:pPr>
      <w:r w:rsidRPr="002C10AE">
        <w:rPr>
          <w:b/>
          <w:i w:val="0"/>
        </w:rPr>
        <w:t>Supplementary Figure S</w:t>
      </w:r>
      <w:r>
        <w:rPr>
          <w:b/>
          <w:i w:val="0"/>
        </w:rPr>
        <w:t>7</w:t>
      </w:r>
      <w:r w:rsidRPr="002C10AE">
        <w:rPr>
          <w:b/>
          <w:i w:val="0"/>
        </w:rPr>
        <w:t xml:space="preserve">: Reconstructed cyclic voltammograms during (ultra-fast) </w:t>
      </w:r>
      <w:r w:rsidRPr="002C10AE">
        <w:rPr>
          <w:b/>
        </w:rPr>
        <w:t>operando</w:t>
      </w:r>
      <w:r w:rsidRPr="002C10AE">
        <w:rPr>
          <w:b/>
          <w:i w:val="0"/>
        </w:rPr>
        <w:t xml:space="preserve"> WAXS measurements</w:t>
      </w:r>
      <w:r>
        <w:rPr>
          <w:b/>
          <w:i w:val="0"/>
        </w:rPr>
        <w:t xml:space="preserve"> in thin-film flow cell</w:t>
      </w:r>
      <w:r w:rsidRPr="002C10AE">
        <w:rPr>
          <w:i w:val="0"/>
        </w:rPr>
        <w:t>.</w:t>
      </w:r>
      <w:r>
        <w:rPr>
          <w:b/>
          <w:i w:val="0"/>
        </w:rPr>
        <w:t xml:space="preserve"> </w:t>
      </w:r>
      <w:r>
        <w:rPr>
          <w:i w:val="0"/>
        </w:rPr>
        <w:t>The error bars represent the standard deviations associated to the averaged values during cycle merging.</w:t>
      </w:r>
    </w:p>
    <w:p w14:paraId="40F81F5F" w14:textId="77777777" w:rsidR="00056D91" w:rsidRPr="00056D91" w:rsidRDefault="00056D91" w:rsidP="00056D91"/>
    <w:p w14:paraId="713671CA" w14:textId="585AC42F" w:rsidR="00E570A4" w:rsidRDefault="00F20CE1" w:rsidP="00571E4D">
      <w:pPr>
        <w:keepNext/>
        <w:jc w:val="center"/>
      </w:pPr>
      <w:r w:rsidRPr="00F20CE1">
        <w:lastRenderedPageBreak/>
        <w:drawing>
          <wp:inline distT="0" distB="0" distL="0" distR="0" wp14:anchorId="32ACB138" wp14:editId="04942A2A">
            <wp:extent cx="5943600" cy="454067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4540671"/>
                    </a:xfrm>
                    <a:prstGeom prst="rect">
                      <a:avLst/>
                    </a:prstGeom>
                    <a:noFill/>
                    <a:ln>
                      <a:noFill/>
                    </a:ln>
                  </pic:spPr>
                </pic:pic>
              </a:graphicData>
            </a:graphic>
          </wp:inline>
        </w:drawing>
      </w:r>
    </w:p>
    <w:p w14:paraId="50B84C97" w14:textId="08507FCF" w:rsidR="00E570A4" w:rsidRPr="008948E9" w:rsidRDefault="00E570A4" w:rsidP="00E570A4">
      <w:pPr>
        <w:pStyle w:val="Caption"/>
        <w:rPr>
          <w:b/>
          <w:i w:val="0"/>
          <w:sz w:val="24"/>
          <w:szCs w:val="28"/>
        </w:rPr>
      </w:pPr>
      <w:r w:rsidRPr="008948E9">
        <w:rPr>
          <w:b/>
          <w:i w:val="0"/>
        </w:rPr>
        <w:t>Supplementary Figure S</w:t>
      </w:r>
      <w:r w:rsidR="00BC19B8">
        <w:rPr>
          <w:b/>
          <w:i w:val="0"/>
        </w:rPr>
        <w:t>8</w:t>
      </w:r>
      <w:r w:rsidRPr="008948E9">
        <w:rPr>
          <w:b/>
          <w:i w:val="0"/>
        </w:rPr>
        <w:t xml:space="preserve">: Outpacing Pt oxidation in </w:t>
      </w:r>
      <w:r>
        <w:rPr>
          <w:b/>
          <w:i w:val="0"/>
        </w:rPr>
        <w:t>thin-film</w:t>
      </w:r>
      <w:r w:rsidRPr="008948E9">
        <w:rPr>
          <w:b/>
          <w:i w:val="0"/>
        </w:rPr>
        <w:t xml:space="preserve"> catalyst layer during accelerated stress tests</w:t>
      </w:r>
      <w:r w:rsidRPr="008948E9">
        <w:rPr>
          <w:i w:val="0"/>
        </w:rPr>
        <w:t>. a) Reconstructions of the applied potential cycle profiles between 0.60 and 1.0 V vs. RHE: 3</w:t>
      </w:r>
      <w:r>
        <w:rPr>
          <w:i w:val="0"/>
        </w:rPr>
        <w:t xml:space="preserve"> </w:t>
      </w:r>
      <w:r w:rsidRPr="008948E9">
        <w:rPr>
          <w:i w:val="0"/>
        </w:rPr>
        <w:t>s</w:t>
      </w:r>
      <w:r>
        <w:rPr>
          <w:i w:val="0"/>
        </w:rPr>
        <w:t xml:space="preserve"> – </w:t>
      </w:r>
      <w:r w:rsidRPr="008948E9">
        <w:rPr>
          <w:i w:val="0"/>
        </w:rPr>
        <w:t>3</w:t>
      </w:r>
      <w:r>
        <w:rPr>
          <w:i w:val="0"/>
        </w:rPr>
        <w:t xml:space="preserve"> </w:t>
      </w:r>
      <w:r w:rsidRPr="008948E9">
        <w:rPr>
          <w:i w:val="0"/>
        </w:rPr>
        <w:t>s square wave and triangular waves at 5, 10, 100, 500 and 1000 mV s</w:t>
      </w:r>
      <w:r w:rsidRPr="008948E9">
        <w:rPr>
          <w:i w:val="0"/>
          <w:vertAlign w:val="superscript"/>
        </w:rPr>
        <w:t>-1</w:t>
      </w:r>
      <w:r w:rsidRPr="008948E9">
        <w:rPr>
          <w:i w:val="0"/>
        </w:rPr>
        <w:t xml:space="preserve">, b) lattice constant variations and c) surface-fraction-normalized scattering intensity variations as a function of the percentage fraction of cycle duration. d) Kernel density estimations of the lattice constant distributions during each potential cycle profile. c) Maximum of surface crystallinity loss induced by a single potential cycle of each profile (cycle depth) and f) amount of surface crystallinity loss induced by each potential cycle profile (cycle efficiency). The voltage was dynamically corrected </w:t>
      </w:r>
      <w:r w:rsidR="00571E4D">
        <w:rPr>
          <w:i w:val="0"/>
        </w:rPr>
        <w:t>by</w:t>
      </w:r>
      <w:r w:rsidRPr="008948E9">
        <w:rPr>
          <w:i w:val="0"/>
        </w:rPr>
        <w:t xml:space="preserve"> the cell high frequency resistance.</w:t>
      </w:r>
    </w:p>
    <w:p w14:paraId="4C5E9A13" w14:textId="0E9F2CA4" w:rsidR="00BA008F" w:rsidRDefault="00BA008F" w:rsidP="00862563">
      <w:pPr>
        <w:jc w:val="center"/>
      </w:pPr>
    </w:p>
    <w:p w14:paraId="7B163E1A" w14:textId="1F596881" w:rsidR="00BA008F" w:rsidRDefault="00BA008F" w:rsidP="008948E9"/>
    <w:p w14:paraId="440AD67C" w14:textId="654B7AF4" w:rsidR="00BA008F" w:rsidRDefault="00BA008F" w:rsidP="008948E9"/>
    <w:p w14:paraId="1BB8C6D3" w14:textId="1AB03A83" w:rsidR="00C66333" w:rsidRDefault="00C66333" w:rsidP="008948E9"/>
    <w:p w14:paraId="75C16D5B" w14:textId="77777777" w:rsidR="00C66333" w:rsidRDefault="00C66333" w:rsidP="008948E9"/>
    <w:p w14:paraId="34994738" w14:textId="774DF600" w:rsidR="00BA008F" w:rsidRDefault="00BA008F" w:rsidP="008948E9"/>
    <w:p w14:paraId="04E342DC" w14:textId="1119B467" w:rsidR="00BA008F" w:rsidRPr="00E570A4" w:rsidRDefault="00C66333" w:rsidP="00E570A4">
      <w:pPr>
        <w:spacing w:line="360" w:lineRule="auto"/>
        <w:rPr>
          <w:sz w:val="20"/>
        </w:rPr>
      </w:pPr>
      <w:r w:rsidRPr="00E570A4">
        <w:rPr>
          <w:b/>
          <w:sz w:val="20"/>
        </w:rPr>
        <w:t>Supplementary Table S1</w:t>
      </w:r>
      <w:r w:rsidRPr="00E570A4">
        <w:rPr>
          <w:sz w:val="20"/>
        </w:rPr>
        <w:t xml:space="preserve">: </w:t>
      </w:r>
      <w:r w:rsidR="00862563" w:rsidRPr="00E570A4">
        <w:rPr>
          <w:sz w:val="20"/>
        </w:rPr>
        <w:t xml:space="preserve">Results from </w:t>
      </w:r>
      <w:r w:rsidR="00E570A4" w:rsidRPr="00E570A4">
        <w:rPr>
          <w:sz w:val="20"/>
        </w:rPr>
        <w:t>the fits associated to the surface crystallinity loss or recovery during oxidation and reduction in both PEMFC and thin-film electrochemical cells</w:t>
      </w:r>
    </w:p>
    <w:tbl>
      <w:tblPr>
        <w:tblStyle w:val="ListTable2"/>
        <w:tblW w:w="5000" w:type="pct"/>
        <w:tblLook w:val="04A0" w:firstRow="1" w:lastRow="0" w:firstColumn="1" w:lastColumn="0" w:noHBand="0" w:noVBand="1"/>
      </w:tblPr>
      <w:tblGrid>
        <w:gridCol w:w="2026"/>
        <w:gridCol w:w="1237"/>
        <w:gridCol w:w="1073"/>
        <w:gridCol w:w="1202"/>
        <w:gridCol w:w="1348"/>
        <w:gridCol w:w="1237"/>
        <w:gridCol w:w="1237"/>
      </w:tblGrid>
      <w:tr w:rsidR="00BA008F" w:rsidRPr="00CA5547" w14:paraId="652802AE" w14:textId="77777777" w:rsidTr="00A4746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82" w:type="pct"/>
          </w:tcPr>
          <w:p w14:paraId="4E9730AF" w14:textId="35EAADFE" w:rsidR="00BA008F" w:rsidRPr="00CA5547" w:rsidRDefault="00BA008F" w:rsidP="00A47461">
            <w:pPr>
              <w:jc w:val="center"/>
              <w:rPr>
                <w:sz w:val="20"/>
              </w:rPr>
            </w:pPr>
          </w:p>
        </w:tc>
        <w:tc>
          <w:tcPr>
            <w:tcW w:w="661" w:type="pct"/>
          </w:tcPr>
          <w:p w14:paraId="14D1D251" w14:textId="77777777" w:rsidR="00BA008F" w:rsidRPr="00A47461" w:rsidRDefault="00BA008F" w:rsidP="00A47461">
            <w:pPr>
              <w:jc w:val="center"/>
              <w:cnfStyle w:val="100000000000" w:firstRow="1" w:lastRow="0" w:firstColumn="0" w:lastColumn="0" w:oddVBand="0" w:evenVBand="0" w:oddHBand="0" w:evenHBand="0" w:firstRowFirstColumn="0" w:firstRowLastColumn="0" w:lastRowFirstColumn="0" w:lastRowLastColumn="0"/>
              <w:rPr>
                <w:i/>
                <w:sz w:val="20"/>
                <w:vertAlign w:val="subscript"/>
              </w:rPr>
            </w:pPr>
            <w:r w:rsidRPr="00A47461">
              <w:rPr>
                <w:i/>
                <w:sz w:val="20"/>
              </w:rPr>
              <w:t>y</w:t>
            </w:r>
            <w:r w:rsidRPr="00A47461">
              <w:rPr>
                <w:i/>
                <w:sz w:val="20"/>
                <w:vertAlign w:val="subscript"/>
              </w:rPr>
              <w:t>0</w:t>
            </w:r>
          </w:p>
          <w:p w14:paraId="6B7B6631" w14:textId="29151D56" w:rsidR="00BA008F" w:rsidRPr="00A47461" w:rsidRDefault="00BA008F" w:rsidP="00A47461">
            <w:pPr>
              <w:jc w:val="center"/>
              <w:cnfStyle w:val="100000000000" w:firstRow="1" w:lastRow="0" w:firstColumn="0" w:lastColumn="0" w:oddVBand="0" w:evenVBand="0" w:oddHBand="0" w:evenHBand="0" w:firstRowFirstColumn="0" w:firstRowLastColumn="0" w:lastRowFirstColumn="0" w:lastRowLastColumn="0"/>
              <w:rPr>
                <w:sz w:val="20"/>
              </w:rPr>
            </w:pPr>
            <w:r w:rsidRPr="00A47461">
              <w:rPr>
                <w:sz w:val="20"/>
              </w:rPr>
              <w:t>(</w:t>
            </w:r>
            <w:proofErr w:type="spellStart"/>
            <w:r w:rsidRPr="00A47461">
              <w:rPr>
                <w:sz w:val="20"/>
              </w:rPr>
              <w:t>a.u</w:t>
            </w:r>
            <w:proofErr w:type="spellEnd"/>
            <w:r w:rsidRPr="00A47461">
              <w:rPr>
                <w:sz w:val="20"/>
              </w:rPr>
              <w:t>.)</w:t>
            </w:r>
          </w:p>
        </w:tc>
        <w:tc>
          <w:tcPr>
            <w:tcW w:w="573" w:type="pct"/>
          </w:tcPr>
          <w:p w14:paraId="3D977D48" w14:textId="77777777" w:rsidR="00BA008F" w:rsidRPr="00A47461" w:rsidRDefault="00BA008F" w:rsidP="00A47461">
            <w:pPr>
              <w:jc w:val="center"/>
              <w:cnfStyle w:val="100000000000" w:firstRow="1" w:lastRow="0" w:firstColumn="0" w:lastColumn="0" w:oddVBand="0" w:evenVBand="0" w:oddHBand="0" w:evenHBand="0" w:firstRowFirstColumn="0" w:firstRowLastColumn="0" w:lastRowFirstColumn="0" w:lastRowLastColumn="0"/>
              <w:rPr>
                <w:i/>
                <w:sz w:val="20"/>
                <w:vertAlign w:val="subscript"/>
              </w:rPr>
            </w:pPr>
            <w:r w:rsidRPr="00A47461">
              <w:rPr>
                <w:i/>
                <w:sz w:val="20"/>
              </w:rPr>
              <w:t>x</w:t>
            </w:r>
            <w:r w:rsidRPr="00A47461">
              <w:rPr>
                <w:i/>
                <w:sz w:val="20"/>
                <w:vertAlign w:val="subscript"/>
              </w:rPr>
              <w:t>0</w:t>
            </w:r>
          </w:p>
          <w:p w14:paraId="780C49D4" w14:textId="6E480BEC" w:rsidR="00BA008F" w:rsidRPr="00A47461" w:rsidRDefault="00BA008F" w:rsidP="00A47461">
            <w:pPr>
              <w:jc w:val="center"/>
              <w:cnfStyle w:val="100000000000" w:firstRow="1" w:lastRow="0" w:firstColumn="0" w:lastColumn="0" w:oddVBand="0" w:evenVBand="0" w:oddHBand="0" w:evenHBand="0" w:firstRowFirstColumn="0" w:firstRowLastColumn="0" w:lastRowFirstColumn="0" w:lastRowLastColumn="0"/>
              <w:rPr>
                <w:sz w:val="20"/>
              </w:rPr>
            </w:pPr>
            <w:r w:rsidRPr="00A47461">
              <w:rPr>
                <w:sz w:val="20"/>
              </w:rPr>
              <w:t>(s)</w:t>
            </w:r>
          </w:p>
        </w:tc>
        <w:tc>
          <w:tcPr>
            <w:tcW w:w="642" w:type="pct"/>
          </w:tcPr>
          <w:p w14:paraId="22DBF08F" w14:textId="77777777" w:rsidR="00BA008F" w:rsidRPr="00A47461" w:rsidRDefault="00BA008F" w:rsidP="00A47461">
            <w:pPr>
              <w:jc w:val="center"/>
              <w:cnfStyle w:val="100000000000" w:firstRow="1" w:lastRow="0" w:firstColumn="0" w:lastColumn="0" w:oddVBand="0" w:evenVBand="0" w:oddHBand="0" w:evenHBand="0" w:firstRowFirstColumn="0" w:firstRowLastColumn="0" w:lastRowFirstColumn="0" w:lastRowLastColumn="0"/>
              <w:rPr>
                <w:i/>
                <w:sz w:val="20"/>
                <w:vertAlign w:val="subscript"/>
              </w:rPr>
            </w:pPr>
            <w:r w:rsidRPr="00A47461">
              <w:rPr>
                <w:i/>
                <w:sz w:val="20"/>
              </w:rPr>
              <w:t>A</w:t>
            </w:r>
            <w:r w:rsidRPr="00A47461">
              <w:rPr>
                <w:i/>
                <w:sz w:val="20"/>
                <w:vertAlign w:val="subscript"/>
              </w:rPr>
              <w:t>1</w:t>
            </w:r>
          </w:p>
          <w:p w14:paraId="0A7936BD" w14:textId="639D5CA6" w:rsidR="00BA008F" w:rsidRPr="00A47461" w:rsidRDefault="00BA008F" w:rsidP="00A47461">
            <w:pPr>
              <w:jc w:val="center"/>
              <w:cnfStyle w:val="100000000000" w:firstRow="1" w:lastRow="0" w:firstColumn="0" w:lastColumn="0" w:oddVBand="0" w:evenVBand="0" w:oddHBand="0" w:evenHBand="0" w:firstRowFirstColumn="0" w:firstRowLastColumn="0" w:lastRowFirstColumn="0" w:lastRowLastColumn="0"/>
              <w:rPr>
                <w:sz w:val="20"/>
              </w:rPr>
            </w:pPr>
            <w:r w:rsidRPr="00A47461">
              <w:rPr>
                <w:sz w:val="20"/>
              </w:rPr>
              <w:t>(</w:t>
            </w:r>
            <w:proofErr w:type="spellStart"/>
            <w:r w:rsidRPr="00A47461">
              <w:rPr>
                <w:sz w:val="20"/>
              </w:rPr>
              <w:t>a.u</w:t>
            </w:r>
            <w:proofErr w:type="spellEnd"/>
            <w:r w:rsidRPr="00A47461">
              <w:rPr>
                <w:sz w:val="20"/>
              </w:rPr>
              <w:t>.)</w:t>
            </w:r>
          </w:p>
        </w:tc>
        <w:tc>
          <w:tcPr>
            <w:tcW w:w="720" w:type="pct"/>
          </w:tcPr>
          <w:p w14:paraId="1DF53067" w14:textId="77777777" w:rsidR="00BA008F" w:rsidRPr="00A47461" w:rsidRDefault="00BA008F" w:rsidP="00A47461">
            <w:pPr>
              <w:jc w:val="center"/>
              <w:cnfStyle w:val="100000000000" w:firstRow="1" w:lastRow="0" w:firstColumn="0" w:lastColumn="0" w:oddVBand="0" w:evenVBand="0" w:oddHBand="0" w:evenHBand="0" w:firstRowFirstColumn="0" w:firstRowLastColumn="0" w:lastRowFirstColumn="0" w:lastRowLastColumn="0"/>
              <w:rPr>
                <w:i/>
                <w:sz w:val="20"/>
                <w:vertAlign w:val="subscript"/>
              </w:rPr>
            </w:pPr>
            <w:r w:rsidRPr="00A47461">
              <w:rPr>
                <w:i/>
                <w:sz w:val="20"/>
              </w:rPr>
              <w:t>t</w:t>
            </w:r>
            <w:r w:rsidRPr="00A47461">
              <w:rPr>
                <w:i/>
                <w:sz w:val="20"/>
                <w:vertAlign w:val="subscript"/>
              </w:rPr>
              <w:t>1</w:t>
            </w:r>
          </w:p>
          <w:p w14:paraId="6735B9B7" w14:textId="58A2476D" w:rsidR="00BA008F" w:rsidRPr="00A47461" w:rsidRDefault="00BA008F" w:rsidP="00A47461">
            <w:pPr>
              <w:jc w:val="center"/>
              <w:cnfStyle w:val="100000000000" w:firstRow="1" w:lastRow="0" w:firstColumn="0" w:lastColumn="0" w:oddVBand="0" w:evenVBand="0" w:oddHBand="0" w:evenHBand="0" w:firstRowFirstColumn="0" w:firstRowLastColumn="0" w:lastRowFirstColumn="0" w:lastRowLastColumn="0"/>
              <w:rPr>
                <w:sz w:val="20"/>
              </w:rPr>
            </w:pPr>
            <w:r w:rsidRPr="00A47461">
              <w:rPr>
                <w:sz w:val="20"/>
              </w:rPr>
              <w:t>(s)</w:t>
            </w:r>
          </w:p>
        </w:tc>
        <w:tc>
          <w:tcPr>
            <w:tcW w:w="661" w:type="pct"/>
          </w:tcPr>
          <w:p w14:paraId="2D1577DB" w14:textId="77777777" w:rsidR="00BA008F" w:rsidRPr="00A47461" w:rsidRDefault="00BA008F" w:rsidP="00A47461">
            <w:pPr>
              <w:jc w:val="center"/>
              <w:cnfStyle w:val="100000000000" w:firstRow="1" w:lastRow="0" w:firstColumn="0" w:lastColumn="0" w:oddVBand="0" w:evenVBand="0" w:oddHBand="0" w:evenHBand="0" w:firstRowFirstColumn="0" w:firstRowLastColumn="0" w:lastRowFirstColumn="0" w:lastRowLastColumn="0"/>
              <w:rPr>
                <w:i/>
                <w:sz w:val="20"/>
                <w:vertAlign w:val="subscript"/>
              </w:rPr>
            </w:pPr>
            <w:r w:rsidRPr="00A47461">
              <w:rPr>
                <w:i/>
                <w:sz w:val="20"/>
              </w:rPr>
              <w:t>A</w:t>
            </w:r>
            <w:r w:rsidRPr="00A47461">
              <w:rPr>
                <w:i/>
                <w:sz w:val="20"/>
                <w:vertAlign w:val="subscript"/>
              </w:rPr>
              <w:t>2</w:t>
            </w:r>
          </w:p>
          <w:p w14:paraId="13227F25" w14:textId="20CB8760" w:rsidR="00BA008F" w:rsidRPr="00A47461" w:rsidRDefault="00BA008F" w:rsidP="00A47461">
            <w:pPr>
              <w:jc w:val="center"/>
              <w:cnfStyle w:val="100000000000" w:firstRow="1" w:lastRow="0" w:firstColumn="0" w:lastColumn="0" w:oddVBand="0" w:evenVBand="0" w:oddHBand="0" w:evenHBand="0" w:firstRowFirstColumn="0" w:firstRowLastColumn="0" w:lastRowFirstColumn="0" w:lastRowLastColumn="0"/>
              <w:rPr>
                <w:sz w:val="20"/>
              </w:rPr>
            </w:pPr>
            <w:r w:rsidRPr="00A47461">
              <w:rPr>
                <w:sz w:val="20"/>
              </w:rPr>
              <w:t>(</w:t>
            </w:r>
            <w:proofErr w:type="spellStart"/>
            <w:r w:rsidRPr="00A47461">
              <w:rPr>
                <w:sz w:val="20"/>
              </w:rPr>
              <w:t>a.u</w:t>
            </w:r>
            <w:proofErr w:type="spellEnd"/>
            <w:r w:rsidRPr="00A47461">
              <w:rPr>
                <w:sz w:val="20"/>
              </w:rPr>
              <w:t>.)</w:t>
            </w:r>
          </w:p>
        </w:tc>
        <w:tc>
          <w:tcPr>
            <w:tcW w:w="661" w:type="pct"/>
          </w:tcPr>
          <w:p w14:paraId="37E9261F" w14:textId="77777777" w:rsidR="00BA008F" w:rsidRPr="00A47461" w:rsidRDefault="00BA008F" w:rsidP="00A47461">
            <w:pPr>
              <w:jc w:val="center"/>
              <w:cnfStyle w:val="100000000000" w:firstRow="1" w:lastRow="0" w:firstColumn="0" w:lastColumn="0" w:oddVBand="0" w:evenVBand="0" w:oddHBand="0" w:evenHBand="0" w:firstRowFirstColumn="0" w:firstRowLastColumn="0" w:lastRowFirstColumn="0" w:lastRowLastColumn="0"/>
              <w:rPr>
                <w:i/>
                <w:sz w:val="20"/>
                <w:vertAlign w:val="subscript"/>
              </w:rPr>
            </w:pPr>
            <w:r w:rsidRPr="00A47461">
              <w:rPr>
                <w:i/>
                <w:sz w:val="20"/>
              </w:rPr>
              <w:t>t</w:t>
            </w:r>
            <w:r w:rsidRPr="00A47461">
              <w:rPr>
                <w:i/>
                <w:sz w:val="20"/>
                <w:vertAlign w:val="subscript"/>
              </w:rPr>
              <w:t>2</w:t>
            </w:r>
          </w:p>
          <w:p w14:paraId="2D7463DE" w14:textId="1A320973" w:rsidR="00BA008F" w:rsidRPr="00A47461" w:rsidRDefault="00BA008F" w:rsidP="00A47461">
            <w:pPr>
              <w:jc w:val="center"/>
              <w:cnfStyle w:val="100000000000" w:firstRow="1" w:lastRow="0" w:firstColumn="0" w:lastColumn="0" w:oddVBand="0" w:evenVBand="0" w:oddHBand="0" w:evenHBand="0" w:firstRowFirstColumn="0" w:firstRowLastColumn="0" w:lastRowFirstColumn="0" w:lastRowLastColumn="0"/>
              <w:rPr>
                <w:sz w:val="20"/>
              </w:rPr>
            </w:pPr>
            <w:r w:rsidRPr="00A47461">
              <w:rPr>
                <w:sz w:val="20"/>
              </w:rPr>
              <w:t>(s)</w:t>
            </w:r>
          </w:p>
        </w:tc>
      </w:tr>
      <w:tr w:rsidR="00BA008F" w:rsidRPr="00CA5547" w14:paraId="195CDF97" w14:textId="77777777" w:rsidTr="00A474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82" w:type="pct"/>
          </w:tcPr>
          <w:p w14:paraId="49DA8373" w14:textId="77777777" w:rsidR="00BA008F" w:rsidRPr="00CA5547" w:rsidRDefault="00BA008F" w:rsidP="00A47461">
            <w:pPr>
              <w:jc w:val="center"/>
              <w:rPr>
                <w:sz w:val="20"/>
              </w:rPr>
            </w:pPr>
            <w:r w:rsidRPr="00CA5547">
              <w:rPr>
                <w:sz w:val="20"/>
              </w:rPr>
              <w:t>Oxidation</w:t>
            </w:r>
          </w:p>
          <w:p w14:paraId="4AFBAE8B" w14:textId="164AE54E" w:rsidR="00BA008F" w:rsidRPr="00CA5547" w:rsidRDefault="00BA008F" w:rsidP="00A47461">
            <w:pPr>
              <w:jc w:val="center"/>
              <w:rPr>
                <w:sz w:val="20"/>
              </w:rPr>
            </w:pPr>
            <w:r w:rsidRPr="00CA5547">
              <w:rPr>
                <w:sz w:val="20"/>
              </w:rPr>
              <w:t>PEMFC</w:t>
            </w:r>
            <w:r w:rsidR="00862563" w:rsidRPr="00CA5547">
              <w:rPr>
                <w:sz w:val="20"/>
              </w:rPr>
              <w:t xml:space="preserve"> 80 </w:t>
            </w:r>
            <w:r w:rsidR="00862563" w:rsidRPr="00CA5547">
              <w:rPr>
                <w:rFonts w:cs="Times"/>
                <w:sz w:val="20"/>
              </w:rPr>
              <w:t>º</w:t>
            </w:r>
            <w:r w:rsidR="00862563" w:rsidRPr="00CA5547">
              <w:rPr>
                <w:sz w:val="20"/>
              </w:rPr>
              <w:t>C</w:t>
            </w:r>
          </w:p>
        </w:tc>
        <w:tc>
          <w:tcPr>
            <w:tcW w:w="661" w:type="pct"/>
          </w:tcPr>
          <w:p w14:paraId="76F3AC25" w14:textId="63A4F0AC" w:rsidR="00BA008F" w:rsidRPr="00CA5547" w:rsidRDefault="00BA008F" w:rsidP="00A47461">
            <w:pPr>
              <w:jc w:val="center"/>
              <w:cnfStyle w:val="000000100000" w:firstRow="0" w:lastRow="0" w:firstColumn="0" w:lastColumn="0" w:oddVBand="0" w:evenVBand="0" w:oddHBand="1" w:evenHBand="0" w:firstRowFirstColumn="0" w:firstRowLastColumn="0" w:lastRowFirstColumn="0" w:lastRowLastColumn="0"/>
              <w:rPr>
                <w:sz w:val="20"/>
              </w:rPr>
            </w:pPr>
            <w:r w:rsidRPr="00CA5547">
              <w:rPr>
                <w:sz w:val="20"/>
              </w:rPr>
              <w:t xml:space="preserve">-48 </w:t>
            </w:r>
            <w:r w:rsidRPr="00CA5547">
              <w:rPr>
                <w:rFonts w:cs="Times"/>
                <w:sz w:val="20"/>
              </w:rPr>
              <w:t>± 0</w:t>
            </w:r>
          </w:p>
        </w:tc>
        <w:tc>
          <w:tcPr>
            <w:tcW w:w="573" w:type="pct"/>
          </w:tcPr>
          <w:p w14:paraId="7D1FFB21" w14:textId="69EE99C8" w:rsidR="00BA008F" w:rsidRPr="00CA5547" w:rsidRDefault="00BA008F" w:rsidP="00A47461">
            <w:pPr>
              <w:jc w:val="center"/>
              <w:cnfStyle w:val="000000100000" w:firstRow="0" w:lastRow="0" w:firstColumn="0" w:lastColumn="0" w:oddVBand="0" w:evenVBand="0" w:oddHBand="1" w:evenHBand="0" w:firstRowFirstColumn="0" w:firstRowLastColumn="0" w:lastRowFirstColumn="0" w:lastRowLastColumn="0"/>
              <w:rPr>
                <w:sz w:val="20"/>
              </w:rPr>
            </w:pPr>
            <w:r w:rsidRPr="00CA5547">
              <w:rPr>
                <w:sz w:val="20"/>
              </w:rPr>
              <w:t xml:space="preserve">1.304 </w:t>
            </w:r>
            <w:r w:rsidRPr="00CA5547">
              <w:rPr>
                <w:rFonts w:cs="Times"/>
                <w:sz w:val="20"/>
              </w:rPr>
              <w:t>± 0</w:t>
            </w:r>
          </w:p>
        </w:tc>
        <w:tc>
          <w:tcPr>
            <w:tcW w:w="642" w:type="pct"/>
          </w:tcPr>
          <w:p w14:paraId="4EF20C36" w14:textId="5FB82721" w:rsidR="00BA008F" w:rsidRPr="00CA5547" w:rsidRDefault="00BA008F" w:rsidP="00A47461">
            <w:pPr>
              <w:jc w:val="center"/>
              <w:cnfStyle w:val="000000100000" w:firstRow="0" w:lastRow="0" w:firstColumn="0" w:lastColumn="0" w:oddVBand="0" w:evenVBand="0" w:oddHBand="1" w:evenHBand="0" w:firstRowFirstColumn="0" w:firstRowLastColumn="0" w:lastRowFirstColumn="0" w:lastRowLastColumn="0"/>
              <w:rPr>
                <w:sz w:val="20"/>
              </w:rPr>
            </w:pPr>
            <w:r w:rsidRPr="00CA5547">
              <w:rPr>
                <w:sz w:val="20"/>
              </w:rPr>
              <w:t xml:space="preserve">28 </w:t>
            </w:r>
            <w:r w:rsidRPr="00CA5547">
              <w:rPr>
                <w:rFonts w:cs="Times"/>
                <w:sz w:val="20"/>
              </w:rPr>
              <w:t>± 2.4</w:t>
            </w:r>
          </w:p>
        </w:tc>
        <w:tc>
          <w:tcPr>
            <w:tcW w:w="720" w:type="pct"/>
          </w:tcPr>
          <w:p w14:paraId="36CB4AC2" w14:textId="7AFC72B9" w:rsidR="00BA008F" w:rsidRPr="00CA5547" w:rsidRDefault="00BA008F" w:rsidP="00A47461">
            <w:pPr>
              <w:jc w:val="center"/>
              <w:cnfStyle w:val="000000100000" w:firstRow="0" w:lastRow="0" w:firstColumn="0" w:lastColumn="0" w:oddVBand="0" w:evenVBand="0" w:oddHBand="1" w:evenHBand="0" w:firstRowFirstColumn="0" w:firstRowLastColumn="0" w:lastRowFirstColumn="0" w:lastRowLastColumn="0"/>
              <w:rPr>
                <w:sz w:val="20"/>
              </w:rPr>
            </w:pPr>
            <w:r w:rsidRPr="00CA5547">
              <w:rPr>
                <w:sz w:val="20"/>
              </w:rPr>
              <w:t xml:space="preserve">0.30 </w:t>
            </w:r>
            <w:r w:rsidRPr="00CA5547">
              <w:rPr>
                <w:rFonts w:cs="Times"/>
                <w:sz w:val="20"/>
              </w:rPr>
              <w:t>± 0.05</w:t>
            </w:r>
          </w:p>
        </w:tc>
        <w:tc>
          <w:tcPr>
            <w:tcW w:w="661" w:type="pct"/>
          </w:tcPr>
          <w:p w14:paraId="2FFFD7D5" w14:textId="7B1E184C" w:rsidR="00BA008F" w:rsidRPr="00CA5547" w:rsidRDefault="00BA008F" w:rsidP="00A47461">
            <w:pPr>
              <w:jc w:val="center"/>
              <w:cnfStyle w:val="000000100000" w:firstRow="0" w:lastRow="0" w:firstColumn="0" w:lastColumn="0" w:oddVBand="0" w:evenVBand="0" w:oddHBand="1" w:evenHBand="0" w:firstRowFirstColumn="0" w:firstRowLastColumn="0" w:lastRowFirstColumn="0" w:lastRowLastColumn="0"/>
              <w:rPr>
                <w:sz w:val="20"/>
              </w:rPr>
            </w:pPr>
            <w:r w:rsidRPr="00CA5547">
              <w:rPr>
                <w:sz w:val="20"/>
              </w:rPr>
              <w:t xml:space="preserve">24.7 </w:t>
            </w:r>
            <w:r w:rsidRPr="00CA5547">
              <w:rPr>
                <w:rFonts w:cs="Times"/>
                <w:sz w:val="20"/>
              </w:rPr>
              <w:t>± 2.4</w:t>
            </w:r>
          </w:p>
        </w:tc>
        <w:tc>
          <w:tcPr>
            <w:tcW w:w="661" w:type="pct"/>
          </w:tcPr>
          <w:p w14:paraId="0507DAAD" w14:textId="23BC4B35" w:rsidR="00BA008F" w:rsidRPr="00CA5547" w:rsidRDefault="00BA008F" w:rsidP="00A47461">
            <w:pPr>
              <w:jc w:val="center"/>
              <w:cnfStyle w:val="000000100000" w:firstRow="0" w:lastRow="0" w:firstColumn="0" w:lastColumn="0" w:oddVBand="0" w:evenVBand="0" w:oddHBand="1" w:evenHBand="0" w:firstRowFirstColumn="0" w:firstRowLastColumn="0" w:lastRowFirstColumn="0" w:lastRowLastColumn="0"/>
              <w:rPr>
                <w:sz w:val="20"/>
              </w:rPr>
            </w:pPr>
            <w:r w:rsidRPr="00CA5547">
              <w:rPr>
                <w:sz w:val="20"/>
              </w:rPr>
              <w:t xml:space="preserve">3.56 </w:t>
            </w:r>
            <w:r w:rsidRPr="00CA5547">
              <w:rPr>
                <w:rFonts w:cs="Times"/>
                <w:sz w:val="20"/>
              </w:rPr>
              <w:t>± 0.62</w:t>
            </w:r>
          </w:p>
        </w:tc>
      </w:tr>
      <w:tr w:rsidR="00BA008F" w:rsidRPr="00CA5547" w14:paraId="56F87DBB" w14:textId="77777777" w:rsidTr="00A47461">
        <w:tc>
          <w:tcPr>
            <w:cnfStyle w:val="001000000000" w:firstRow="0" w:lastRow="0" w:firstColumn="1" w:lastColumn="0" w:oddVBand="0" w:evenVBand="0" w:oddHBand="0" w:evenHBand="0" w:firstRowFirstColumn="0" w:firstRowLastColumn="0" w:lastRowFirstColumn="0" w:lastRowLastColumn="0"/>
            <w:tcW w:w="1082" w:type="pct"/>
          </w:tcPr>
          <w:p w14:paraId="0430CC5D" w14:textId="294F222D" w:rsidR="00BA008F" w:rsidRPr="00CA5547" w:rsidRDefault="00BA008F" w:rsidP="00A47461">
            <w:pPr>
              <w:jc w:val="center"/>
              <w:rPr>
                <w:sz w:val="20"/>
              </w:rPr>
            </w:pPr>
            <w:r w:rsidRPr="00CA5547">
              <w:rPr>
                <w:sz w:val="20"/>
              </w:rPr>
              <w:t>Reduction</w:t>
            </w:r>
          </w:p>
          <w:p w14:paraId="23BB3F4A" w14:textId="684F8289" w:rsidR="00BA008F" w:rsidRPr="00CA5547" w:rsidRDefault="00862563" w:rsidP="00A47461">
            <w:pPr>
              <w:jc w:val="center"/>
              <w:rPr>
                <w:sz w:val="20"/>
              </w:rPr>
            </w:pPr>
            <w:r w:rsidRPr="00CA5547">
              <w:rPr>
                <w:sz w:val="20"/>
              </w:rPr>
              <w:t xml:space="preserve">PEMFC 80 </w:t>
            </w:r>
            <w:r w:rsidRPr="00CA5547">
              <w:rPr>
                <w:rFonts w:cs="Times"/>
                <w:sz w:val="20"/>
              </w:rPr>
              <w:t>º</w:t>
            </w:r>
            <w:r w:rsidRPr="00CA5547">
              <w:rPr>
                <w:sz w:val="20"/>
              </w:rPr>
              <w:t>C</w:t>
            </w:r>
          </w:p>
        </w:tc>
        <w:tc>
          <w:tcPr>
            <w:tcW w:w="661" w:type="pct"/>
          </w:tcPr>
          <w:p w14:paraId="4BF9BDC7" w14:textId="7DC3BB55" w:rsidR="00BA008F" w:rsidRPr="00CA5547" w:rsidRDefault="005A7E4A" w:rsidP="00A47461">
            <w:pPr>
              <w:jc w:val="center"/>
              <w:cnfStyle w:val="000000000000" w:firstRow="0" w:lastRow="0" w:firstColumn="0" w:lastColumn="0" w:oddVBand="0" w:evenVBand="0" w:oddHBand="0" w:evenHBand="0" w:firstRowFirstColumn="0" w:firstRowLastColumn="0" w:lastRowFirstColumn="0" w:lastRowLastColumn="0"/>
              <w:rPr>
                <w:sz w:val="20"/>
              </w:rPr>
            </w:pPr>
            <w:r w:rsidRPr="00CA5547">
              <w:rPr>
                <w:sz w:val="20"/>
              </w:rPr>
              <w:t>0.02</w:t>
            </w:r>
            <w:r w:rsidR="00BA008F" w:rsidRPr="00CA5547">
              <w:rPr>
                <w:sz w:val="20"/>
              </w:rPr>
              <w:t xml:space="preserve"> </w:t>
            </w:r>
            <w:r w:rsidR="00BA008F" w:rsidRPr="00CA5547">
              <w:rPr>
                <w:rFonts w:cs="Times"/>
                <w:sz w:val="20"/>
              </w:rPr>
              <w:t xml:space="preserve">± </w:t>
            </w:r>
            <w:r w:rsidRPr="00CA5547">
              <w:rPr>
                <w:rFonts w:cs="Times"/>
                <w:sz w:val="20"/>
              </w:rPr>
              <w:t>0.4</w:t>
            </w:r>
          </w:p>
        </w:tc>
        <w:tc>
          <w:tcPr>
            <w:tcW w:w="573" w:type="pct"/>
          </w:tcPr>
          <w:p w14:paraId="46F25030" w14:textId="4FA810EA" w:rsidR="00BA008F" w:rsidRPr="00CA5547" w:rsidRDefault="005A7E4A" w:rsidP="00A47461">
            <w:pPr>
              <w:jc w:val="center"/>
              <w:cnfStyle w:val="000000000000" w:firstRow="0" w:lastRow="0" w:firstColumn="0" w:lastColumn="0" w:oddVBand="0" w:evenVBand="0" w:oddHBand="0" w:evenHBand="0" w:firstRowFirstColumn="0" w:firstRowLastColumn="0" w:lastRowFirstColumn="0" w:lastRowLastColumn="0"/>
              <w:rPr>
                <w:sz w:val="20"/>
              </w:rPr>
            </w:pPr>
            <w:r w:rsidRPr="00CA5547">
              <w:rPr>
                <w:sz w:val="20"/>
              </w:rPr>
              <w:t>4.24</w:t>
            </w:r>
            <w:r w:rsidR="00BA008F" w:rsidRPr="00CA5547">
              <w:rPr>
                <w:sz w:val="20"/>
              </w:rPr>
              <w:t xml:space="preserve"> </w:t>
            </w:r>
            <w:r w:rsidR="00BA008F" w:rsidRPr="00CA5547">
              <w:rPr>
                <w:rFonts w:cs="Times"/>
                <w:sz w:val="20"/>
              </w:rPr>
              <w:t>± 0</w:t>
            </w:r>
          </w:p>
        </w:tc>
        <w:tc>
          <w:tcPr>
            <w:tcW w:w="642" w:type="pct"/>
          </w:tcPr>
          <w:p w14:paraId="58FB138F" w14:textId="03810B43" w:rsidR="00BA008F" w:rsidRPr="00CA5547" w:rsidRDefault="005A7E4A" w:rsidP="00A47461">
            <w:pPr>
              <w:jc w:val="center"/>
              <w:cnfStyle w:val="000000000000" w:firstRow="0" w:lastRow="0" w:firstColumn="0" w:lastColumn="0" w:oddVBand="0" w:evenVBand="0" w:oddHBand="0" w:evenHBand="0" w:firstRowFirstColumn="0" w:firstRowLastColumn="0" w:lastRowFirstColumn="0" w:lastRowLastColumn="0"/>
              <w:rPr>
                <w:sz w:val="20"/>
              </w:rPr>
            </w:pPr>
            <w:r w:rsidRPr="00CA5547">
              <w:rPr>
                <w:sz w:val="20"/>
              </w:rPr>
              <w:t>-37.9</w:t>
            </w:r>
            <w:r w:rsidR="00BA008F" w:rsidRPr="00CA5547">
              <w:rPr>
                <w:sz w:val="20"/>
              </w:rPr>
              <w:t xml:space="preserve"> </w:t>
            </w:r>
            <w:r w:rsidR="00BA008F" w:rsidRPr="00CA5547">
              <w:rPr>
                <w:rFonts w:cs="Times"/>
                <w:sz w:val="20"/>
              </w:rPr>
              <w:t xml:space="preserve">± </w:t>
            </w:r>
            <w:r w:rsidRPr="00CA5547">
              <w:rPr>
                <w:rFonts w:cs="Times"/>
                <w:sz w:val="20"/>
              </w:rPr>
              <w:t>1.4</w:t>
            </w:r>
          </w:p>
        </w:tc>
        <w:tc>
          <w:tcPr>
            <w:tcW w:w="720" w:type="pct"/>
          </w:tcPr>
          <w:p w14:paraId="332A31C9" w14:textId="49D54096" w:rsidR="00BA008F" w:rsidRPr="00CA5547" w:rsidRDefault="00BA008F" w:rsidP="00A47461">
            <w:pPr>
              <w:jc w:val="center"/>
              <w:cnfStyle w:val="000000000000" w:firstRow="0" w:lastRow="0" w:firstColumn="0" w:lastColumn="0" w:oddVBand="0" w:evenVBand="0" w:oddHBand="0" w:evenHBand="0" w:firstRowFirstColumn="0" w:firstRowLastColumn="0" w:lastRowFirstColumn="0" w:lastRowLastColumn="0"/>
              <w:rPr>
                <w:sz w:val="20"/>
              </w:rPr>
            </w:pPr>
            <w:r w:rsidRPr="00CA5547">
              <w:rPr>
                <w:sz w:val="20"/>
              </w:rPr>
              <w:t>0.3</w:t>
            </w:r>
            <w:r w:rsidR="005A7E4A" w:rsidRPr="00CA5547">
              <w:rPr>
                <w:sz w:val="20"/>
              </w:rPr>
              <w:t>1</w:t>
            </w:r>
            <w:r w:rsidRPr="00CA5547">
              <w:rPr>
                <w:sz w:val="20"/>
              </w:rPr>
              <w:t xml:space="preserve"> </w:t>
            </w:r>
            <w:r w:rsidRPr="00CA5547">
              <w:rPr>
                <w:rFonts w:cs="Times"/>
                <w:sz w:val="20"/>
              </w:rPr>
              <w:t>± 0.0</w:t>
            </w:r>
            <w:r w:rsidR="005A7E4A" w:rsidRPr="00CA5547">
              <w:rPr>
                <w:rFonts w:cs="Times"/>
                <w:sz w:val="20"/>
              </w:rPr>
              <w:t>2</w:t>
            </w:r>
          </w:p>
        </w:tc>
        <w:tc>
          <w:tcPr>
            <w:tcW w:w="661" w:type="pct"/>
          </w:tcPr>
          <w:p w14:paraId="74C4C7E1" w14:textId="42734671" w:rsidR="00BA008F" w:rsidRPr="00CA5547" w:rsidRDefault="005A7E4A" w:rsidP="00A47461">
            <w:pPr>
              <w:jc w:val="center"/>
              <w:cnfStyle w:val="000000000000" w:firstRow="0" w:lastRow="0" w:firstColumn="0" w:lastColumn="0" w:oddVBand="0" w:evenVBand="0" w:oddHBand="0" w:evenHBand="0" w:firstRowFirstColumn="0" w:firstRowLastColumn="0" w:lastRowFirstColumn="0" w:lastRowLastColumn="0"/>
              <w:rPr>
                <w:sz w:val="20"/>
              </w:rPr>
            </w:pPr>
            <w:proofErr w:type="spellStart"/>
            <w:r w:rsidRPr="00CA5547">
              <w:rPr>
                <w:sz w:val="20"/>
              </w:rPr>
              <w:t>n.a.</w:t>
            </w:r>
            <w:proofErr w:type="spellEnd"/>
          </w:p>
        </w:tc>
        <w:tc>
          <w:tcPr>
            <w:tcW w:w="661" w:type="pct"/>
          </w:tcPr>
          <w:p w14:paraId="3C34F71A" w14:textId="4AE4A201" w:rsidR="00BA008F" w:rsidRPr="00CA5547" w:rsidRDefault="005A7E4A" w:rsidP="00A47461">
            <w:pPr>
              <w:jc w:val="center"/>
              <w:cnfStyle w:val="000000000000" w:firstRow="0" w:lastRow="0" w:firstColumn="0" w:lastColumn="0" w:oddVBand="0" w:evenVBand="0" w:oddHBand="0" w:evenHBand="0" w:firstRowFirstColumn="0" w:firstRowLastColumn="0" w:lastRowFirstColumn="0" w:lastRowLastColumn="0"/>
              <w:rPr>
                <w:sz w:val="20"/>
              </w:rPr>
            </w:pPr>
            <w:proofErr w:type="spellStart"/>
            <w:r w:rsidRPr="00CA5547">
              <w:rPr>
                <w:sz w:val="20"/>
              </w:rPr>
              <w:t>n.a.</w:t>
            </w:r>
            <w:proofErr w:type="spellEnd"/>
          </w:p>
        </w:tc>
      </w:tr>
      <w:tr w:rsidR="00BA008F" w:rsidRPr="00CA5547" w14:paraId="690AC147" w14:textId="77777777" w:rsidTr="00A474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82" w:type="pct"/>
          </w:tcPr>
          <w:p w14:paraId="0F92CCDF" w14:textId="77777777" w:rsidR="00BA008F" w:rsidRPr="00CA5547" w:rsidRDefault="00BA008F" w:rsidP="00A47461">
            <w:pPr>
              <w:jc w:val="center"/>
              <w:rPr>
                <w:sz w:val="20"/>
              </w:rPr>
            </w:pPr>
            <w:r w:rsidRPr="00CA5547">
              <w:rPr>
                <w:sz w:val="20"/>
              </w:rPr>
              <w:t>Oxidation</w:t>
            </w:r>
          </w:p>
          <w:p w14:paraId="34A481F9" w14:textId="40313BB1" w:rsidR="00BA008F" w:rsidRPr="00CA5547" w:rsidRDefault="00862563" w:rsidP="00A47461">
            <w:pPr>
              <w:jc w:val="center"/>
              <w:rPr>
                <w:sz w:val="20"/>
              </w:rPr>
            </w:pPr>
            <w:r w:rsidRPr="00CA5547">
              <w:rPr>
                <w:sz w:val="20"/>
              </w:rPr>
              <w:t>0.1 M HClO</w:t>
            </w:r>
            <w:r w:rsidRPr="00CA5547">
              <w:rPr>
                <w:sz w:val="20"/>
                <w:vertAlign w:val="subscript"/>
              </w:rPr>
              <w:t>4</w:t>
            </w:r>
            <w:r w:rsidRPr="00CA5547">
              <w:rPr>
                <w:sz w:val="20"/>
              </w:rPr>
              <w:t xml:space="preserve"> 25 </w:t>
            </w:r>
            <w:r w:rsidRPr="00CA5547">
              <w:rPr>
                <w:rFonts w:cs="Times"/>
                <w:sz w:val="20"/>
              </w:rPr>
              <w:t>º</w:t>
            </w:r>
            <w:r w:rsidRPr="00CA5547">
              <w:rPr>
                <w:sz w:val="20"/>
              </w:rPr>
              <w:t>C</w:t>
            </w:r>
          </w:p>
        </w:tc>
        <w:tc>
          <w:tcPr>
            <w:tcW w:w="661" w:type="pct"/>
          </w:tcPr>
          <w:p w14:paraId="261B00B4" w14:textId="26D7D77D" w:rsidR="00BA008F" w:rsidRPr="00CA5547" w:rsidRDefault="00BA008F" w:rsidP="00A47461">
            <w:pPr>
              <w:jc w:val="center"/>
              <w:cnfStyle w:val="000000100000" w:firstRow="0" w:lastRow="0" w:firstColumn="0" w:lastColumn="0" w:oddVBand="0" w:evenVBand="0" w:oddHBand="1" w:evenHBand="0" w:firstRowFirstColumn="0" w:firstRowLastColumn="0" w:lastRowFirstColumn="0" w:lastRowLastColumn="0"/>
              <w:rPr>
                <w:sz w:val="20"/>
              </w:rPr>
            </w:pPr>
            <w:r w:rsidRPr="00CA5547">
              <w:rPr>
                <w:sz w:val="20"/>
              </w:rPr>
              <w:t>-</w:t>
            </w:r>
            <w:r w:rsidR="005A7E4A" w:rsidRPr="00CA5547">
              <w:rPr>
                <w:sz w:val="20"/>
              </w:rPr>
              <w:t>6</w:t>
            </w:r>
            <w:r w:rsidRPr="00CA5547">
              <w:rPr>
                <w:sz w:val="20"/>
              </w:rPr>
              <w:t xml:space="preserve"> </w:t>
            </w:r>
            <w:r w:rsidRPr="00CA5547">
              <w:rPr>
                <w:rFonts w:cs="Times"/>
                <w:sz w:val="20"/>
              </w:rPr>
              <w:t>± 0</w:t>
            </w:r>
          </w:p>
        </w:tc>
        <w:tc>
          <w:tcPr>
            <w:tcW w:w="573" w:type="pct"/>
          </w:tcPr>
          <w:p w14:paraId="74F6CBA9" w14:textId="5BB1AA15" w:rsidR="00BA008F" w:rsidRPr="00CA5547" w:rsidRDefault="00BA008F" w:rsidP="00A47461">
            <w:pPr>
              <w:jc w:val="center"/>
              <w:cnfStyle w:val="000000100000" w:firstRow="0" w:lastRow="0" w:firstColumn="0" w:lastColumn="0" w:oddVBand="0" w:evenVBand="0" w:oddHBand="1" w:evenHBand="0" w:firstRowFirstColumn="0" w:firstRowLastColumn="0" w:lastRowFirstColumn="0" w:lastRowLastColumn="0"/>
              <w:rPr>
                <w:sz w:val="20"/>
              </w:rPr>
            </w:pPr>
            <w:r w:rsidRPr="00CA5547">
              <w:rPr>
                <w:sz w:val="20"/>
              </w:rPr>
              <w:t>1.</w:t>
            </w:r>
            <w:r w:rsidR="005A7E4A" w:rsidRPr="00CA5547">
              <w:rPr>
                <w:sz w:val="20"/>
              </w:rPr>
              <w:t>509</w:t>
            </w:r>
            <w:r w:rsidRPr="00CA5547">
              <w:rPr>
                <w:sz w:val="20"/>
              </w:rPr>
              <w:t xml:space="preserve"> </w:t>
            </w:r>
            <w:r w:rsidRPr="00CA5547">
              <w:rPr>
                <w:rFonts w:cs="Times"/>
                <w:sz w:val="20"/>
              </w:rPr>
              <w:t>± 0</w:t>
            </w:r>
          </w:p>
        </w:tc>
        <w:tc>
          <w:tcPr>
            <w:tcW w:w="642" w:type="pct"/>
          </w:tcPr>
          <w:p w14:paraId="3AEFFD2B" w14:textId="56BF4E5D" w:rsidR="00BA008F" w:rsidRPr="00CA5547" w:rsidRDefault="005A7E4A" w:rsidP="00A47461">
            <w:pPr>
              <w:jc w:val="center"/>
              <w:cnfStyle w:val="000000100000" w:firstRow="0" w:lastRow="0" w:firstColumn="0" w:lastColumn="0" w:oddVBand="0" w:evenVBand="0" w:oddHBand="1" w:evenHBand="0" w:firstRowFirstColumn="0" w:firstRowLastColumn="0" w:lastRowFirstColumn="0" w:lastRowLastColumn="0"/>
              <w:rPr>
                <w:sz w:val="20"/>
              </w:rPr>
            </w:pPr>
            <w:r w:rsidRPr="00CA5547">
              <w:rPr>
                <w:sz w:val="20"/>
              </w:rPr>
              <w:t>4.4</w:t>
            </w:r>
            <w:r w:rsidR="00BA008F" w:rsidRPr="00CA5547">
              <w:rPr>
                <w:sz w:val="20"/>
              </w:rPr>
              <w:t xml:space="preserve"> </w:t>
            </w:r>
            <w:r w:rsidR="00BA008F" w:rsidRPr="00CA5547">
              <w:rPr>
                <w:rFonts w:cs="Times"/>
                <w:sz w:val="20"/>
              </w:rPr>
              <w:t xml:space="preserve">± </w:t>
            </w:r>
            <w:r w:rsidRPr="00CA5547">
              <w:rPr>
                <w:rFonts w:cs="Times"/>
                <w:sz w:val="20"/>
              </w:rPr>
              <w:t>0.3</w:t>
            </w:r>
          </w:p>
        </w:tc>
        <w:tc>
          <w:tcPr>
            <w:tcW w:w="720" w:type="pct"/>
          </w:tcPr>
          <w:p w14:paraId="23D02E51" w14:textId="6D46A7E9" w:rsidR="00BA008F" w:rsidRPr="00CA5547" w:rsidRDefault="00BA008F" w:rsidP="00A47461">
            <w:pPr>
              <w:jc w:val="center"/>
              <w:cnfStyle w:val="000000100000" w:firstRow="0" w:lastRow="0" w:firstColumn="0" w:lastColumn="0" w:oddVBand="0" w:evenVBand="0" w:oddHBand="1" w:evenHBand="0" w:firstRowFirstColumn="0" w:firstRowLastColumn="0" w:lastRowFirstColumn="0" w:lastRowLastColumn="0"/>
              <w:rPr>
                <w:sz w:val="20"/>
              </w:rPr>
            </w:pPr>
            <w:r w:rsidRPr="00CA5547">
              <w:rPr>
                <w:sz w:val="20"/>
              </w:rPr>
              <w:t>0.</w:t>
            </w:r>
            <w:r w:rsidR="005A7E4A" w:rsidRPr="00CA5547">
              <w:rPr>
                <w:sz w:val="20"/>
              </w:rPr>
              <w:t>08</w:t>
            </w:r>
            <w:r w:rsidRPr="00CA5547">
              <w:rPr>
                <w:sz w:val="20"/>
              </w:rPr>
              <w:t xml:space="preserve"> </w:t>
            </w:r>
            <w:r w:rsidRPr="00CA5547">
              <w:rPr>
                <w:rFonts w:cs="Times"/>
                <w:sz w:val="20"/>
              </w:rPr>
              <w:t>± 0.0</w:t>
            </w:r>
            <w:r w:rsidR="005A7E4A" w:rsidRPr="00CA5547">
              <w:rPr>
                <w:rFonts w:cs="Times"/>
                <w:sz w:val="20"/>
              </w:rPr>
              <w:t>12</w:t>
            </w:r>
          </w:p>
        </w:tc>
        <w:tc>
          <w:tcPr>
            <w:tcW w:w="661" w:type="pct"/>
          </w:tcPr>
          <w:p w14:paraId="048DAF26" w14:textId="096DAE25" w:rsidR="00BA008F" w:rsidRPr="00CA5547" w:rsidRDefault="005A7E4A" w:rsidP="00A47461">
            <w:pPr>
              <w:jc w:val="center"/>
              <w:cnfStyle w:val="000000100000" w:firstRow="0" w:lastRow="0" w:firstColumn="0" w:lastColumn="0" w:oddVBand="0" w:evenVBand="0" w:oddHBand="1" w:evenHBand="0" w:firstRowFirstColumn="0" w:firstRowLastColumn="0" w:lastRowFirstColumn="0" w:lastRowLastColumn="0"/>
              <w:rPr>
                <w:sz w:val="20"/>
              </w:rPr>
            </w:pPr>
            <w:r w:rsidRPr="00CA5547">
              <w:rPr>
                <w:sz w:val="20"/>
              </w:rPr>
              <w:t>1.90</w:t>
            </w:r>
            <w:r w:rsidR="00BA008F" w:rsidRPr="00CA5547">
              <w:rPr>
                <w:sz w:val="20"/>
              </w:rPr>
              <w:t xml:space="preserve"> </w:t>
            </w:r>
            <w:r w:rsidR="00BA008F" w:rsidRPr="00CA5547">
              <w:rPr>
                <w:rFonts w:cs="Times"/>
                <w:sz w:val="20"/>
              </w:rPr>
              <w:t xml:space="preserve">± </w:t>
            </w:r>
            <w:r w:rsidRPr="00CA5547">
              <w:rPr>
                <w:rFonts w:cs="Times"/>
                <w:sz w:val="20"/>
              </w:rPr>
              <w:t>0.22</w:t>
            </w:r>
          </w:p>
        </w:tc>
        <w:tc>
          <w:tcPr>
            <w:tcW w:w="661" w:type="pct"/>
          </w:tcPr>
          <w:p w14:paraId="4A84F07D" w14:textId="5132BC9F" w:rsidR="00BA008F" w:rsidRPr="00CA5547" w:rsidRDefault="005A7E4A" w:rsidP="00A47461">
            <w:pPr>
              <w:jc w:val="center"/>
              <w:cnfStyle w:val="000000100000" w:firstRow="0" w:lastRow="0" w:firstColumn="0" w:lastColumn="0" w:oddVBand="0" w:evenVBand="0" w:oddHBand="1" w:evenHBand="0" w:firstRowFirstColumn="0" w:firstRowLastColumn="0" w:lastRowFirstColumn="0" w:lastRowLastColumn="0"/>
              <w:rPr>
                <w:sz w:val="20"/>
              </w:rPr>
            </w:pPr>
            <w:r w:rsidRPr="00CA5547">
              <w:rPr>
                <w:sz w:val="20"/>
              </w:rPr>
              <w:t>1.16</w:t>
            </w:r>
            <w:r w:rsidR="00BA008F" w:rsidRPr="00CA5547">
              <w:rPr>
                <w:sz w:val="20"/>
              </w:rPr>
              <w:t xml:space="preserve"> </w:t>
            </w:r>
            <w:r w:rsidR="00BA008F" w:rsidRPr="00CA5547">
              <w:rPr>
                <w:rFonts w:cs="Times"/>
                <w:sz w:val="20"/>
              </w:rPr>
              <w:t xml:space="preserve">± </w:t>
            </w:r>
            <w:r w:rsidRPr="00CA5547">
              <w:rPr>
                <w:rFonts w:cs="Times"/>
                <w:sz w:val="20"/>
              </w:rPr>
              <w:t>0.15</w:t>
            </w:r>
          </w:p>
        </w:tc>
      </w:tr>
      <w:tr w:rsidR="005A7E4A" w:rsidRPr="00CA5547" w14:paraId="7D62AF14" w14:textId="77777777" w:rsidTr="00A47461">
        <w:tc>
          <w:tcPr>
            <w:cnfStyle w:val="001000000000" w:firstRow="0" w:lastRow="0" w:firstColumn="1" w:lastColumn="0" w:oddVBand="0" w:evenVBand="0" w:oddHBand="0" w:evenHBand="0" w:firstRowFirstColumn="0" w:firstRowLastColumn="0" w:lastRowFirstColumn="0" w:lastRowLastColumn="0"/>
            <w:tcW w:w="1082" w:type="pct"/>
          </w:tcPr>
          <w:p w14:paraId="02AB4F21" w14:textId="77777777" w:rsidR="005A7E4A" w:rsidRPr="00CA5547" w:rsidRDefault="005A7E4A" w:rsidP="00A47461">
            <w:pPr>
              <w:jc w:val="center"/>
              <w:rPr>
                <w:sz w:val="20"/>
              </w:rPr>
            </w:pPr>
            <w:r w:rsidRPr="00CA5547">
              <w:rPr>
                <w:sz w:val="20"/>
              </w:rPr>
              <w:t>Reduction</w:t>
            </w:r>
          </w:p>
          <w:p w14:paraId="5C433E63" w14:textId="679EAB5B" w:rsidR="005A7E4A" w:rsidRPr="00CA5547" w:rsidRDefault="00862563" w:rsidP="00A47461">
            <w:pPr>
              <w:jc w:val="center"/>
              <w:rPr>
                <w:sz w:val="20"/>
              </w:rPr>
            </w:pPr>
            <w:r w:rsidRPr="00CA5547">
              <w:rPr>
                <w:sz w:val="20"/>
              </w:rPr>
              <w:t>0.1 M HClO</w:t>
            </w:r>
            <w:r w:rsidRPr="00CA5547">
              <w:rPr>
                <w:sz w:val="20"/>
                <w:vertAlign w:val="subscript"/>
              </w:rPr>
              <w:t>4</w:t>
            </w:r>
            <w:r w:rsidRPr="00CA5547">
              <w:rPr>
                <w:sz w:val="20"/>
              </w:rPr>
              <w:t xml:space="preserve"> 25 </w:t>
            </w:r>
            <w:r w:rsidRPr="00CA5547">
              <w:rPr>
                <w:rFonts w:cs="Times"/>
                <w:sz w:val="20"/>
              </w:rPr>
              <w:t>º</w:t>
            </w:r>
            <w:r w:rsidRPr="00CA5547">
              <w:rPr>
                <w:sz w:val="20"/>
              </w:rPr>
              <w:t>C</w:t>
            </w:r>
          </w:p>
        </w:tc>
        <w:tc>
          <w:tcPr>
            <w:tcW w:w="661" w:type="pct"/>
          </w:tcPr>
          <w:p w14:paraId="1ABD4FBB" w14:textId="3D3140AA" w:rsidR="005A7E4A" w:rsidRPr="00CA5547" w:rsidRDefault="005A7E4A" w:rsidP="00A47461">
            <w:pPr>
              <w:jc w:val="center"/>
              <w:cnfStyle w:val="000000000000" w:firstRow="0" w:lastRow="0" w:firstColumn="0" w:lastColumn="0" w:oddVBand="0" w:evenVBand="0" w:oddHBand="0" w:evenHBand="0" w:firstRowFirstColumn="0" w:firstRowLastColumn="0" w:lastRowFirstColumn="0" w:lastRowLastColumn="0"/>
              <w:rPr>
                <w:sz w:val="20"/>
              </w:rPr>
            </w:pPr>
            <w:r w:rsidRPr="00CA5547">
              <w:rPr>
                <w:sz w:val="20"/>
              </w:rPr>
              <w:t xml:space="preserve">0.09 </w:t>
            </w:r>
            <w:r w:rsidRPr="00CA5547">
              <w:rPr>
                <w:rFonts w:cs="Times"/>
                <w:sz w:val="20"/>
              </w:rPr>
              <w:t>± 0.06</w:t>
            </w:r>
          </w:p>
        </w:tc>
        <w:tc>
          <w:tcPr>
            <w:tcW w:w="573" w:type="pct"/>
          </w:tcPr>
          <w:p w14:paraId="6BA884C2" w14:textId="2559CCB9" w:rsidR="005A7E4A" w:rsidRPr="00CA5547" w:rsidRDefault="005A7E4A" w:rsidP="00A47461">
            <w:pPr>
              <w:jc w:val="center"/>
              <w:cnfStyle w:val="000000000000" w:firstRow="0" w:lastRow="0" w:firstColumn="0" w:lastColumn="0" w:oddVBand="0" w:evenVBand="0" w:oddHBand="0" w:evenHBand="0" w:firstRowFirstColumn="0" w:firstRowLastColumn="0" w:lastRowFirstColumn="0" w:lastRowLastColumn="0"/>
              <w:rPr>
                <w:sz w:val="20"/>
              </w:rPr>
            </w:pPr>
            <w:r w:rsidRPr="00CA5547">
              <w:rPr>
                <w:sz w:val="20"/>
              </w:rPr>
              <w:t xml:space="preserve">4.45 </w:t>
            </w:r>
            <w:r w:rsidRPr="00CA5547">
              <w:rPr>
                <w:rFonts w:cs="Times"/>
                <w:sz w:val="20"/>
              </w:rPr>
              <w:t>± 0</w:t>
            </w:r>
          </w:p>
        </w:tc>
        <w:tc>
          <w:tcPr>
            <w:tcW w:w="642" w:type="pct"/>
          </w:tcPr>
          <w:p w14:paraId="3AF9FFC9" w14:textId="1AAF3A99" w:rsidR="005A7E4A" w:rsidRPr="00CA5547" w:rsidRDefault="005A7E4A" w:rsidP="00A47461">
            <w:pPr>
              <w:jc w:val="center"/>
              <w:cnfStyle w:val="000000000000" w:firstRow="0" w:lastRow="0" w:firstColumn="0" w:lastColumn="0" w:oddVBand="0" w:evenVBand="0" w:oddHBand="0" w:evenHBand="0" w:firstRowFirstColumn="0" w:firstRowLastColumn="0" w:lastRowFirstColumn="0" w:lastRowLastColumn="0"/>
              <w:rPr>
                <w:sz w:val="20"/>
              </w:rPr>
            </w:pPr>
            <w:r w:rsidRPr="00CA5547">
              <w:rPr>
                <w:sz w:val="20"/>
              </w:rPr>
              <w:t xml:space="preserve">-6 </w:t>
            </w:r>
            <w:r w:rsidRPr="00CA5547">
              <w:rPr>
                <w:rFonts w:cs="Times"/>
                <w:sz w:val="20"/>
              </w:rPr>
              <w:t>± 0.27</w:t>
            </w:r>
          </w:p>
        </w:tc>
        <w:tc>
          <w:tcPr>
            <w:tcW w:w="720" w:type="pct"/>
          </w:tcPr>
          <w:p w14:paraId="23D69EDC" w14:textId="2AE48DFD" w:rsidR="005A7E4A" w:rsidRPr="00CA5547" w:rsidRDefault="005A7E4A" w:rsidP="00A47461">
            <w:pPr>
              <w:jc w:val="center"/>
              <w:cnfStyle w:val="000000000000" w:firstRow="0" w:lastRow="0" w:firstColumn="0" w:lastColumn="0" w:oddVBand="0" w:evenVBand="0" w:oddHBand="0" w:evenHBand="0" w:firstRowFirstColumn="0" w:firstRowLastColumn="0" w:lastRowFirstColumn="0" w:lastRowLastColumn="0"/>
              <w:rPr>
                <w:sz w:val="20"/>
              </w:rPr>
            </w:pPr>
            <w:r w:rsidRPr="00CA5547">
              <w:rPr>
                <w:sz w:val="20"/>
              </w:rPr>
              <w:t xml:space="preserve">0.13 </w:t>
            </w:r>
            <w:r w:rsidRPr="00CA5547">
              <w:rPr>
                <w:rFonts w:cs="Times"/>
                <w:sz w:val="20"/>
              </w:rPr>
              <w:t>± 0.013</w:t>
            </w:r>
          </w:p>
        </w:tc>
        <w:tc>
          <w:tcPr>
            <w:tcW w:w="661" w:type="pct"/>
          </w:tcPr>
          <w:p w14:paraId="7B99136B" w14:textId="1808A89A" w:rsidR="005A7E4A" w:rsidRPr="00CA5547" w:rsidRDefault="005A7E4A" w:rsidP="00A47461">
            <w:pPr>
              <w:jc w:val="center"/>
              <w:cnfStyle w:val="000000000000" w:firstRow="0" w:lastRow="0" w:firstColumn="0" w:lastColumn="0" w:oddVBand="0" w:evenVBand="0" w:oddHBand="0" w:evenHBand="0" w:firstRowFirstColumn="0" w:firstRowLastColumn="0" w:lastRowFirstColumn="0" w:lastRowLastColumn="0"/>
              <w:rPr>
                <w:sz w:val="20"/>
              </w:rPr>
            </w:pPr>
            <w:proofErr w:type="spellStart"/>
            <w:r w:rsidRPr="00CA5547">
              <w:rPr>
                <w:sz w:val="20"/>
              </w:rPr>
              <w:t>n.a.</w:t>
            </w:r>
            <w:proofErr w:type="spellEnd"/>
          </w:p>
        </w:tc>
        <w:tc>
          <w:tcPr>
            <w:tcW w:w="661" w:type="pct"/>
          </w:tcPr>
          <w:p w14:paraId="3A8AE43C" w14:textId="635A3E4F" w:rsidR="005A7E4A" w:rsidRPr="00CA5547" w:rsidRDefault="005A7E4A" w:rsidP="00A47461">
            <w:pPr>
              <w:jc w:val="center"/>
              <w:cnfStyle w:val="000000000000" w:firstRow="0" w:lastRow="0" w:firstColumn="0" w:lastColumn="0" w:oddVBand="0" w:evenVBand="0" w:oddHBand="0" w:evenHBand="0" w:firstRowFirstColumn="0" w:firstRowLastColumn="0" w:lastRowFirstColumn="0" w:lastRowLastColumn="0"/>
              <w:rPr>
                <w:sz w:val="20"/>
              </w:rPr>
            </w:pPr>
            <w:proofErr w:type="spellStart"/>
            <w:r w:rsidRPr="00CA5547">
              <w:rPr>
                <w:sz w:val="20"/>
              </w:rPr>
              <w:t>n.a.</w:t>
            </w:r>
            <w:proofErr w:type="spellEnd"/>
          </w:p>
        </w:tc>
      </w:tr>
    </w:tbl>
    <w:p w14:paraId="5E69D165" w14:textId="165FF1D0" w:rsidR="00AF49A5" w:rsidRDefault="00AF49A5" w:rsidP="00AF49A5"/>
    <w:p w14:paraId="332E43BC" w14:textId="3AB5E627" w:rsidR="00A47461" w:rsidRPr="00360DB5" w:rsidRDefault="00A47461" w:rsidP="00A47461">
      <w:pPr>
        <w:spacing w:line="360" w:lineRule="auto"/>
        <w:rPr>
          <w:sz w:val="20"/>
        </w:rPr>
      </w:pPr>
      <w:r w:rsidRPr="00E570A4">
        <w:rPr>
          <w:b/>
          <w:sz w:val="20"/>
        </w:rPr>
        <w:t>Supplementary Table S</w:t>
      </w:r>
      <w:r>
        <w:rPr>
          <w:b/>
          <w:sz w:val="20"/>
        </w:rPr>
        <w:t>2</w:t>
      </w:r>
      <w:r w:rsidRPr="00E570A4">
        <w:rPr>
          <w:sz w:val="20"/>
        </w:rPr>
        <w:t xml:space="preserve">: </w:t>
      </w:r>
      <w:r>
        <w:rPr>
          <w:sz w:val="20"/>
        </w:rPr>
        <w:t>Estimation of the ‘</w:t>
      </w:r>
      <w:r>
        <w:rPr>
          <w:i/>
          <w:sz w:val="20"/>
        </w:rPr>
        <w:t xml:space="preserve">RC’ </w:t>
      </w:r>
      <w:r w:rsidRPr="00A47461">
        <w:rPr>
          <w:sz w:val="20"/>
        </w:rPr>
        <w:t>time constant for the two electrochemical cells</w:t>
      </w:r>
      <w:r w:rsidR="00360DB5">
        <w:rPr>
          <w:sz w:val="20"/>
        </w:rPr>
        <w:t xml:space="preserve">. </w:t>
      </w:r>
      <w:r w:rsidR="00360DB5" w:rsidRPr="00360DB5">
        <w:rPr>
          <w:i/>
          <w:sz w:val="20"/>
        </w:rPr>
        <w:t>C</w:t>
      </w:r>
      <w:r w:rsidR="00360DB5" w:rsidRPr="00360DB5">
        <w:rPr>
          <w:i/>
          <w:sz w:val="20"/>
          <w:vertAlign w:val="subscript"/>
        </w:rPr>
        <w:t>DL</w:t>
      </w:r>
      <w:r w:rsidR="00360DB5">
        <w:rPr>
          <w:sz w:val="20"/>
        </w:rPr>
        <w:t xml:space="preserve"> is estimated from linear regression of the capacitive current at 0.4 V </w:t>
      </w:r>
      <w:r w:rsidR="00360DB5" w:rsidRPr="00360DB5">
        <w:rPr>
          <w:sz w:val="20"/>
        </w:rPr>
        <w:t>vs</w:t>
      </w:r>
      <w:r w:rsidR="00360DB5">
        <w:rPr>
          <w:sz w:val="20"/>
        </w:rPr>
        <w:t xml:space="preserve">. RHE at different sweep rates and </w:t>
      </w:r>
      <w:r w:rsidR="00360DB5" w:rsidRPr="00360DB5">
        <w:rPr>
          <w:i/>
          <w:sz w:val="20"/>
        </w:rPr>
        <w:t>R</w:t>
      </w:r>
      <w:r w:rsidR="00360DB5" w:rsidRPr="00360DB5">
        <w:rPr>
          <w:i/>
          <w:sz w:val="20"/>
          <w:vertAlign w:val="subscript"/>
        </w:rPr>
        <w:t>s</w:t>
      </w:r>
      <w:r w:rsidR="00360DB5">
        <w:rPr>
          <w:sz w:val="20"/>
        </w:rPr>
        <w:t xml:space="preserve"> from electrochemical impedance spectroscopy.</w:t>
      </w:r>
    </w:p>
    <w:tbl>
      <w:tblPr>
        <w:tblStyle w:val="ListTable2"/>
        <w:tblW w:w="0" w:type="auto"/>
        <w:tblLook w:val="04A0" w:firstRow="1" w:lastRow="0" w:firstColumn="1" w:lastColumn="0" w:noHBand="0" w:noVBand="1"/>
      </w:tblPr>
      <w:tblGrid>
        <w:gridCol w:w="2337"/>
        <w:gridCol w:w="2337"/>
        <w:gridCol w:w="2338"/>
        <w:gridCol w:w="2338"/>
      </w:tblGrid>
      <w:tr w:rsidR="00D313C4" w:rsidRPr="00A47461" w14:paraId="764A1AB5" w14:textId="77777777" w:rsidTr="00A4746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vAlign w:val="center"/>
          </w:tcPr>
          <w:p w14:paraId="40F5EF47" w14:textId="77777777" w:rsidR="00D313C4" w:rsidRPr="00A47461" w:rsidRDefault="00D313C4" w:rsidP="00A47461">
            <w:pPr>
              <w:jc w:val="center"/>
              <w:rPr>
                <w:sz w:val="20"/>
              </w:rPr>
            </w:pPr>
          </w:p>
        </w:tc>
        <w:tc>
          <w:tcPr>
            <w:tcW w:w="2337" w:type="dxa"/>
            <w:vAlign w:val="center"/>
          </w:tcPr>
          <w:p w14:paraId="35E94F22" w14:textId="02C6A00E" w:rsidR="00D313C4" w:rsidRPr="00A47461" w:rsidRDefault="007050E6" w:rsidP="00A47461">
            <w:pPr>
              <w:jc w:val="center"/>
              <w:cnfStyle w:val="100000000000" w:firstRow="1" w:lastRow="0" w:firstColumn="0" w:lastColumn="0" w:oddVBand="0" w:evenVBand="0" w:oddHBand="0" w:evenHBand="0" w:firstRowFirstColumn="0" w:firstRowLastColumn="0" w:lastRowFirstColumn="0" w:lastRowLastColumn="0"/>
              <w:rPr>
                <w:i/>
                <w:sz w:val="20"/>
              </w:rPr>
            </w:pPr>
            <w:r w:rsidRPr="00A47461">
              <w:rPr>
                <w:i/>
                <w:sz w:val="20"/>
              </w:rPr>
              <w:t>C</w:t>
            </w:r>
            <w:r w:rsidRPr="00A47461">
              <w:rPr>
                <w:i/>
                <w:sz w:val="20"/>
                <w:vertAlign w:val="subscript"/>
              </w:rPr>
              <w:t>DL</w:t>
            </w:r>
          </w:p>
        </w:tc>
        <w:tc>
          <w:tcPr>
            <w:tcW w:w="2338" w:type="dxa"/>
            <w:vAlign w:val="center"/>
          </w:tcPr>
          <w:p w14:paraId="528DAB1C" w14:textId="6C683660" w:rsidR="00D313C4" w:rsidRPr="00A47461" w:rsidRDefault="007050E6" w:rsidP="00A47461">
            <w:pPr>
              <w:jc w:val="center"/>
              <w:cnfStyle w:val="100000000000" w:firstRow="1" w:lastRow="0" w:firstColumn="0" w:lastColumn="0" w:oddVBand="0" w:evenVBand="0" w:oddHBand="0" w:evenHBand="0" w:firstRowFirstColumn="0" w:firstRowLastColumn="0" w:lastRowFirstColumn="0" w:lastRowLastColumn="0"/>
              <w:rPr>
                <w:i/>
                <w:sz w:val="20"/>
              </w:rPr>
            </w:pPr>
            <w:r w:rsidRPr="00A47461">
              <w:rPr>
                <w:i/>
                <w:sz w:val="20"/>
              </w:rPr>
              <w:t>R</w:t>
            </w:r>
            <w:r w:rsidRPr="00A47461">
              <w:rPr>
                <w:i/>
                <w:sz w:val="20"/>
                <w:vertAlign w:val="subscript"/>
              </w:rPr>
              <w:t>s</w:t>
            </w:r>
          </w:p>
        </w:tc>
        <w:tc>
          <w:tcPr>
            <w:tcW w:w="2338" w:type="dxa"/>
            <w:vAlign w:val="center"/>
          </w:tcPr>
          <w:p w14:paraId="1FEA3042" w14:textId="36DE9D5A" w:rsidR="00D313C4" w:rsidRPr="00A47461" w:rsidRDefault="00DF481F" w:rsidP="00A47461">
            <w:pPr>
              <w:jc w:val="center"/>
              <w:cnfStyle w:val="100000000000" w:firstRow="1" w:lastRow="0" w:firstColumn="0" w:lastColumn="0" w:oddVBand="0" w:evenVBand="0" w:oddHBand="0" w:evenHBand="0" w:firstRowFirstColumn="0" w:firstRowLastColumn="0" w:lastRowFirstColumn="0" w:lastRowLastColumn="0"/>
              <w:rPr>
                <w:sz w:val="20"/>
              </w:rPr>
            </w:pPr>
            <w:r w:rsidRPr="00A47461">
              <w:rPr>
                <w:i/>
                <w:sz w:val="20"/>
              </w:rPr>
              <w:t>‘RC’</w:t>
            </w:r>
            <w:r w:rsidRPr="00A47461">
              <w:rPr>
                <w:sz w:val="20"/>
              </w:rPr>
              <w:t xml:space="preserve"> constant</w:t>
            </w:r>
          </w:p>
        </w:tc>
      </w:tr>
      <w:tr w:rsidR="00D313C4" w:rsidRPr="00A47461" w14:paraId="742B868D" w14:textId="77777777" w:rsidTr="00A474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vAlign w:val="center"/>
          </w:tcPr>
          <w:p w14:paraId="13EF7D94" w14:textId="11216F99" w:rsidR="00D313C4" w:rsidRPr="00A47461" w:rsidRDefault="007050E6" w:rsidP="00A47461">
            <w:pPr>
              <w:jc w:val="center"/>
              <w:rPr>
                <w:sz w:val="20"/>
              </w:rPr>
            </w:pPr>
            <w:r w:rsidRPr="00A47461">
              <w:rPr>
                <w:sz w:val="20"/>
              </w:rPr>
              <w:t>PEMFC</w:t>
            </w:r>
          </w:p>
        </w:tc>
        <w:tc>
          <w:tcPr>
            <w:tcW w:w="2337" w:type="dxa"/>
            <w:vAlign w:val="center"/>
          </w:tcPr>
          <w:p w14:paraId="65B158ED" w14:textId="7E160E50" w:rsidR="00D313C4" w:rsidRPr="00A47461" w:rsidRDefault="00DF481F" w:rsidP="00A47461">
            <w:pPr>
              <w:jc w:val="center"/>
              <w:cnfStyle w:val="000000100000" w:firstRow="0" w:lastRow="0" w:firstColumn="0" w:lastColumn="0" w:oddVBand="0" w:evenVBand="0" w:oddHBand="1" w:evenHBand="0" w:firstRowFirstColumn="0" w:firstRowLastColumn="0" w:lastRowFirstColumn="0" w:lastRowLastColumn="0"/>
              <w:rPr>
                <w:sz w:val="20"/>
              </w:rPr>
            </w:pPr>
            <w:r w:rsidRPr="00A47461">
              <w:rPr>
                <w:sz w:val="20"/>
              </w:rPr>
              <w:t xml:space="preserve">510 </w:t>
            </w:r>
            <w:proofErr w:type="spellStart"/>
            <w:r w:rsidRPr="00A47461">
              <w:rPr>
                <w:sz w:val="20"/>
              </w:rPr>
              <w:t>mC</w:t>
            </w:r>
            <w:proofErr w:type="spellEnd"/>
          </w:p>
        </w:tc>
        <w:tc>
          <w:tcPr>
            <w:tcW w:w="2338" w:type="dxa"/>
            <w:vAlign w:val="center"/>
          </w:tcPr>
          <w:p w14:paraId="5FAD64D9" w14:textId="53390022" w:rsidR="00D313C4" w:rsidRPr="00A47461" w:rsidRDefault="00DF481F" w:rsidP="00A47461">
            <w:pPr>
              <w:jc w:val="center"/>
              <w:cnfStyle w:val="000000100000" w:firstRow="0" w:lastRow="0" w:firstColumn="0" w:lastColumn="0" w:oddVBand="0" w:evenVBand="0" w:oddHBand="1" w:evenHBand="0" w:firstRowFirstColumn="0" w:firstRowLastColumn="0" w:lastRowFirstColumn="0" w:lastRowLastColumn="0"/>
              <w:rPr>
                <w:sz w:val="20"/>
              </w:rPr>
            </w:pPr>
            <w:r w:rsidRPr="00A47461">
              <w:rPr>
                <w:sz w:val="20"/>
              </w:rPr>
              <w:t>0.6 Ω</w:t>
            </w:r>
          </w:p>
        </w:tc>
        <w:tc>
          <w:tcPr>
            <w:tcW w:w="2338" w:type="dxa"/>
            <w:vAlign w:val="center"/>
          </w:tcPr>
          <w:p w14:paraId="1A02B020" w14:textId="7067612A" w:rsidR="00D313C4" w:rsidRPr="00A47461" w:rsidRDefault="00DF481F" w:rsidP="00A47461">
            <w:pPr>
              <w:jc w:val="center"/>
              <w:cnfStyle w:val="000000100000" w:firstRow="0" w:lastRow="0" w:firstColumn="0" w:lastColumn="0" w:oddVBand="0" w:evenVBand="0" w:oddHBand="1" w:evenHBand="0" w:firstRowFirstColumn="0" w:firstRowLastColumn="0" w:lastRowFirstColumn="0" w:lastRowLastColumn="0"/>
              <w:rPr>
                <w:sz w:val="20"/>
              </w:rPr>
            </w:pPr>
            <w:r w:rsidRPr="00A47461">
              <w:rPr>
                <w:sz w:val="20"/>
              </w:rPr>
              <w:t>306 ms</w:t>
            </w:r>
          </w:p>
        </w:tc>
      </w:tr>
      <w:tr w:rsidR="00D313C4" w:rsidRPr="00A47461" w14:paraId="752905FE" w14:textId="77777777" w:rsidTr="00A47461">
        <w:tc>
          <w:tcPr>
            <w:cnfStyle w:val="001000000000" w:firstRow="0" w:lastRow="0" w:firstColumn="1" w:lastColumn="0" w:oddVBand="0" w:evenVBand="0" w:oddHBand="0" w:evenHBand="0" w:firstRowFirstColumn="0" w:firstRowLastColumn="0" w:lastRowFirstColumn="0" w:lastRowLastColumn="0"/>
            <w:tcW w:w="2337" w:type="dxa"/>
            <w:vAlign w:val="center"/>
          </w:tcPr>
          <w:p w14:paraId="44D5C1A3" w14:textId="7CCC77EE" w:rsidR="00D313C4" w:rsidRPr="00A47461" w:rsidRDefault="007050E6" w:rsidP="00A47461">
            <w:pPr>
              <w:jc w:val="center"/>
              <w:rPr>
                <w:sz w:val="20"/>
              </w:rPr>
            </w:pPr>
            <w:r w:rsidRPr="00A47461">
              <w:rPr>
                <w:sz w:val="20"/>
              </w:rPr>
              <w:t>Thin-film flow cell</w:t>
            </w:r>
          </w:p>
        </w:tc>
        <w:tc>
          <w:tcPr>
            <w:tcW w:w="2337" w:type="dxa"/>
            <w:vAlign w:val="center"/>
          </w:tcPr>
          <w:p w14:paraId="57727224" w14:textId="6E4E7EBD" w:rsidR="00D313C4" w:rsidRPr="00A47461" w:rsidRDefault="00360DB5" w:rsidP="00A47461">
            <w:pPr>
              <w:jc w:val="center"/>
              <w:cnfStyle w:val="000000000000" w:firstRow="0" w:lastRow="0" w:firstColumn="0" w:lastColumn="0" w:oddVBand="0" w:evenVBand="0" w:oddHBand="0" w:evenHBand="0" w:firstRowFirstColumn="0" w:firstRowLastColumn="0" w:lastRowFirstColumn="0" w:lastRowLastColumn="0"/>
              <w:rPr>
                <w:sz w:val="20"/>
              </w:rPr>
            </w:pPr>
            <w:r>
              <w:rPr>
                <w:sz w:val="20"/>
              </w:rPr>
              <w:t>303</w:t>
            </w:r>
            <w:r w:rsidR="00DF481F" w:rsidRPr="00A47461">
              <w:rPr>
                <w:sz w:val="20"/>
              </w:rPr>
              <w:t xml:space="preserve"> </w:t>
            </w:r>
            <w:r w:rsidR="00DF481F" w:rsidRPr="00A47461">
              <w:rPr>
                <w:rFonts w:cs="Times"/>
                <w:sz w:val="20"/>
              </w:rPr>
              <w:t>µ</w:t>
            </w:r>
            <w:r w:rsidR="00DF481F" w:rsidRPr="00A47461">
              <w:rPr>
                <w:sz w:val="20"/>
              </w:rPr>
              <w:t>C</w:t>
            </w:r>
          </w:p>
        </w:tc>
        <w:tc>
          <w:tcPr>
            <w:tcW w:w="2338" w:type="dxa"/>
            <w:vAlign w:val="center"/>
          </w:tcPr>
          <w:p w14:paraId="5C91A671" w14:textId="0AF56423" w:rsidR="00D313C4" w:rsidRPr="00A47461" w:rsidRDefault="00DF481F" w:rsidP="00A47461">
            <w:pPr>
              <w:jc w:val="center"/>
              <w:cnfStyle w:val="000000000000" w:firstRow="0" w:lastRow="0" w:firstColumn="0" w:lastColumn="0" w:oddVBand="0" w:evenVBand="0" w:oddHBand="0" w:evenHBand="0" w:firstRowFirstColumn="0" w:firstRowLastColumn="0" w:lastRowFirstColumn="0" w:lastRowLastColumn="0"/>
              <w:rPr>
                <w:sz w:val="20"/>
              </w:rPr>
            </w:pPr>
            <w:r w:rsidRPr="00A47461">
              <w:rPr>
                <w:sz w:val="20"/>
              </w:rPr>
              <w:t>24 Ω</w:t>
            </w:r>
          </w:p>
        </w:tc>
        <w:tc>
          <w:tcPr>
            <w:tcW w:w="2338" w:type="dxa"/>
            <w:vAlign w:val="center"/>
          </w:tcPr>
          <w:p w14:paraId="5AAB354F" w14:textId="2CB5E004" w:rsidR="00D313C4" w:rsidRPr="00A47461" w:rsidRDefault="00DF481F" w:rsidP="00A47461">
            <w:pPr>
              <w:jc w:val="center"/>
              <w:cnfStyle w:val="000000000000" w:firstRow="0" w:lastRow="0" w:firstColumn="0" w:lastColumn="0" w:oddVBand="0" w:evenVBand="0" w:oddHBand="0" w:evenHBand="0" w:firstRowFirstColumn="0" w:firstRowLastColumn="0" w:lastRowFirstColumn="0" w:lastRowLastColumn="0"/>
              <w:rPr>
                <w:sz w:val="20"/>
              </w:rPr>
            </w:pPr>
            <w:r w:rsidRPr="00A47461">
              <w:rPr>
                <w:sz w:val="20"/>
              </w:rPr>
              <w:t>7</w:t>
            </w:r>
            <w:r w:rsidR="00360DB5">
              <w:rPr>
                <w:sz w:val="20"/>
              </w:rPr>
              <w:t>.3</w:t>
            </w:r>
            <w:r w:rsidRPr="00A47461">
              <w:rPr>
                <w:sz w:val="20"/>
              </w:rPr>
              <w:t xml:space="preserve"> ms</w:t>
            </w:r>
          </w:p>
        </w:tc>
      </w:tr>
    </w:tbl>
    <w:p w14:paraId="0C324900" w14:textId="77777777" w:rsidR="00AF49A5" w:rsidRPr="00055B1E" w:rsidRDefault="00AF49A5" w:rsidP="00AF49A5">
      <w:pPr>
        <w:pStyle w:val="TFReferencesSection"/>
        <w:spacing w:after="0"/>
        <w:ind w:firstLine="0"/>
        <w:rPr>
          <w:b/>
          <w:sz w:val="24"/>
        </w:rPr>
      </w:pPr>
      <w:bookmarkStart w:id="3" w:name="_GoBack"/>
      <w:bookmarkEnd w:id="3"/>
      <w:r w:rsidRPr="00055B1E">
        <w:rPr>
          <w:b/>
          <w:sz w:val="24"/>
        </w:rPr>
        <w:lastRenderedPageBreak/>
        <w:t>REFERENCES</w:t>
      </w:r>
    </w:p>
    <w:p w14:paraId="5C6353DF" w14:textId="6FAF8E54" w:rsidR="0039734E" w:rsidRPr="0039734E" w:rsidRDefault="00AF49A5" w:rsidP="0039734E">
      <w:pPr>
        <w:widowControl w:val="0"/>
        <w:autoSpaceDE w:val="0"/>
        <w:autoSpaceDN w:val="0"/>
        <w:adjustRightInd w:val="0"/>
        <w:spacing w:after="0"/>
        <w:ind w:left="640" w:hanging="640"/>
        <w:rPr>
          <w:rFonts w:cs="Times"/>
          <w:noProof/>
          <w:sz w:val="24"/>
          <w:szCs w:val="24"/>
        </w:rPr>
      </w:pPr>
      <w:r w:rsidRPr="00055B1E">
        <w:rPr>
          <w:b/>
          <w:sz w:val="24"/>
        </w:rPr>
        <w:fldChar w:fldCharType="begin" w:fldLock="1"/>
      </w:r>
      <w:r w:rsidRPr="00055B1E">
        <w:rPr>
          <w:b/>
          <w:sz w:val="24"/>
        </w:rPr>
        <w:instrText xml:space="preserve">ADDIN Mendeley Bibliography CSL_BIBLIOGRAPHY </w:instrText>
      </w:r>
      <w:r w:rsidRPr="00055B1E">
        <w:rPr>
          <w:b/>
          <w:sz w:val="24"/>
        </w:rPr>
        <w:fldChar w:fldCharType="separate"/>
      </w:r>
      <w:r w:rsidR="0039734E" w:rsidRPr="0039734E">
        <w:rPr>
          <w:rFonts w:cs="Times"/>
          <w:noProof/>
          <w:sz w:val="24"/>
          <w:szCs w:val="24"/>
        </w:rPr>
        <w:t>1.</w:t>
      </w:r>
      <w:r w:rsidR="0039734E" w:rsidRPr="0039734E">
        <w:rPr>
          <w:rFonts w:cs="Times"/>
          <w:noProof/>
          <w:sz w:val="24"/>
          <w:szCs w:val="24"/>
        </w:rPr>
        <w:tab/>
        <w:t xml:space="preserve">Martens, I. </w:t>
      </w:r>
      <w:r w:rsidR="0039734E" w:rsidRPr="0039734E">
        <w:rPr>
          <w:rFonts w:cs="Times"/>
          <w:i/>
          <w:iCs/>
          <w:noProof/>
          <w:sz w:val="24"/>
          <w:szCs w:val="24"/>
        </w:rPr>
        <w:t>et al.</w:t>
      </w:r>
      <w:r w:rsidR="0039734E" w:rsidRPr="0039734E">
        <w:rPr>
          <w:rFonts w:cs="Times"/>
          <w:noProof/>
          <w:sz w:val="24"/>
          <w:szCs w:val="24"/>
        </w:rPr>
        <w:t xml:space="preserve"> X-ray transparent proton-exchange membrane fuel cell design for in situ wide and small angle scattering tomography. </w:t>
      </w:r>
      <w:r w:rsidR="0039734E" w:rsidRPr="0039734E">
        <w:rPr>
          <w:rFonts w:cs="Times"/>
          <w:i/>
          <w:iCs/>
          <w:noProof/>
          <w:sz w:val="24"/>
          <w:szCs w:val="24"/>
        </w:rPr>
        <w:t>J. Power Sources</w:t>
      </w:r>
      <w:r w:rsidR="0039734E" w:rsidRPr="0039734E">
        <w:rPr>
          <w:rFonts w:cs="Times"/>
          <w:noProof/>
          <w:sz w:val="24"/>
          <w:szCs w:val="24"/>
        </w:rPr>
        <w:t xml:space="preserve"> </w:t>
      </w:r>
      <w:r w:rsidR="0039734E" w:rsidRPr="0039734E">
        <w:rPr>
          <w:rFonts w:cs="Times"/>
          <w:b/>
          <w:bCs/>
          <w:noProof/>
          <w:sz w:val="24"/>
          <w:szCs w:val="24"/>
        </w:rPr>
        <w:t>437</w:t>
      </w:r>
      <w:r w:rsidR="0039734E" w:rsidRPr="0039734E">
        <w:rPr>
          <w:rFonts w:cs="Times"/>
          <w:noProof/>
          <w:sz w:val="24"/>
          <w:szCs w:val="24"/>
        </w:rPr>
        <w:t>, 226906 (2019).</w:t>
      </w:r>
    </w:p>
    <w:p w14:paraId="69956DDF" w14:textId="77777777" w:rsidR="0039734E" w:rsidRPr="0039734E" w:rsidRDefault="0039734E" w:rsidP="0039734E">
      <w:pPr>
        <w:widowControl w:val="0"/>
        <w:autoSpaceDE w:val="0"/>
        <w:autoSpaceDN w:val="0"/>
        <w:adjustRightInd w:val="0"/>
        <w:spacing w:after="0"/>
        <w:ind w:left="640" w:hanging="640"/>
        <w:rPr>
          <w:rFonts w:cs="Times"/>
          <w:noProof/>
          <w:sz w:val="24"/>
          <w:szCs w:val="24"/>
        </w:rPr>
      </w:pPr>
      <w:r w:rsidRPr="0039734E">
        <w:rPr>
          <w:rFonts w:cs="Times"/>
          <w:noProof/>
          <w:sz w:val="24"/>
          <w:szCs w:val="24"/>
        </w:rPr>
        <w:t>2.</w:t>
      </w:r>
      <w:r w:rsidRPr="0039734E">
        <w:rPr>
          <w:rFonts w:cs="Times"/>
          <w:noProof/>
          <w:sz w:val="24"/>
          <w:szCs w:val="24"/>
        </w:rPr>
        <w:tab/>
        <w:t xml:space="preserve">Martens, I. </w:t>
      </w:r>
      <w:r w:rsidRPr="0039734E">
        <w:rPr>
          <w:rFonts w:cs="Times"/>
          <w:i/>
          <w:iCs/>
          <w:noProof/>
          <w:sz w:val="24"/>
          <w:szCs w:val="24"/>
        </w:rPr>
        <w:t>et al.</w:t>
      </w:r>
      <w:r w:rsidRPr="0039734E">
        <w:rPr>
          <w:rFonts w:cs="Times"/>
          <w:noProof/>
          <w:sz w:val="24"/>
          <w:szCs w:val="24"/>
        </w:rPr>
        <w:t xml:space="preserve"> Imaging Heterogeneous Electrocatalyst Stability and Decoupling Degradation Mechanisms in Operating Hydrogen Fuel Cells. </w:t>
      </w:r>
      <w:r w:rsidRPr="0039734E">
        <w:rPr>
          <w:rFonts w:cs="Times"/>
          <w:i/>
          <w:iCs/>
          <w:noProof/>
          <w:sz w:val="24"/>
          <w:szCs w:val="24"/>
        </w:rPr>
        <w:t>ACS Energy Lett.</w:t>
      </w:r>
      <w:r w:rsidRPr="0039734E">
        <w:rPr>
          <w:rFonts w:cs="Times"/>
          <w:noProof/>
          <w:sz w:val="24"/>
          <w:szCs w:val="24"/>
        </w:rPr>
        <w:t xml:space="preserve"> </w:t>
      </w:r>
      <w:r w:rsidRPr="0039734E">
        <w:rPr>
          <w:rFonts w:cs="Times"/>
          <w:b/>
          <w:bCs/>
          <w:noProof/>
          <w:sz w:val="24"/>
          <w:szCs w:val="24"/>
        </w:rPr>
        <w:t>6</w:t>
      </w:r>
      <w:r w:rsidRPr="0039734E">
        <w:rPr>
          <w:rFonts w:cs="Times"/>
          <w:noProof/>
          <w:sz w:val="24"/>
          <w:szCs w:val="24"/>
        </w:rPr>
        <w:t>, 2742–2749 (2021).</w:t>
      </w:r>
    </w:p>
    <w:p w14:paraId="24A4F861" w14:textId="77777777" w:rsidR="0039734E" w:rsidRPr="0039734E" w:rsidRDefault="0039734E" w:rsidP="0039734E">
      <w:pPr>
        <w:widowControl w:val="0"/>
        <w:autoSpaceDE w:val="0"/>
        <w:autoSpaceDN w:val="0"/>
        <w:adjustRightInd w:val="0"/>
        <w:spacing w:after="0"/>
        <w:ind w:left="640" w:hanging="640"/>
        <w:rPr>
          <w:rFonts w:cs="Times"/>
          <w:noProof/>
          <w:sz w:val="24"/>
          <w:szCs w:val="24"/>
        </w:rPr>
      </w:pPr>
      <w:r w:rsidRPr="0039734E">
        <w:rPr>
          <w:rFonts w:cs="Times"/>
          <w:noProof/>
          <w:sz w:val="24"/>
          <w:szCs w:val="24"/>
        </w:rPr>
        <w:t>3.</w:t>
      </w:r>
      <w:r w:rsidRPr="0039734E">
        <w:rPr>
          <w:rFonts w:cs="Times"/>
          <w:noProof/>
          <w:sz w:val="24"/>
          <w:szCs w:val="24"/>
        </w:rPr>
        <w:tab/>
        <w:t xml:space="preserve">Martens, I., Chattot, R. &amp; Drnec, J. Decoupling catalyst aggregation, ripening, and coalescence processes inside operating fuel cells. </w:t>
      </w:r>
      <w:r w:rsidRPr="0039734E">
        <w:rPr>
          <w:rFonts w:cs="Times"/>
          <w:i/>
          <w:iCs/>
          <w:noProof/>
          <w:sz w:val="24"/>
          <w:szCs w:val="24"/>
        </w:rPr>
        <w:t>J. Power Sources</w:t>
      </w:r>
      <w:r w:rsidRPr="0039734E">
        <w:rPr>
          <w:rFonts w:cs="Times"/>
          <w:noProof/>
          <w:sz w:val="24"/>
          <w:szCs w:val="24"/>
        </w:rPr>
        <w:t xml:space="preserve"> </w:t>
      </w:r>
      <w:r w:rsidRPr="0039734E">
        <w:rPr>
          <w:rFonts w:cs="Times"/>
          <w:b/>
          <w:bCs/>
          <w:noProof/>
          <w:sz w:val="24"/>
          <w:szCs w:val="24"/>
        </w:rPr>
        <w:t>521</w:t>
      </w:r>
      <w:r w:rsidRPr="0039734E">
        <w:rPr>
          <w:rFonts w:cs="Times"/>
          <w:noProof/>
          <w:sz w:val="24"/>
          <w:szCs w:val="24"/>
        </w:rPr>
        <w:t>, 230851 (2022).</w:t>
      </w:r>
    </w:p>
    <w:p w14:paraId="67D95815" w14:textId="77777777" w:rsidR="0039734E" w:rsidRPr="0039734E" w:rsidRDefault="0039734E" w:rsidP="0039734E">
      <w:pPr>
        <w:widowControl w:val="0"/>
        <w:autoSpaceDE w:val="0"/>
        <w:autoSpaceDN w:val="0"/>
        <w:adjustRightInd w:val="0"/>
        <w:spacing w:after="0"/>
        <w:ind w:left="640" w:hanging="640"/>
        <w:rPr>
          <w:rFonts w:cs="Times"/>
          <w:noProof/>
          <w:sz w:val="24"/>
          <w:szCs w:val="24"/>
        </w:rPr>
      </w:pPr>
      <w:r w:rsidRPr="0039734E">
        <w:rPr>
          <w:rFonts w:cs="Times"/>
          <w:noProof/>
          <w:sz w:val="24"/>
          <w:szCs w:val="24"/>
        </w:rPr>
        <w:t>4.</w:t>
      </w:r>
      <w:r w:rsidRPr="0039734E">
        <w:rPr>
          <w:rFonts w:cs="Times"/>
          <w:noProof/>
          <w:sz w:val="24"/>
          <w:szCs w:val="24"/>
        </w:rPr>
        <w:tab/>
        <w:t xml:space="preserve">Chattot, R. </w:t>
      </w:r>
      <w:r w:rsidRPr="0039734E">
        <w:rPr>
          <w:rFonts w:cs="Times"/>
          <w:i/>
          <w:iCs/>
          <w:noProof/>
          <w:sz w:val="24"/>
          <w:szCs w:val="24"/>
        </w:rPr>
        <w:t>et al.</w:t>
      </w:r>
      <w:r w:rsidRPr="0039734E">
        <w:rPr>
          <w:rFonts w:cs="Times"/>
          <w:noProof/>
          <w:sz w:val="24"/>
          <w:szCs w:val="24"/>
        </w:rPr>
        <w:t xml:space="preserve"> Beware of cyclic voltammetry! Measurement artefact in accelerated stress test of fuel cell cathode revealed by operando X-ray diffraction. </w:t>
      </w:r>
      <w:r w:rsidRPr="0039734E">
        <w:rPr>
          <w:rFonts w:cs="Times"/>
          <w:i/>
          <w:iCs/>
          <w:noProof/>
          <w:sz w:val="24"/>
          <w:szCs w:val="24"/>
        </w:rPr>
        <w:t>J. Power Sources</w:t>
      </w:r>
      <w:r w:rsidRPr="0039734E">
        <w:rPr>
          <w:rFonts w:cs="Times"/>
          <w:noProof/>
          <w:sz w:val="24"/>
          <w:szCs w:val="24"/>
        </w:rPr>
        <w:t xml:space="preserve"> </w:t>
      </w:r>
      <w:r w:rsidRPr="0039734E">
        <w:rPr>
          <w:rFonts w:cs="Times"/>
          <w:b/>
          <w:bCs/>
          <w:noProof/>
          <w:sz w:val="24"/>
          <w:szCs w:val="24"/>
        </w:rPr>
        <w:t>555</w:t>
      </w:r>
      <w:r w:rsidRPr="0039734E">
        <w:rPr>
          <w:rFonts w:cs="Times"/>
          <w:noProof/>
          <w:sz w:val="24"/>
          <w:szCs w:val="24"/>
        </w:rPr>
        <w:t>, 232345 (2023).</w:t>
      </w:r>
    </w:p>
    <w:p w14:paraId="18151C56" w14:textId="77777777" w:rsidR="0039734E" w:rsidRPr="0039734E" w:rsidRDefault="0039734E" w:rsidP="0039734E">
      <w:pPr>
        <w:widowControl w:val="0"/>
        <w:autoSpaceDE w:val="0"/>
        <w:autoSpaceDN w:val="0"/>
        <w:adjustRightInd w:val="0"/>
        <w:spacing w:after="0"/>
        <w:ind w:left="640" w:hanging="640"/>
        <w:rPr>
          <w:rFonts w:cs="Times"/>
          <w:noProof/>
          <w:sz w:val="24"/>
          <w:szCs w:val="24"/>
        </w:rPr>
      </w:pPr>
      <w:r w:rsidRPr="0039734E">
        <w:rPr>
          <w:rFonts w:cs="Times"/>
          <w:noProof/>
          <w:sz w:val="24"/>
          <w:szCs w:val="24"/>
        </w:rPr>
        <w:t>5.</w:t>
      </w:r>
      <w:r w:rsidRPr="0039734E">
        <w:rPr>
          <w:rFonts w:cs="Times"/>
          <w:noProof/>
          <w:sz w:val="24"/>
          <w:szCs w:val="24"/>
        </w:rPr>
        <w:tab/>
        <w:t xml:space="preserve">Chattot, R. </w:t>
      </w:r>
      <w:r w:rsidRPr="0039734E">
        <w:rPr>
          <w:rFonts w:cs="Times"/>
          <w:i/>
          <w:iCs/>
          <w:noProof/>
          <w:sz w:val="24"/>
          <w:szCs w:val="24"/>
        </w:rPr>
        <w:t>et al.</w:t>
      </w:r>
      <w:r w:rsidRPr="0039734E">
        <w:rPr>
          <w:rFonts w:cs="Times"/>
          <w:noProof/>
          <w:sz w:val="24"/>
          <w:szCs w:val="24"/>
        </w:rPr>
        <w:t xml:space="preserve"> Electrochemical Strain Dynamics in Noble Metal Nanocatalysts. </w:t>
      </w:r>
      <w:r w:rsidRPr="0039734E">
        <w:rPr>
          <w:rFonts w:cs="Times"/>
          <w:i/>
          <w:iCs/>
          <w:noProof/>
          <w:sz w:val="24"/>
          <w:szCs w:val="24"/>
        </w:rPr>
        <w:t>J. Am. Chem. Soc.</w:t>
      </w:r>
      <w:r w:rsidRPr="0039734E">
        <w:rPr>
          <w:rFonts w:cs="Times"/>
          <w:noProof/>
          <w:sz w:val="24"/>
          <w:szCs w:val="24"/>
        </w:rPr>
        <w:t xml:space="preserve"> </w:t>
      </w:r>
      <w:r w:rsidRPr="0039734E">
        <w:rPr>
          <w:rFonts w:cs="Times"/>
          <w:b/>
          <w:bCs/>
          <w:noProof/>
          <w:sz w:val="24"/>
          <w:szCs w:val="24"/>
        </w:rPr>
        <w:t>143</w:t>
      </w:r>
      <w:r w:rsidRPr="0039734E">
        <w:rPr>
          <w:rFonts w:cs="Times"/>
          <w:noProof/>
          <w:sz w:val="24"/>
          <w:szCs w:val="24"/>
        </w:rPr>
        <w:t>, 17068–17078 (2021).</w:t>
      </w:r>
    </w:p>
    <w:p w14:paraId="7CECC8A2" w14:textId="77777777" w:rsidR="0039734E" w:rsidRPr="0039734E" w:rsidRDefault="0039734E" w:rsidP="0039734E">
      <w:pPr>
        <w:widowControl w:val="0"/>
        <w:autoSpaceDE w:val="0"/>
        <w:autoSpaceDN w:val="0"/>
        <w:adjustRightInd w:val="0"/>
        <w:spacing w:after="0"/>
        <w:ind w:left="640" w:hanging="640"/>
        <w:rPr>
          <w:rFonts w:cs="Times"/>
          <w:noProof/>
          <w:sz w:val="24"/>
          <w:szCs w:val="24"/>
        </w:rPr>
      </w:pPr>
      <w:r w:rsidRPr="0039734E">
        <w:rPr>
          <w:rFonts w:cs="Times"/>
          <w:noProof/>
          <w:sz w:val="24"/>
          <w:szCs w:val="24"/>
        </w:rPr>
        <w:t>6.</w:t>
      </w:r>
      <w:r w:rsidRPr="0039734E">
        <w:rPr>
          <w:rFonts w:cs="Times"/>
          <w:noProof/>
          <w:sz w:val="24"/>
          <w:szCs w:val="24"/>
        </w:rPr>
        <w:tab/>
        <w:t xml:space="preserve">Chattot, R. </w:t>
      </w:r>
      <w:r w:rsidRPr="0039734E">
        <w:rPr>
          <w:rFonts w:cs="Times"/>
          <w:i/>
          <w:iCs/>
          <w:noProof/>
          <w:sz w:val="24"/>
          <w:szCs w:val="24"/>
        </w:rPr>
        <w:t>et al.</w:t>
      </w:r>
      <w:r w:rsidRPr="0039734E">
        <w:rPr>
          <w:rFonts w:cs="Times"/>
          <w:noProof/>
          <w:sz w:val="24"/>
          <w:szCs w:val="24"/>
        </w:rPr>
        <w:t xml:space="preserve"> Break-In Bad: On the Conditioning of Fuel Cell Nanoalloy Catalysts. </w:t>
      </w:r>
      <w:r w:rsidRPr="0039734E">
        <w:rPr>
          <w:rFonts w:cs="Times"/>
          <w:i/>
          <w:iCs/>
          <w:noProof/>
          <w:sz w:val="24"/>
          <w:szCs w:val="24"/>
        </w:rPr>
        <w:t>ACS Catal.</w:t>
      </w:r>
      <w:r w:rsidRPr="0039734E">
        <w:rPr>
          <w:rFonts w:cs="Times"/>
          <w:noProof/>
          <w:sz w:val="24"/>
          <w:szCs w:val="24"/>
        </w:rPr>
        <w:t xml:space="preserve"> </w:t>
      </w:r>
      <w:r w:rsidRPr="0039734E">
        <w:rPr>
          <w:rFonts w:cs="Times"/>
          <w:b/>
          <w:bCs/>
          <w:noProof/>
          <w:sz w:val="24"/>
          <w:szCs w:val="24"/>
        </w:rPr>
        <w:t>12</w:t>
      </w:r>
      <w:r w:rsidRPr="0039734E">
        <w:rPr>
          <w:rFonts w:cs="Times"/>
          <w:noProof/>
          <w:sz w:val="24"/>
          <w:szCs w:val="24"/>
        </w:rPr>
        <w:t>, 15675–15685 (2022).</w:t>
      </w:r>
    </w:p>
    <w:p w14:paraId="22D9F44D" w14:textId="77777777" w:rsidR="0039734E" w:rsidRPr="0039734E" w:rsidRDefault="0039734E" w:rsidP="0039734E">
      <w:pPr>
        <w:widowControl w:val="0"/>
        <w:autoSpaceDE w:val="0"/>
        <w:autoSpaceDN w:val="0"/>
        <w:adjustRightInd w:val="0"/>
        <w:spacing w:after="0"/>
        <w:ind w:left="640" w:hanging="640"/>
        <w:rPr>
          <w:rFonts w:cs="Times"/>
          <w:noProof/>
          <w:sz w:val="24"/>
          <w:szCs w:val="24"/>
        </w:rPr>
      </w:pPr>
      <w:r w:rsidRPr="0039734E">
        <w:rPr>
          <w:rFonts w:cs="Times"/>
          <w:noProof/>
          <w:sz w:val="24"/>
          <w:szCs w:val="24"/>
        </w:rPr>
        <w:t>7.</w:t>
      </w:r>
      <w:r w:rsidRPr="0039734E">
        <w:rPr>
          <w:rFonts w:cs="Times"/>
          <w:noProof/>
          <w:sz w:val="24"/>
          <w:szCs w:val="24"/>
        </w:rPr>
        <w:tab/>
        <w:t xml:space="preserve">Ashiotis, G. </w:t>
      </w:r>
      <w:r w:rsidRPr="0039734E">
        <w:rPr>
          <w:rFonts w:cs="Times"/>
          <w:i/>
          <w:iCs/>
          <w:noProof/>
          <w:sz w:val="24"/>
          <w:szCs w:val="24"/>
        </w:rPr>
        <w:t>et al.</w:t>
      </w:r>
      <w:r w:rsidRPr="0039734E">
        <w:rPr>
          <w:rFonts w:cs="Times"/>
          <w:noProof/>
          <w:sz w:val="24"/>
          <w:szCs w:val="24"/>
        </w:rPr>
        <w:t xml:space="preserve"> The fast azimuthal integration Python library: PyFAI. </w:t>
      </w:r>
      <w:r w:rsidRPr="0039734E">
        <w:rPr>
          <w:rFonts w:cs="Times"/>
          <w:i/>
          <w:iCs/>
          <w:noProof/>
          <w:sz w:val="24"/>
          <w:szCs w:val="24"/>
        </w:rPr>
        <w:t>J. Appl. Crystallogr.</w:t>
      </w:r>
      <w:r w:rsidRPr="0039734E">
        <w:rPr>
          <w:rFonts w:cs="Times"/>
          <w:noProof/>
          <w:sz w:val="24"/>
          <w:szCs w:val="24"/>
        </w:rPr>
        <w:t xml:space="preserve"> </w:t>
      </w:r>
      <w:r w:rsidRPr="0039734E">
        <w:rPr>
          <w:rFonts w:cs="Times"/>
          <w:b/>
          <w:bCs/>
          <w:noProof/>
          <w:sz w:val="24"/>
          <w:szCs w:val="24"/>
        </w:rPr>
        <w:t>48</w:t>
      </w:r>
      <w:r w:rsidRPr="0039734E">
        <w:rPr>
          <w:rFonts w:cs="Times"/>
          <w:noProof/>
          <w:sz w:val="24"/>
          <w:szCs w:val="24"/>
        </w:rPr>
        <w:t>, 510–519 (2015).</w:t>
      </w:r>
    </w:p>
    <w:p w14:paraId="1E7DF4C8" w14:textId="77777777" w:rsidR="0039734E" w:rsidRPr="0039734E" w:rsidRDefault="0039734E" w:rsidP="0039734E">
      <w:pPr>
        <w:widowControl w:val="0"/>
        <w:autoSpaceDE w:val="0"/>
        <w:autoSpaceDN w:val="0"/>
        <w:adjustRightInd w:val="0"/>
        <w:spacing w:after="0"/>
        <w:ind w:left="640" w:hanging="640"/>
        <w:rPr>
          <w:rFonts w:cs="Times"/>
          <w:noProof/>
          <w:sz w:val="24"/>
          <w:szCs w:val="24"/>
        </w:rPr>
      </w:pPr>
      <w:r w:rsidRPr="0039734E">
        <w:rPr>
          <w:rFonts w:cs="Times"/>
          <w:noProof/>
          <w:sz w:val="24"/>
          <w:szCs w:val="24"/>
        </w:rPr>
        <w:t>8.</w:t>
      </w:r>
      <w:r w:rsidRPr="0039734E">
        <w:rPr>
          <w:rFonts w:cs="Times"/>
          <w:noProof/>
          <w:sz w:val="24"/>
          <w:szCs w:val="24"/>
        </w:rPr>
        <w:tab/>
        <w:t xml:space="preserve">Thompson, P., Cox, D. E. &amp; Hastings, J. B. Rietveld Refinement of Debye-Scherrer Synchrotron X-ray Data from A1203. </w:t>
      </w:r>
      <w:r w:rsidRPr="0039734E">
        <w:rPr>
          <w:rFonts w:cs="Times"/>
          <w:i/>
          <w:iCs/>
          <w:noProof/>
          <w:sz w:val="24"/>
          <w:szCs w:val="24"/>
        </w:rPr>
        <w:t>J. Appl. Crystallogr.</w:t>
      </w:r>
      <w:r w:rsidRPr="0039734E">
        <w:rPr>
          <w:rFonts w:cs="Times"/>
          <w:noProof/>
          <w:sz w:val="24"/>
          <w:szCs w:val="24"/>
        </w:rPr>
        <w:t xml:space="preserve"> </w:t>
      </w:r>
      <w:r w:rsidRPr="0039734E">
        <w:rPr>
          <w:rFonts w:cs="Times"/>
          <w:b/>
          <w:bCs/>
          <w:noProof/>
          <w:sz w:val="24"/>
          <w:szCs w:val="24"/>
        </w:rPr>
        <w:t>20</w:t>
      </w:r>
      <w:r w:rsidRPr="0039734E">
        <w:rPr>
          <w:rFonts w:cs="Times"/>
          <w:noProof/>
          <w:sz w:val="24"/>
          <w:szCs w:val="24"/>
        </w:rPr>
        <w:t>, 79–83 (1987).</w:t>
      </w:r>
    </w:p>
    <w:p w14:paraId="61246915" w14:textId="77777777" w:rsidR="0039734E" w:rsidRPr="0039734E" w:rsidRDefault="0039734E" w:rsidP="0039734E">
      <w:pPr>
        <w:widowControl w:val="0"/>
        <w:autoSpaceDE w:val="0"/>
        <w:autoSpaceDN w:val="0"/>
        <w:adjustRightInd w:val="0"/>
        <w:spacing w:after="0"/>
        <w:ind w:left="640" w:hanging="640"/>
        <w:rPr>
          <w:rFonts w:cs="Times"/>
          <w:noProof/>
          <w:sz w:val="24"/>
          <w:szCs w:val="24"/>
        </w:rPr>
      </w:pPr>
      <w:r w:rsidRPr="0039734E">
        <w:rPr>
          <w:rFonts w:cs="Times"/>
          <w:noProof/>
          <w:sz w:val="24"/>
          <w:szCs w:val="24"/>
        </w:rPr>
        <w:t>9.</w:t>
      </w:r>
      <w:r w:rsidRPr="0039734E">
        <w:rPr>
          <w:rFonts w:cs="Times"/>
          <w:noProof/>
          <w:sz w:val="24"/>
          <w:szCs w:val="24"/>
        </w:rPr>
        <w:tab/>
        <w:t xml:space="preserve">Kresse, G. &amp; Furthmüller, J. Efficiency of ab-initio total energy calculations for metals and semiconductors using a plane-wave basis set. </w:t>
      </w:r>
      <w:r w:rsidRPr="0039734E">
        <w:rPr>
          <w:rFonts w:cs="Times"/>
          <w:i/>
          <w:iCs/>
          <w:noProof/>
          <w:sz w:val="24"/>
          <w:szCs w:val="24"/>
        </w:rPr>
        <w:t>Comput. Mater. Sci.</w:t>
      </w:r>
      <w:r w:rsidRPr="0039734E">
        <w:rPr>
          <w:rFonts w:cs="Times"/>
          <w:noProof/>
          <w:sz w:val="24"/>
          <w:szCs w:val="24"/>
        </w:rPr>
        <w:t xml:space="preserve"> </w:t>
      </w:r>
      <w:r w:rsidRPr="0039734E">
        <w:rPr>
          <w:rFonts w:cs="Times"/>
          <w:b/>
          <w:bCs/>
          <w:noProof/>
          <w:sz w:val="24"/>
          <w:szCs w:val="24"/>
        </w:rPr>
        <w:t>6</w:t>
      </w:r>
      <w:r w:rsidRPr="0039734E">
        <w:rPr>
          <w:rFonts w:cs="Times"/>
          <w:noProof/>
          <w:sz w:val="24"/>
          <w:szCs w:val="24"/>
        </w:rPr>
        <w:t>, 15–50 (1996).</w:t>
      </w:r>
    </w:p>
    <w:p w14:paraId="4CE02EF5" w14:textId="77777777" w:rsidR="0039734E" w:rsidRPr="0039734E" w:rsidRDefault="0039734E" w:rsidP="0039734E">
      <w:pPr>
        <w:widowControl w:val="0"/>
        <w:autoSpaceDE w:val="0"/>
        <w:autoSpaceDN w:val="0"/>
        <w:adjustRightInd w:val="0"/>
        <w:spacing w:after="0"/>
        <w:ind w:left="640" w:hanging="640"/>
        <w:rPr>
          <w:rFonts w:cs="Times"/>
          <w:noProof/>
          <w:sz w:val="24"/>
          <w:szCs w:val="24"/>
        </w:rPr>
      </w:pPr>
      <w:r w:rsidRPr="0039734E">
        <w:rPr>
          <w:rFonts w:cs="Times"/>
          <w:noProof/>
          <w:sz w:val="24"/>
          <w:szCs w:val="24"/>
        </w:rPr>
        <w:t>10.</w:t>
      </w:r>
      <w:r w:rsidRPr="0039734E">
        <w:rPr>
          <w:rFonts w:cs="Times"/>
          <w:noProof/>
          <w:sz w:val="24"/>
          <w:szCs w:val="24"/>
        </w:rPr>
        <w:tab/>
        <w:t xml:space="preserve">Kresse, G. &amp; Furthmüller, J. Efficient iterative schemes for </w:t>
      </w:r>
      <w:r w:rsidRPr="0039734E">
        <w:rPr>
          <w:rFonts w:cs="Times"/>
          <w:i/>
          <w:iCs/>
          <w:noProof/>
          <w:sz w:val="24"/>
          <w:szCs w:val="24"/>
        </w:rPr>
        <w:t>ab initio</w:t>
      </w:r>
      <w:r w:rsidRPr="0039734E">
        <w:rPr>
          <w:rFonts w:cs="Times"/>
          <w:noProof/>
          <w:sz w:val="24"/>
          <w:szCs w:val="24"/>
        </w:rPr>
        <w:t xml:space="preserve"> total-energy calculations using a plane-wave basis set. </w:t>
      </w:r>
      <w:r w:rsidRPr="0039734E">
        <w:rPr>
          <w:rFonts w:cs="Times"/>
          <w:i/>
          <w:iCs/>
          <w:noProof/>
          <w:sz w:val="24"/>
          <w:szCs w:val="24"/>
        </w:rPr>
        <w:t>Phys. Rev. B</w:t>
      </w:r>
      <w:r w:rsidRPr="0039734E">
        <w:rPr>
          <w:rFonts w:cs="Times"/>
          <w:noProof/>
          <w:sz w:val="24"/>
          <w:szCs w:val="24"/>
        </w:rPr>
        <w:t xml:space="preserve"> </w:t>
      </w:r>
      <w:r w:rsidRPr="0039734E">
        <w:rPr>
          <w:rFonts w:cs="Times"/>
          <w:b/>
          <w:bCs/>
          <w:noProof/>
          <w:sz w:val="24"/>
          <w:szCs w:val="24"/>
        </w:rPr>
        <w:t>54</w:t>
      </w:r>
      <w:r w:rsidRPr="0039734E">
        <w:rPr>
          <w:rFonts w:cs="Times"/>
          <w:noProof/>
          <w:sz w:val="24"/>
          <w:szCs w:val="24"/>
        </w:rPr>
        <w:t>, 11169–11186 (1996).</w:t>
      </w:r>
    </w:p>
    <w:p w14:paraId="4F764F29" w14:textId="77777777" w:rsidR="0039734E" w:rsidRPr="0039734E" w:rsidRDefault="0039734E" w:rsidP="0039734E">
      <w:pPr>
        <w:widowControl w:val="0"/>
        <w:autoSpaceDE w:val="0"/>
        <w:autoSpaceDN w:val="0"/>
        <w:adjustRightInd w:val="0"/>
        <w:spacing w:after="0"/>
        <w:ind w:left="640" w:hanging="640"/>
        <w:rPr>
          <w:rFonts w:cs="Times"/>
          <w:noProof/>
          <w:sz w:val="24"/>
          <w:szCs w:val="24"/>
        </w:rPr>
      </w:pPr>
      <w:r w:rsidRPr="0039734E">
        <w:rPr>
          <w:rFonts w:cs="Times"/>
          <w:noProof/>
          <w:sz w:val="24"/>
          <w:szCs w:val="24"/>
        </w:rPr>
        <w:lastRenderedPageBreak/>
        <w:t>11.</w:t>
      </w:r>
      <w:r w:rsidRPr="0039734E">
        <w:rPr>
          <w:rFonts w:cs="Times"/>
          <w:noProof/>
          <w:sz w:val="24"/>
          <w:szCs w:val="24"/>
        </w:rPr>
        <w:tab/>
        <w:t xml:space="preserve">Perdew, J. P., Burke, K., Ernzerhof, M. &amp; Ernzerhof, M. Generalized gradient approximation made simple. </w:t>
      </w:r>
      <w:r w:rsidRPr="0039734E">
        <w:rPr>
          <w:rFonts w:cs="Times"/>
          <w:i/>
          <w:iCs/>
          <w:noProof/>
          <w:sz w:val="24"/>
          <w:szCs w:val="24"/>
        </w:rPr>
        <w:t>Phys. Rev. Lett.</w:t>
      </w:r>
      <w:r w:rsidRPr="0039734E">
        <w:rPr>
          <w:rFonts w:cs="Times"/>
          <w:noProof/>
          <w:sz w:val="24"/>
          <w:szCs w:val="24"/>
        </w:rPr>
        <w:t xml:space="preserve"> </w:t>
      </w:r>
      <w:r w:rsidRPr="0039734E">
        <w:rPr>
          <w:rFonts w:cs="Times"/>
          <w:b/>
          <w:bCs/>
          <w:noProof/>
          <w:sz w:val="24"/>
          <w:szCs w:val="24"/>
        </w:rPr>
        <w:t>77</w:t>
      </w:r>
      <w:r w:rsidRPr="0039734E">
        <w:rPr>
          <w:rFonts w:cs="Times"/>
          <w:noProof/>
          <w:sz w:val="24"/>
          <w:szCs w:val="24"/>
        </w:rPr>
        <w:t>, 3865 (1996).</w:t>
      </w:r>
    </w:p>
    <w:p w14:paraId="08C7AFCA" w14:textId="77777777" w:rsidR="0039734E" w:rsidRPr="0039734E" w:rsidRDefault="0039734E" w:rsidP="0039734E">
      <w:pPr>
        <w:widowControl w:val="0"/>
        <w:autoSpaceDE w:val="0"/>
        <w:autoSpaceDN w:val="0"/>
        <w:adjustRightInd w:val="0"/>
        <w:spacing w:after="0"/>
        <w:ind w:left="640" w:hanging="640"/>
        <w:rPr>
          <w:rFonts w:cs="Times"/>
          <w:noProof/>
          <w:sz w:val="24"/>
        </w:rPr>
      </w:pPr>
      <w:r w:rsidRPr="0039734E">
        <w:rPr>
          <w:rFonts w:cs="Times"/>
          <w:noProof/>
          <w:sz w:val="24"/>
          <w:szCs w:val="24"/>
        </w:rPr>
        <w:t>12.</w:t>
      </w:r>
      <w:r w:rsidRPr="0039734E">
        <w:rPr>
          <w:rFonts w:cs="Times"/>
          <w:noProof/>
          <w:sz w:val="24"/>
          <w:szCs w:val="24"/>
        </w:rPr>
        <w:tab/>
        <w:t xml:space="preserve">Kresse, G. &amp; Joubert, D. From ultrasoft pseudopotentials to the projector augmented-wave method. </w:t>
      </w:r>
      <w:r w:rsidRPr="0039734E">
        <w:rPr>
          <w:rFonts w:cs="Times"/>
          <w:i/>
          <w:iCs/>
          <w:noProof/>
          <w:sz w:val="24"/>
          <w:szCs w:val="24"/>
        </w:rPr>
        <w:t>Phys. Rev. B</w:t>
      </w:r>
      <w:r w:rsidRPr="0039734E">
        <w:rPr>
          <w:rFonts w:cs="Times"/>
          <w:noProof/>
          <w:sz w:val="24"/>
          <w:szCs w:val="24"/>
        </w:rPr>
        <w:t xml:space="preserve"> </w:t>
      </w:r>
      <w:r w:rsidRPr="0039734E">
        <w:rPr>
          <w:rFonts w:cs="Times"/>
          <w:b/>
          <w:bCs/>
          <w:noProof/>
          <w:sz w:val="24"/>
          <w:szCs w:val="24"/>
        </w:rPr>
        <w:t>59</w:t>
      </w:r>
      <w:r w:rsidRPr="0039734E">
        <w:rPr>
          <w:rFonts w:cs="Times"/>
          <w:noProof/>
          <w:sz w:val="24"/>
          <w:szCs w:val="24"/>
        </w:rPr>
        <w:t>, 1758–1775 (1999).</w:t>
      </w:r>
    </w:p>
    <w:p w14:paraId="5B372983" w14:textId="57E46D00" w:rsidR="008948E9" w:rsidRPr="008948E9" w:rsidRDefault="00AF49A5" w:rsidP="00E570A4">
      <w:pPr>
        <w:keepNext/>
        <w:rPr>
          <w:b/>
          <w:i/>
          <w:sz w:val="24"/>
          <w:szCs w:val="28"/>
        </w:rPr>
      </w:pPr>
      <w:r w:rsidRPr="00055B1E">
        <w:rPr>
          <w:b/>
          <w:sz w:val="24"/>
        </w:rPr>
        <w:fldChar w:fldCharType="end"/>
      </w:r>
      <w:r w:rsidR="008948E9" w:rsidRPr="008948E9">
        <w:rPr>
          <w:b/>
          <w:sz w:val="24"/>
        </w:rPr>
        <w:t xml:space="preserve"> </w:t>
      </w:r>
    </w:p>
    <w:p w14:paraId="537D6255" w14:textId="6914BA2C" w:rsidR="00AF49A5" w:rsidRPr="00AF49A5" w:rsidRDefault="00AF49A5" w:rsidP="008948E9">
      <w:pPr>
        <w:pStyle w:val="Caption"/>
      </w:pPr>
    </w:p>
    <w:sectPr w:rsidR="00AF49A5" w:rsidRPr="00AF49A5" w:rsidSect="000B5610">
      <w:footerReference w:type="even" r:id="rId18"/>
      <w:footerReference w:type="default" r:id="rId19"/>
      <w:type w:val="continuous"/>
      <w:pgSz w:w="12240" w:h="15840"/>
      <w:pgMar w:top="1440" w:right="1440" w:bottom="1440" w:left="1440" w:header="0" w:footer="0" w:gutter="0"/>
      <w:cols w:space="475"/>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2BA95F6" w14:textId="77777777" w:rsidR="00AE0D48" w:rsidRDefault="00AE0D48">
      <w:r>
        <w:separator/>
      </w:r>
    </w:p>
  </w:endnote>
  <w:endnote w:type="continuationSeparator" w:id="0">
    <w:p w14:paraId="5F12EC6A" w14:textId="77777777" w:rsidR="00AE0D48" w:rsidRDefault="00AE0D4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w:panose1 w:val="02020603050405020304"/>
    <w:charset w:val="00"/>
    <w:family w:val="roman"/>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ew York">
    <w:altName w:val="Tahoma"/>
    <w:panose1 w:val="02040503060506020304"/>
    <w:charset w:val="00"/>
    <w:family w:val="roman"/>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no Pro">
    <w:altName w:val="Times New Roman"/>
    <w:panose1 w:val="00000000000000000000"/>
    <w:charset w:val="00"/>
    <w:family w:val="roman"/>
    <w:notTrueType/>
    <w:pitch w:val="variable"/>
    <w:sig w:usb0="60000287" w:usb1="00000001" w:usb2="00000000" w:usb3="00000000" w:csb0="0000019F"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2CF0EB" w14:textId="77777777" w:rsidR="00CE10C4" w:rsidRDefault="00CE10C4">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5A234AE0" w14:textId="77777777" w:rsidR="00CE10C4" w:rsidRDefault="00CE10C4">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96CFA2A" w14:textId="7FCF2D94" w:rsidR="00CE10C4" w:rsidRDefault="00CE10C4">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D86B6E">
      <w:rPr>
        <w:rStyle w:val="PageNumber"/>
        <w:noProof/>
      </w:rPr>
      <w:t>23</w:t>
    </w:r>
    <w:r>
      <w:rPr>
        <w:rStyle w:val="PageNumber"/>
      </w:rPr>
      <w:fldChar w:fldCharType="end"/>
    </w:r>
  </w:p>
  <w:p w14:paraId="14C61BD1" w14:textId="77777777" w:rsidR="00CE10C4" w:rsidRDefault="00CE10C4">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12CD8B1" w14:textId="77777777" w:rsidR="00AE0D48" w:rsidRDefault="00AE0D48">
      <w:r>
        <w:separator/>
      </w:r>
    </w:p>
  </w:footnote>
  <w:footnote w:type="continuationSeparator" w:id="0">
    <w:p w14:paraId="422AD948" w14:textId="77777777" w:rsidR="00AE0D48" w:rsidRDefault="00AE0D4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4647C33"/>
    <w:multiLevelType w:val="hybridMultilevel"/>
    <w:tmpl w:val="2CEA800E"/>
    <w:lvl w:ilvl="0" w:tplc="37367B38">
      <w:start w:val="1"/>
      <w:numFmt w:val="decimal"/>
      <w:lvlText w:val="(%1)"/>
      <w:lvlJc w:val="left"/>
      <w:pPr>
        <w:ind w:left="720" w:hanging="360"/>
      </w:pPr>
      <w:rPr>
        <w:rFonts w:ascii="Times" w:eastAsia="Times New Roman" w:hAnsi="Times" w:cs="Time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76A00C5"/>
    <w:multiLevelType w:val="hybridMultilevel"/>
    <w:tmpl w:val="66B46D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B0D4588"/>
    <w:multiLevelType w:val="hybridMultilevel"/>
    <w:tmpl w:val="56DCB1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E01202A"/>
    <w:multiLevelType w:val="hybridMultilevel"/>
    <w:tmpl w:val="2CEA800E"/>
    <w:lvl w:ilvl="0" w:tplc="37367B38">
      <w:start w:val="1"/>
      <w:numFmt w:val="decimal"/>
      <w:lvlText w:val="(%1)"/>
      <w:lvlJc w:val="left"/>
      <w:pPr>
        <w:ind w:left="720" w:hanging="360"/>
      </w:pPr>
      <w:rPr>
        <w:rFonts w:ascii="Times" w:eastAsia="Times New Roman" w:hAnsi="Times" w:cs="Time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EC86632"/>
    <w:multiLevelType w:val="hybridMultilevel"/>
    <w:tmpl w:val="2CEA800E"/>
    <w:lvl w:ilvl="0" w:tplc="37367B38">
      <w:start w:val="1"/>
      <w:numFmt w:val="decimal"/>
      <w:lvlText w:val="(%1)"/>
      <w:lvlJc w:val="left"/>
      <w:pPr>
        <w:ind w:left="720" w:hanging="360"/>
      </w:pPr>
      <w:rPr>
        <w:rFonts w:ascii="Times" w:eastAsia="Times New Roman" w:hAnsi="Times" w:cs="Time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26D3F9A"/>
    <w:multiLevelType w:val="singleLevel"/>
    <w:tmpl w:val="8BC469AA"/>
    <w:lvl w:ilvl="0">
      <w:start w:val="1"/>
      <w:numFmt w:val="lowerLetter"/>
      <w:lvlText w:val="%1."/>
      <w:lvlJc w:val="left"/>
      <w:pPr>
        <w:tabs>
          <w:tab w:val="num" w:pos="720"/>
        </w:tabs>
        <w:ind w:left="720" w:hanging="360"/>
      </w:pPr>
      <w:rPr>
        <w:rFonts w:hint="default"/>
      </w:rPr>
    </w:lvl>
  </w:abstractNum>
  <w:abstractNum w:abstractNumId="6" w15:restartNumberingAfterBreak="0">
    <w:nsid w:val="34FD0C72"/>
    <w:multiLevelType w:val="singleLevel"/>
    <w:tmpl w:val="0409000F"/>
    <w:lvl w:ilvl="0">
      <w:start w:val="1"/>
      <w:numFmt w:val="decimal"/>
      <w:lvlText w:val="%1."/>
      <w:lvlJc w:val="left"/>
      <w:pPr>
        <w:tabs>
          <w:tab w:val="num" w:pos="360"/>
        </w:tabs>
        <w:ind w:left="360" w:hanging="360"/>
      </w:pPr>
      <w:rPr>
        <w:rFonts w:hint="default"/>
      </w:rPr>
    </w:lvl>
  </w:abstractNum>
  <w:abstractNum w:abstractNumId="7" w15:restartNumberingAfterBreak="0">
    <w:nsid w:val="3762623B"/>
    <w:multiLevelType w:val="singleLevel"/>
    <w:tmpl w:val="0409000F"/>
    <w:lvl w:ilvl="0">
      <w:start w:val="1"/>
      <w:numFmt w:val="decimal"/>
      <w:lvlText w:val="%1."/>
      <w:lvlJc w:val="left"/>
      <w:pPr>
        <w:tabs>
          <w:tab w:val="num" w:pos="360"/>
        </w:tabs>
        <w:ind w:left="360" w:hanging="360"/>
      </w:pPr>
      <w:rPr>
        <w:rFonts w:hint="default"/>
      </w:rPr>
    </w:lvl>
  </w:abstractNum>
  <w:abstractNum w:abstractNumId="8" w15:restartNumberingAfterBreak="0">
    <w:nsid w:val="384622AB"/>
    <w:multiLevelType w:val="singleLevel"/>
    <w:tmpl w:val="6FF0DD10"/>
    <w:lvl w:ilvl="0">
      <w:start w:val="1"/>
      <w:numFmt w:val="lowerLetter"/>
      <w:lvlText w:val="%1."/>
      <w:lvlJc w:val="left"/>
      <w:pPr>
        <w:tabs>
          <w:tab w:val="num" w:pos="922"/>
        </w:tabs>
        <w:ind w:left="922" w:hanging="360"/>
      </w:pPr>
      <w:rPr>
        <w:rFonts w:hint="default"/>
      </w:rPr>
    </w:lvl>
  </w:abstractNum>
  <w:abstractNum w:abstractNumId="9" w15:restartNumberingAfterBreak="0">
    <w:nsid w:val="3E7A7E0C"/>
    <w:multiLevelType w:val="singleLevel"/>
    <w:tmpl w:val="E32C900E"/>
    <w:lvl w:ilvl="0">
      <w:start w:val="1"/>
      <w:numFmt w:val="decimal"/>
      <w:lvlText w:val="%1."/>
      <w:lvlJc w:val="left"/>
      <w:pPr>
        <w:tabs>
          <w:tab w:val="num" w:pos="562"/>
        </w:tabs>
        <w:ind w:left="562" w:hanging="360"/>
      </w:pPr>
      <w:rPr>
        <w:rFonts w:hint="default"/>
      </w:rPr>
    </w:lvl>
  </w:abstractNum>
  <w:abstractNum w:abstractNumId="10" w15:restartNumberingAfterBreak="0">
    <w:nsid w:val="41DB2E3C"/>
    <w:multiLevelType w:val="singleLevel"/>
    <w:tmpl w:val="E5E28CB0"/>
    <w:lvl w:ilvl="0">
      <w:start w:val="1"/>
      <w:numFmt w:val="lowerLetter"/>
      <w:lvlText w:val="%1."/>
      <w:lvlJc w:val="left"/>
      <w:pPr>
        <w:tabs>
          <w:tab w:val="num" w:pos="1080"/>
        </w:tabs>
        <w:ind w:left="1080" w:hanging="360"/>
      </w:pPr>
      <w:rPr>
        <w:rFonts w:hint="default"/>
      </w:rPr>
    </w:lvl>
  </w:abstractNum>
  <w:num w:numId="1">
    <w:abstractNumId w:val="9"/>
  </w:num>
  <w:num w:numId="2">
    <w:abstractNumId w:val="7"/>
  </w:num>
  <w:num w:numId="3">
    <w:abstractNumId w:val="10"/>
  </w:num>
  <w:num w:numId="4">
    <w:abstractNumId w:val="8"/>
  </w:num>
  <w:num w:numId="5">
    <w:abstractNumId w:val="6"/>
  </w:num>
  <w:num w:numId="6">
    <w:abstractNumId w:val="5"/>
  </w:num>
  <w:num w:numId="7">
    <w:abstractNumId w:val="4"/>
  </w:num>
  <w:num w:numId="8">
    <w:abstractNumId w:val="2"/>
  </w:num>
  <w:num w:numId="9">
    <w:abstractNumId w:val="0"/>
  </w:num>
  <w:num w:numId="10">
    <w:abstractNumId w:val="3"/>
  </w:num>
  <w:num w:numId="1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4"/>
  <w:bordersDoNotSurroundHeader/>
  <w:bordersDoNotSurroundFooter/>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0"/>
  <w:doNotHyphenateCap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05FD7"/>
    <w:rsid w:val="000002F2"/>
    <w:rsid w:val="00001F44"/>
    <w:rsid w:val="0000414A"/>
    <w:rsid w:val="0000494E"/>
    <w:rsid w:val="00005B8D"/>
    <w:rsid w:val="00005EEB"/>
    <w:rsid w:val="00006143"/>
    <w:rsid w:val="00006ABD"/>
    <w:rsid w:val="000077E6"/>
    <w:rsid w:val="000078D5"/>
    <w:rsid w:val="00010A56"/>
    <w:rsid w:val="00010FD6"/>
    <w:rsid w:val="0001251C"/>
    <w:rsid w:val="0001514E"/>
    <w:rsid w:val="00015477"/>
    <w:rsid w:val="00015F74"/>
    <w:rsid w:val="00016DAF"/>
    <w:rsid w:val="00022E97"/>
    <w:rsid w:val="00023A9A"/>
    <w:rsid w:val="00025D98"/>
    <w:rsid w:val="00027C5E"/>
    <w:rsid w:val="00030792"/>
    <w:rsid w:val="00030E69"/>
    <w:rsid w:val="0003133A"/>
    <w:rsid w:val="00031CD6"/>
    <w:rsid w:val="00031FB8"/>
    <w:rsid w:val="00032D04"/>
    <w:rsid w:val="00032EAF"/>
    <w:rsid w:val="00032F75"/>
    <w:rsid w:val="00034B60"/>
    <w:rsid w:val="0003644E"/>
    <w:rsid w:val="00036725"/>
    <w:rsid w:val="00036B15"/>
    <w:rsid w:val="00037A38"/>
    <w:rsid w:val="000429AC"/>
    <w:rsid w:val="0004331E"/>
    <w:rsid w:val="00043B48"/>
    <w:rsid w:val="00043D59"/>
    <w:rsid w:val="000440A2"/>
    <w:rsid w:val="0004444E"/>
    <w:rsid w:val="00046E80"/>
    <w:rsid w:val="00046FB1"/>
    <w:rsid w:val="000471A7"/>
    <w:rsid w:val="0004740C"/>
    <w:rsid w:val="0004757F"/>
    <w:rsid w:val="00047659"/>
    <w:rsid w:val="00050FF1"/>
    <w:rsid w:val="00052A48"/>
    <w:rsid w:val="00052EDF"/>
    <w:rsid w:val="000532A9"/>
    <w:rsid w:val="00053D83"/>
    <w:rsid w:val="0005417E"/>
    <w:rsid w:val="00054221"/>
    <w:rsid w:val="00055819"/>
    <w:rsid w:val="00055AD3"/>
    <w:rsid w:val="00055B1E"/>
    <w:rsid w:val="00055E82"/>
    <w:rsid w:val="000561DD"/>
    <w:rsid w:val="0005660F"/>
    <w:rsid w:val="00056D91"/>
    <w:rsid w:val="00056E1E"/>
    <w:rsid w:val="00056ED2"/>
    <w:rsid w:val="00056FD0"/>
    <w:rsid w:val="00060904"/>
    <w:rsid w:val="00060D0C"/>
    <w:rsid w:val="00060DEA"/>
    <w:rsid w:val="00062249"/>
    <w:rsid w:val="00065C75"/>
    <w:rsid w:val="00065D3E"/>
    <w:rsid w:val="00066E0F"/>
    <w:rsid w:val="000702AD"/>
    <w:rsid w:val="00070440"/>
    <w:rsid w:val="00070A13"/>
    <w:rsid w:val="00070EBA"/>
    <w:rsid w:val="00072BAC"/>
    <w:rsid w:val="00072F75"/>
    <w:rsid w:val="00073F8D"/>
    <w:rsid w:val="000741BB"/>
    <w:rsid w:val="00074438"/>
    <w:rsid w:val="00074ABD"/>
    <w:rsid w:val="0007675D"/>
    <w:rsid w:val="00076B26"/>
    <w:rsid w:val="000770F8"/>
    <w:rsid w:val="000801DD"/>
    <w:rsid w:val="00080A43"/>
    <w:rsid w:val="00080D8B"/>
    <w:rsid w:val="00080E5B"/>
    <w:rsid w:val="00081E3E"/>
    <w:rsid w:val="00082F97"/>
    <w:rsid w:val="00083030"/>
    <w:rsid w:val="00083940"/>
    <w:rsid w:val="00083A42"/>
    <w:rsid w:val="00083FE6"/>
    <w:rsid w:val="000869FC"/>
    <w:rsid w:val="00087939"/>
    <w:rsid w:val="00090955"/>
    <w:rsid w:val="00092D2B"/>
    <w:rsid w:val="00094006"/>
    <w:rsid w:val="0009452B"/>
    <w:rsid w:val="000951AB"/>
    <w:rsid w:val="00095866"/>
    <w:rsid w:val="00096741"/>
    <w:rsid w:val="00097117"/>
    <w:rsid w:val="000A0833"/>
    <w:rsid w:val="000A0FAC"/>
    <w:rsid w:val="000A1DA0"/>
    <w:rsid w:val="000A232E"/>
    <w:rsid w:val="000A25FC"/>
    <w:rsid w:val="000A31AC"/>
    <w:rsid w:val="000A4FAC"/>
    <w:rsid w:val="000A59C5"/>
    <w:rsid w:val="000A6AFF"/>
    <w:rsid w:val="000A6D84"/>
    <w:rsid w:val="000A795E"/>
    <w:rsid w:val="000A79A4"/>
    <w:rsid w:val="000B1A97"/>
    <w:rsid w:val="000B200D"/>
    <w:rsid w:val="000B23A8"/>
    <w:rsid w:val="000B2EEB"/>
    <w:rsid w:val="000B52E0"/>
    <w:rsid w:val="000B5610"/>
    <w:rsid w:val="000B5D2E"/>
    <w:rsid w:val="000B75C3"/>
    <w:rsid w:val="000B7AA3"/>
    <w:rsid w:val="000B7BE9"/>
    <w:rsid w:val="000C05CC"/>
    <w:rsid w:val="000C0D48"/>
    <w:rsid w:val="000C191D"/>
    <w:rsid w:val="000C1DBB"/>
    <w:rsid w:val="000C1E2B"/>
    <w:rsid w:val="000C2AB4"/>
    <w:rsid w:val="000C311D"/>
    <w:rsid w:val="000C318B"/>
    <w:rsid w:val="000C4EE6"/>
    <w:rsid w:val="000C61F4"/>
    <w:rsid w:val="000C629D"/>
    <w:rsid w:val="000C6A04"/>
    <w:rsid w:val="000C6B41"/>
    <w:rsid w:val="000C6F50"/>
    <w:rsid w:val="000C78B7"/>
    <w:rsid w:val="000C7FE5"/>
    <w:rsid w:val="000D041E"/>
    <w:rsid w:val="000D0825"/>
    <w:rsid w:val="000D0B65"/>
    <w:rsid w:val="000D1596"/>
    <w:rsid w:val="000D1719"/>
    <w:rsid w:val="000D48E9"/>
    <w:rsid w:val="000D4E71"/>
    <w:rsid w:val="000D5982"/>
    <w:rsid w:val="000E03C5"/>
    <w:rsid w:val="000E069C"/>
    <w:rsid w:val="000E0B0A"/>
    <w:rsid w:val="000E0B3B"/>
    <w:rsid w:val="000E14EA"/>
    <w:rsid w:val="000E2B3E"/>
    <w:rsid w:val="000E3FCA"/>
    <w:rsid w:val="000E497E"/>
    <w:rsid w:val="000E6122"/>
    <w:rsid w:val="000E745F"/>
    <w:rsid w:val="000F26B6"/>
    <w:rsid w:val="000F47F7"/>
    <w:rsid w:val="000F481F"/>
    <w:rsid w:val="000F4E17"/>
    <w:rsid w:val="000F7977"/>
    <w:rsid w:val="00100289"/>
    <w:rsid w:val="001002AD"/>
    <w:rsid w:val="0010066C"/>
    <w:rsid w:val="00100A45"/>
    <w:rsid w:val="00102E72"/>
    <w:rsid w:val="001048EE"/>
    <w:rsid w:val="00104DB9"/>
    <w:rsid w:val="001060FD"/>
    <w:rsid w:val="00107049"/>
    <w:rsid w:val="00111455"/>
    <w:rsid w:val="00111EFA"/>
    <w:rsid w:val="00113AA6"/>
    <w:rsid w:val="00114685"/>
    <w:rsid w:val="0011519C"/>
    <w:rsid w:val="0011540E"/>
    <w:rsid w:val="0011796A"/>
    <w:rsid w:val="00117C43"/>
    <w:rsid w:val="001202B2"/>
    <w:rsid w:val="00120BCF"/>
    <w:rsid w:val="00122C27"/>
    <w:rsid w:val="001239E5"/>
    <w:rsid w:val="0012405E"/>
    <w:rsid w:val="001249AD"/>
    <w:rsid w:val="00126CC7"/>
    <w:rsid w:val="0012708C"/>
    <w:rsid w:val="00130378"/>
    <w:rsid w:val="00130C6B"/>
    <w:rsid w:val="00130D4D"/>
    <w:rsid w:val="00130F89"/>
    <w:rsid w:val="00132381"/>
    <w:rsid w:val="0013297E"/>
    <w:rsid w:val="00134C72"/>
    <w:rsid w:val="001358FA"/>
    <w:rsid w:val="00136037"/>
    <w:rsid w:val="001368DA"/>
    <w:rsid w:val="001378EC"/>
    <w:rsid w:val="001413B5"/>
    <w:rsid w:val="0014249E"/>
    <w:rsid w:val="001427B5"/>
    <w:rsid w:val="001439D4"/>
    <w:rsid w:val="0014417A"/>
    <w:rsid w:val="00144EB7"/>
    <w:rsid w:val="001464D5"/>
    <w:rsid w:val="00150954"/>
    <w:rsid w:val="00150AE6"/>
    <w:rsid w:val="001522C5"/>
    <w:rsid w:val="001539C8"/>
    <w:rsid w:val="00155889"/>
    <w:rsid w:val="00156458"/>
    <w:rsid w:val="00156B8A"/>
    <w:rsid w:val="001601FD"/>
    <w:rsid w:val="00160D5A"/>
    <w:rsid w:val="00160FAB"/>
    <w:rsid w:val="00161451"/>
    <w:rsid w:val="0016191D"/>
    <w:rsid w:val="00163576"/>
    <w:rsid w:val="00163924"/>
    <w:rsid w:val="00165F40"/>
    <w:rsid w:val="0016658B"/>
    <w:rsid w:val="00166723"/>
    <w:rsid w:val="0016714C"/>
    <w:rsid w:val="00167ADA"/>
    <w:rsid w:val="00171E4E"/>
    <w:rsid w:val="00173E1C"/>
    <w:rsid w:val="0017430C"/>
    <w:rsid w:val="00174852"/>
    <w:rsid w:val="00176752"/>
    <w:rsid w:val="00176DAA"/>
    <w:rsid w:val="001774B0"/>
    <w:rsid w:val="001803B6"/>
    <w:rsid w:val="00180652"/>
    <w:rsid w:val="0018074F"/>
    <w:rsid w:val="00181253"/>
    <w:rsid w:val="00181C76"/>
    <w:rsid w:val="001830B4"/>
    <w:rsid w:val="00183289"/>
    <w:rsid w:val="001835D9"/>
    <w:rsid w:val="001847B6"/>
    <w:rsid w:val="00185AF2"/>
    <w:rsid w:val="00186204"/>
    <w:rsid w:val="0018627B"/>
    <w:rsid w:val="00186328"/>
    <w:rsid w:val="00187F2D"/>
    <w:rsid w:val="0019301E"/>
    <w:rsid w:val="00194310"/>
    <w:rsid w:val="00194A66"/>
    <w:rsid w:val="00194BCD"/>
    <w:rsid w:val="001953D5"/>
    <w:rsid w:val="00195455"/>
    <w:rsid w:val="00195ACA"/>
    <w:rsid w:val="001A116E"/>
    <w:rsid w:val="001A1E01"/>
    <w:rsid w:val="001A38C3"/>
    <w:rsid w:val="001A4331"/>
    <w:rsid w:val="001A4A3A"/>
    <w:rsid w:val="001A538A"/>
    <w:rsid w:val="001A5828"/>
    <w:rsid w:val="001A5A1F"/>
    <w:rsid w:val="001A5E65"/>
    <w:rsid w:val="001A609F"/>
    <w:rsid w:val="001A61C4"/>
    <w:rsid w:val="001A7A90"/>
    <w:rsid w:val="001B2457"/>
    <w:rsid w:val="001B2706"/>
    <w:rsid w:val="001B2CC1"/>
    <w:rsid w:val="001B3785"/>
    <w:rsid w:val="001B46C0"/>
    <w:rsid w:val="001B5D46"/>
    <w:rsid w:val="001C00CA"/>
    <w:rsid w:val="001C0950"/>
    <w:rsid w:val="001C1858"/>
    <w:rsid w:val="001C1941"/>
    <w:rsid w:val="001C22AB"/>
    <w:rsid w:val="001C2A52"/>
    <w:rsid w:val="001C2D2E"/>
    <w:rsid w:val="001C32CE"/>
    <w:rsid w:val="001C3C88"/>
    <w:rsid w:val="001C54E5"/>
    <w:rsid w:val="001C6B18"/>
    <w:rsid w:val="001C6B1B"/>
    <w:rsid w:val="001C7F2F"/>
    <w:rsid w:val="001D100B"/>
    <w:rsid w:val="001D1B1C"/>
    <w:rsid w:val="001D3401"/>
    <w:rsid w:val="001D540A"/>
    <w:rsid w:val="001D6E36"/>
    <w:rsid w:val="001D6F9B"/>
    <w:rsid w:val="001D7B9B"/>
    <w:rsid w:val="001E1718"/>
    <w:rsid w:val="001E48A7"/>
    <w:rsid w:val="001E5BE4"/>
    <w:rsid w:val="001E7717"/>
    <w:rsid w:val="001E7904"/>
    <w:rsid w:val="001F0196"/>
    <w:rsid w:val="001F1ADF"/>
    <w:rsid w:val="001F1EA7"/>
    <w:rsid w:val="001F2223"/>
    <w:rsid w:val="001F2575"/>
    <w:rsid w:val="001F5791"/>
    <w:rsid w:val="001F7AF7"/>
    <w:rsid w:val="001F7C8C"/>
    <w:rsid w:val="00201226"/>
    <w:rsid w:val="00202425"/>
    <w:rsid w:val="0020458B"/>
    <w:rsid w:val="002046FF"/>
    <w:rsid w:val="002059CC"/>
    <w:rsid w:val="00206B47"/>
    <w:rsid w:val="00206C52"/>
    <w:rsid w:val="002119AC"/>
    <w:rsid w:val="00212269"/>
    <w:rsid w:val="00212B1D"/>
    <w:rsid w:val="002156C4"/>
    <w:rsid w:val="00217303"/>
    <w:rsid w:val="002202CC"/>
    <w:rsid w:val="00220342"/>
    <w:rsid w:val="00221D4A"/>
    <w:rsid w:val="00221E1B"/>
    <w:rsid w:val="00221E6E"/>
    <w:rsid w:val="00222C60"/>
    <w:rsid w:val="00222EC3"/>
    <w:rsid w:val="00223086"/>
    <w:rsid w:val="00223BAA"/>
    <w:rsid w:val="0022776E"/>
    <w:rsid w:val="0023060A"/>
    <w:rsid w:val="0023238E"/>
    <w:rsid w:val="002328E9"/>
    <w:rsid w:val="002349B6"/>
    <w:rsid w:val="00234A71"/>
    <w:rsid w:val="00235A8B"/>
    <w:rsid w:val="00235DA9"/>
    <w:rsid w:val="00236452"/>
    <w:rsid w:val="00241010"/>
    <w:rsid w:val="002416E3"/>
    <w:rsid w:val="00241727"/>
    <w:rsid w:val="002417E8"/>
    <w:rsid w:val="002419F4"/>
    <w:rsid w:val="00243E57"/>
    <w:rsid w:val="0024424B"/>
    <w:rsid w:val="002452A3"/>
    <w:rsid w:val="00245564"/>
    <w:rsid w:val="002512B1"/>
    <w:rsid w:val="00252BCD"/>
    <w:rsid w:val="00253D37"/>
    <w:rsid w:val="002541AA"/>
    <w:rsid w:val="002542A7"/>
    <w:rsid w:val="00255076"/>
    <w:rsid w:val="002554A5"/>
    <w:rsid w:val="0025581F"/>
    <w:rsid w:val="00256643"/>
    <w:rsid w:val="00256CB9"/>
    <w:rsid w:val="00257460"/>
    <w:rsid w:val="00257C0D"/>
    <w:rsid w:val="00257E53"/>
    <w:rsid w:val="00261C73"/>
    <w:rsid w:val="00263400"/>
    <w:rsid w:val="00263963"/>
    <w:rsid w:val="00264A74"/>
    <w:rsid w:val="00266400"/>
    <w:rsid w:val="002674BF"/>
    <w:rsid w:val="0026754F"/>
    <w:rsid w:val="002676D6"/>
    <w:rsid w:val="00267A9E"/>
    <w:rsid w:val="00267ABF"/>
    <w:rsid w:val="002705C8"/>
    <w:rsid w:val="00271A02"/>
    <w:rsid w:val="002721A1"/>
    <w:rsid w:val="00272801"/>
    <w:rsid w:val="00272D05"/>
    <w:rsid w:val="00272FF2"/>
    <w:rsid w:val="002733C6"/>
    <w:rsid w:val="002740F3"/>
    <w:rsid w:val="002750B8"/>
    <w:rsid w:val="00275877"/>
    <w:rsid w:val="00275A68"/>
    <w:rsid w:val="00276602"/>
    <w:rsid w:val="002773E9"/>
    <w:rsid w:val="002803CC"/>
    <w:rsid w:val="00281959"/>
    <w:rsid w:val="002834A6"/>
    <w:rsid w:val="00283F08"/>
    <w:rsid w:val="00284F43"/>
    <w:rsid w:val="00285B07"/>
    <w:rsid w:val="002865DF"/>
    <w:rsid w:val="00287F9A"/>
    <w:rsid w:val="00290B4B"/>
    <w:rsid w:val="00290B81"/>
    <w:rsid w:val="00290C5C"/>
    <w:rsid w:val="00292541"/>
    <w:rsid w:val="002942B3"/>
    <w:rsid w:val="0029431E"/>
    <w:rsid w:val="00295A8E"/>
    <w:rsid w:val="002966EF"/>
    <w:rsid w:val="00296AD8"/>
    <w:rsid w:val="00296DD2"/>
    <w:rsid w:val="00297617"/>
    <w:rsid w:val="002A10A1"/>
    <w:rsid w:val="002A2775"/>
    <w:rsid w:val="002A3363"/>
    <w:rsid w:val="002A354B"/>
    <w:rsid w:val="002A57B6"/>
    <w:rsid w:val="002A60DB"/>
    <w:rsid w:val="002A6B99"/>
    <w:rsid w:val="002A6D51"/>
    <w:rsid w:val="002A71AE"/>
    <w:rsid w:val="002A7242"/>
    <w:rsid w:val="002A7493"/>
    <w:rsid w:val="002A7B63"/>
    <w:rsid w:val="002B08A5"/>
    <w:rsid w:val="002B0F0B"/>
    <w:rsid w:val="002B3C32"/>
    <w:rsid w:val="002B4890"/>
    <w:rsid w:val="002B4F74"/>
    <w:rsid w:val="002B658C"/>
    <w:rsid w:val="002B7041"/>
    <w:rsid w:val="002B7812"/>
    <w:rsid w:val="002C10AE"/>
    <w:rsid w:val="002C2104"/>
    <w:rsid w:val="002C2620"/>
    <w:rsid w:val="002C2A1C"/>
    <w:rsid w:val="002C3431"/>
    <w:rsid w:val="002C4B1B"/>
    <w:rsid w:val="002C5072"/>
    <w:rsid w:val="002C6BC1"/>
    <w:rsid w:val="002C7131"/>
    <w:rsid w:val="002C7193"/>
    <w:rsid w:val="002D096F"/>
    <w:rsid w:val="002D09FD"/>
    <w:rsid w:val="002D2AB3"/>
    <w:rsid w:val="002D2F46"/>
    <w:rsid w:val="002D47F5"/>
    <w:rsid w:val="002E03B8"/>
    <w:rsid w:val="002E0E10"/>
    <w:rsid w:val="002E1AE1"/>
    <w:rsid w:val="002E3EB4"/>
    <w:rsid w:val="002E4820"/>
    <w:rsid w:val="002E4FFA"/>
    <w:rsid w:val="002E56DA"/>
    <w:rsid w:val="002E647B"/>
    <w:rsid w:val="002E6C84"/>
    <w:rsid w:val="002E729F"/>
    <w:rsid w:val="002F0464"/>
    <w:rsid w:val="002F082D"/>
    <w:rsid w:val="002F0CC0"/>
    <w:rsid w:val="002F15DA"/>
    <w:rsid w:val="002F1E79"/>
    <w:rsid w:val="002F3945"/>
    <w:rsid w:val="002F4F16"/>
    <w:rsid w:val="002F575E"/>
    <w:rsid w:val="002F586E"/>
    <w:rsid w:val="002F6797"/>
    <w:rsid w:val="002F6B81"/>
    <w:rsid w:val="002F738C"/>
    <w:rsid w:val="002F7496"/>
    <w:rsid w:val="00301240"/>
    <w:rsid w:val="003023B5"/>
    <w:rsid w:val="00303F28"/>
    <w:rsid w:val="00305D0C"/>
    <w:rsid w:val="003106B7"/>
    <w:rsid w:val="003107BA"/>
    <w:rsid w:val="00310ACA"/>
    <w:rsid w:val="00310E26"/>
    <w:rsid w:val="00311282"/>
    <w:rsid w:val="003120DF"/>
    <w:rsid w:val="0031373B"/>
    <w:rsid w:val="00313EBC"/>
    <w:rsid w:val="003149A0"/>
    <w:rsid w:val="00320322"/>
    <w:rsid w:val="0032083D"/>
    <w:rsid w:val="00320D13"/>
    <w:rsid w:val="0032182C"/>
    <w:rsid w:val="003230EB"/>
    <w:rsid w:val="00323113"/>
    <w:rsid w:val="0032323E"/>
    <w:rsid w:val="00323DBF"/>
    <w:rsid w:val="00324128"/>
    <w:rsid w:val="00324A39"/>
    <w:rsid w:val="00324C78"/>
    <w:rsid w:val="0032565F"/>
    <w:rsid w:val="003256E4"/>
    <w:rsid w:val="00330595"/>
    <w:rsid w:val="00331FE2"/>
    <w:rsid w:val="00333570"/>
    <w:rsid w:val="00334275"/>
    <w:rsid w:val="0033449B"/>
    <w:rsid w:val="00336365"/>
    <w:rsid w:val="00337347"/>
    <w:rsid w:val="0033791E"/>
    <w:rsid w:val="0034036D"/>
    <w:rsid w:val="003403D7"/>
    <w:rsid w:val="00340803"/>
    <w:rsid w:val="00340FF1"/>
    <w:rsid w:val="00342DA9"/>
    <w:rsid w:val="0034325B"/>
    <w:rsid w:val="00343389"/>
    <w:rsid w:val="0034440C"/>
    <w:rsid w:val="003455DB"/>
    <w:rsid w:val="00346365"/>
    <w:rsid w:val="00346B9C"/>
    <w:rsid w:val="0034738A"/>
    <w:rsid w:val="0035047C"/>
    <w:rsid w:val="00350989"/>
    <w:rsid w:val="00351293"/>
    <w:rsid w:val="00351305"/>
    <w:rsid w:val="003513D7"/>
    <w:rsid w:val="00352472"/>
    <w:rsid w:val="003524F8"/>
    <w:rsid w:val="0035259B"/>
    <w:rsid w:val="00355544"/>
    <w:rsid w:val="00355B04"/>
    <w:rsid w:val="00355E3F"/>
    <w:rsid w:val="00356F47"/>
    <w:rsid w:val="00360DB5"/>
    <w:rsid w:val="00360ED0"/>
    <w:rsid w:val="00361594"/>
    <w:rsid w:val="00361E35"/>
    <w:rsid w:val="00362998"/>
    <w:rsid w:val="00362D6A"/>
    <w:rsid w:val="003664E9"/>
    <w:rsid w:val="00366889"/>
    <w:rsid w:val="0036743C"/>
    <w:rsid w:val="003679A1"/>
    <w:rsid w:val="00371B8D"/>
    <w:rsid w:val="00372957"/>
    <w:rsid w:val="0037387E"/>
    <w:rsid w:val="0037393D"/>
    <w:rsid w:val="0037515F"/>
    <w:rsid w:val="0037630B"/>
    <w:rsid w:val="003768CE"/>
    <w:rsid w:val="003772D1"/>
    <w:rsid w:val="00377FA6"/>
    <w:rsid w:val="00380275"/>
    <w:rsid w:val="0038096B"/>
    <w:rsid w:val="00380A0E"/>
    <w:rsid w:val="00380B61"/>
    <w:rsid w:val="00381315"/>
    <w:rsid w:val="003829E8"/>
    <w:rsid w:val="003831F0"/>
    <w:rsid w:val="00384C5C"/>
    <w:rsid w:val="00385E54"/>
    <w:rsid w:val="003865FA"/>
    <w:rsid w:val="00386611"/>
    <w:rsid w:val="003873D5"/>
    <w:rsid w:val="003876C8"/>
    <w:rsid w:val="00387A15"/>
    <w:rsid w:val="00387A78"/>
    <w:rsid w:val="00392C83"/>
    <w:rsid w:val="00392E6B"/>
    <w:rsid w:val="00395256"/>
    <w:rsid w:val="0039635D"/>
    <w:rsid w:val="0039678D"/>
    <w:rsid w:val="0039734E"/>
    <w:rsid w:val="0039791D"/>
    <w:rsid w:val="003A0AB3"/>
    <w:rsid w:val="003A1F2D"/>
    <w:rsid w:val="003A2EDA"/>
    <w:rsid w:val="003A42F0"/>
    <w:rsid w:val="003A6355"/>
    <w:rsid w:val="003A6A6C"/>
    <w:rsid w:val="003A6FF6"/>
    <w:rsid w:val="003A7898"/>
    <w:rsid w:val="003B01CF"/>
    <w:rsid w:val="003B098A"/>
    <w:rsid w:val="003B0CEF"/>
    <w:rsid w:val="003B1F66"/>
    <w:rsid w:val="003B20CA"/>
    <w:rsid w:val="003B3F4E"/>
    <w:rsid w:val="003B4AF3"/>
    <w:rsid w:val="003B5668"/>
    <w:rsid w:val="003B7AAD"/>
    <w:rsid w:val="003B7EA0"/>
    <w:rsid w:val="003C05ED"/>
    <w:rsid w:val="003C0A95"/>
    <w:rsid w:val="003C156B"/>
    <w:rsid w:val="003C2FC2"/>
    <w:rsid w:val="003C3122"/>
    <w:rsid w:val="003C45DD"/>
    <w:rsid w:val="003C4AA1"/>
    <w:rsid w:val="003C51A0"/>
    <w:rsid w:val="003C68EE"/>
    <w:rsid w:val="003C6D52"/>
    <w:rsid w:val="003D1E64"/>
    <w:rsid w:val="003D2FEF"/>
    <w:rsid w:val="003D5592"/>
    <w:rsid w:val="003D5F9D"/>
    <w:rsid w:val="003D7B36"/>
    <w:rsid w:val="003E1913"/>
    <w:rsid w:val="003E1F76"/>
    <w:rsid w:val="003E2605"/>
    <w:rsid w:val="003E2F45"/>
    <w:rsid w:val="003E5C31"/>
    <w:rsid w:val="003F09F6"/>
    <w:rsid w:val="003F0F41"/>
    <w:rsid w:val="003F35BC"/>
    <w:rsid w:val="003F46B2"/>
    <w:rsid w:val="003F50A5"/>
    <w:rsid w:val="003F5E34"/>
    <w:rsid w:val="003F6B71"/>
    <w:rsid w:val="003F6D59"/>
    <w:rsid w:val="00401179"/>
    <w:rsid w:val="0040260E"/>
    <w:rsid w:val="0040469C"/>
    <w:rsid w:val="004049A4"/>
    <w:rsid w:val="00404C9A"/>
    <w:rsid w:val="004050CF"/>
    <w:rsid w:val="00405A02"/>
    <w:rsid w:val="0040720A"/>
    <w:rsid w:val="004072A7"/>
    <w:rsid w:val="004108A9"/>
    <w:rsid w:val="00410929"/>
    <w:rsid w:val="004128F0"/>
    <w:rsid w:val="0041298F"/>
    <w:rsid w:val="00415230"/>
    <w:rsid w:val="00415BC9"/>
    <w:rsid w:val="0041635A"/>
    <w:rsid w:val="00416CA4"/>
    <w:rsid w:val="00416F54"/>
    <w:rsid w:val="00420178"/>
    <w:rsid w:val="00420697"/>
    <w:rsid w:val="00420F52"/>
    <w:rsid w:val="00422544"/>
    <w:rsid w:val="004227EC"/>
    <w:rsid w:val="00423FD1"/>
    <w:rsid w:val="00424ECF"/>
    <w:rsid w:val="00425787"/>
    <w:rsid w:val="00425944"/>
    <w:rsid w:val="0042599B"/>
    <w:rsid w:val="00425A8A"/>
    <w:rsid w:val="00425FFC"/>
    <w:rsid w:val="0042668C"/>
    <w:rsid w:val="004302DF"/>
    <w:rsid w:val="00430B9C"/>
    <w:rsid w:val="0043259D"/>
    <w:rsid w:val="0043310F"/>
    <w:rsid w:val="00433F23"/>
    <w:rsid w:val="004348B1"/>
    <w:rsid w:val="00436BFF"/>
    <w:rsid w:val="00436FE9"/>
    <w:rsid w:val="004404C3"/>
    <w:rsid w:val="004414E5"/>
    <w:rsid w:val="004433B1"/>
    <w:rsid w:val="004434D4"/>
    <w:rsid w:val="00443799"/>
    <w:rsid w:val="00443951"/>
    <w:rsid w:val="00443A92"/>
    <w:rsid w:val="004445E4"/>
    <w:rsid w:val="00446266"/>
    <w:rsid w:val="00446486"/>
    <w:rsid w:val="004465C3"/>
    <w:rsid w:val="00446652"/>
    <w:rsid w:val="00447426"/>
    <w:rsid w:val="00447C8A"/>
    <w:rsid w:val="00450601"/>
    <w:rsid w:val="00450CE8"/>
    <w:rsid w:val="00450E0C"/>
    <w:rsid w:val="00451D76"/>
    <w:rsid w:val="00451F06"/>
    <w:rsid w:val="004520DF"/>
    <w:rsid w:val="00452261"/>
    <w:rsid w:val="0045247D"/>
    <w:rsid w:val="00454875"/>
    <w:rsid w:val="00454F98"/>
    <w:rsid w:val="0045663C"/>
    <w:rsid w:val="00456C00"/>
    <w:rsid w:val="0046150D"/>
    <w:rsid w:val="0046229C"/>
    <w:rsid w:val="00463EF3"/>
    <w:rsid w:val="0046628A"/>
    <w:rsid w:val="00467827"/>
    <w:rsid w:val="00467E60"/>
    <w:rsid w:val="00470422"/>
    <w:rsid w:val="00471321"/>
    <w:rsid w:val="00471CA7"/>
    <w:rsid w:val="00473276"/>
    <w:rsid w:val="004741B6"/>
    <w:rsid w:val="004741E2"/>
    <w:rsid w:val="00475810"/>
    <w:rsid w:val="00475930"/>
    <w:rsid w:val="00475B58"/>
    <w:rsid w:val="00475E94"/>
    <w:rsid w:val="00475FD2"/>
    <w:rsid w:val="004764AE"/>
    <w:rsid w:val="004764DD"/>
    <w:rsid w:val="004767C8"/>
    <w:rsid w:val="00477634"/>
    <w:rsid w:val="004806D7"/>
    <w:rsid w:val="00481D92"/>
    <w:rsid w:val="00482B10"/>
    <w:rsid w:val="004839E8"/>
    <w:rsid w:val="00485448"/>
    <w:rsid w:val="00485F85"/>
    <w:rsid w:val="0048629D"/>
    <w:rsid w:val="0048633F"/>
    <w:rsid w:val="00486637"/>
    <w:rsid w:val="00487C9A"/>
    <w:rsid w:val="00490132"/>
    <w:rsid w:val="00491193"/>
    <w:rsid w:val="004925E0"/>
    <w:rsid w:val="0049303E"/>
    <w:rsid w:val="00493403"/>
    <w:rsid w:val="004938E6"/>
    <w:rsid w:val="004955E3"/>
    <w:rsid w:val="0049786D"/>
    <w:rsid w:val="004A0050"/>
    <w:rsid w:val="004A3737"/>
    <w:rsid w:val="004A5CD0"/>
    <w:rsid w:val="004A7F2F"/>
    <w:rsid w:val="004B006C"/>
    <w:rsid w:val="004B0102"/>
    <w:rsid w:val="004B0F94"/>
    <w:rsid w:val="004B16A5"/>
    <w:rsid w:val="004B1D11"/>
    <w:rsid w:val="004B2318"/>
    <w:rsid w:val="004B23F1"/>
    <w:rsid w:val="004B37FE"/>
    <w:rsid w:val="004B461B"/>
    <w:rsid w:val="004B5150"/>
    <w:rsid w:val="004B5233"/>
    <w:rsid w:val="004B5CCE"/>
    <w:rsid w:val="004B6F09"/>
    <w:rsid w:val="004C1040"/>
    <w:rsid w:val="004C3078"/>
    <w:rsid w:val="004C3431"/>
    <w:rsid w:val="004C3DFA"/>
    <w:rsid w:val="004C4188"/>
    <w:rsid w:val="004C51CD"/>
    <w:rsid w:val="004C52F5"/>
    <w:rsid w:val="004C542B"/>
    <w:rsid w:val="004C55F3"/>
    <w:rsid w:val="004C623A"/>
    <w:rsid w:val="004C68F0"/>
    <w:rsid w:val="004C6A36"/>
    <w:rsid w:val="004C70FE"/>
    <w:rsid w:val="004C7BBB"/>
    <w:rsid w:val="004D1953"/>
    <w:rsid w:val="004D30FB"/>
    <w:rsid w:val="004D35D0"/>
    <w:rsid w:val="004D5584"/>
    <w:rsid w:val="004D5E94"/>
    <w:rsid w:val="004E121E"/>
    <w:rsid w:val="004E1B5F"/>
    <w:rsid w:val="004E283C"/>
    <w:rsid w:val="004E4657"/>
    <w:rsid w:val="004E4A59"/>
    <w:rsid w:val="004E533F"/>
    <w:rsid w:val="004E5AB0"/>
    <w:rsid w:val="004E60B8"/>
    <w:rsid w:val="004E6683"/>
    <w:rsid w:val="004E6D96"/>
    <w:rsid w:val="004E6F7F"/>
    <w:rsid w:val="004E7185"/>
    <w:rsid w:val="004E7CE0"/>
    <w:rsid w:val="004F0BF1"/>
    <w:rsid w:val="004F0F3F"/>
    <w:rsid w:val="004F2336"/>
    <w:rsid w:val="004F29C2"/>
    <w:rsid w:val="004F398D"/>
    <w:rsid w:val="004F47CA"/>
    <w:rsid w:val="004F549B"/>
    <w:rsid w:val="004F5B69"/>
    <w:rsid w:val="004F6A13"/>
    <w:rsid w:val="00500575"/>
    <w:rsid w:val="00502020"/>
    <w:rsid w:val="0050204A"/>
    <w:rsid w:val="0050222F"/>
    <w:rsid w:val="00503118"/>
    <w:rsid w:val="00504F21"/>
    <w:rsid w:val="00505887"/>
    <w:rsid w:val="00505C8A"/>
    <w:rsid w:val="00514502"/>
    <w:rsid w:val="00516A13"/>
    <w:rsid w:val="0051700C"/>
    <w:rsid w:val="005174A3"/>
    <w:rsid w:val="005174CC"/>
    <w:rsid w:val="00520455"/>
    <w:rsid w:val="00520BD8"/>
    <w:rsid w:val="00521850"/>
    <w:rsid w:val="00521C36"/>
    <w:rsid w:val="00521D16"/>
    <w:rsid w:val="00522FC6"/>
    <w:rsid w:val="00523448"/>
    <w:rsid w:val="00523982"/>
    <w:rsid w:val="00523CE5"/>
    <w:rsid w:val="00523F58"/>
    <w:rsid w:val="00524C7B"/>
    <w:rsid w:val="005257A5"/>
    <w:rsid w:val="00526111"/>
    <w:rsid w:val="0052677E"/>
    <w:rsid w:val="00526832"/>
    <w:rsid w:val="0052703B"/>
    <w:rsid w:val="00527BAD"/>
    <w:rsid w:val="005304F3"/>
    <w:rsid w:val="00531449"/>
    <w:rsid w:val="00531C6F"/>
    <w:rsid w:val="00532320"/>
    <w:rsid w:val="00533933"/>
    <w:rsid w:val="00533E8C"/>
    <w:rsid w:val="00534DB9"/>
    <w:rsid w:val="00535404"/>
    <w:rsid w:val="00535C2A"/>
    <w:rsid w:val="00536897"/>
    <w:rsid w:val="00537082"/>
    <w:rsid w:val="00537F58"/>
    <w:rsid w:val="00540028"/>
    <w:rsid w:val="00540187"/>
    <w:rsid w:val="00542210"/>
    <w:rsid w:val="005428E0"/>
    <w:rsid w:val="00542FFD"/>
    <w:rsid w:val="0054316E"/>
    <w:rsid w:val="005431B8"/>
    <w:rsid w:val="0054385E"/>
    <w:rsid w:val="005442D1"/>
    <w:rsid w:val="005460CD"/>
    <w:rsid w:val="00546EAB"/>
    <w:rsid w:val="00547988"/>
    <w:rsid w:val="005507EF"/>
    <w:rsid w:val="00550A40"/>
    <w:rsid w:val="00551B57"/>
    <w:rsid w:val="00552873"/>
    <w:rsid w:val="005531F4"/>
    <w:rsid w:val="00553488"/>
    <w:rsid w:val="005553EF"/>
    <w:rsid w:val="00555F56"/>
    <w:rsid w:val="00556024"/>
    <w:rsid w:val="00556032"/>
    <w:rsid w:val="0055632D"/>
    <w:rsid w:val="00557423"/>
    <w:rsid w:val="0056033F"/>
    <w:rsid w:val="0056256B"/>
    <w:rsid w:val="0056311B"/>
    <w:rsid w:val="0056382A"/>
    <w:rsid w:val="00563EC2"/>
    <w:rsid w:val="00565FA3"/>
    <w:rsid w:val="00565FBE"/>
    <w:rsid w:val="0056757A"/>
    <w:rsid w:val="00567E81"/>
    <w:rsid w:val="00571428"/>
    <w:rsid w:val="005719E1"/>
    <w:rsid w:val="00571E4D"/>
    <w:rsid w:val="005744E6"/>
    <w:rsid w:val="0057454D"/>
    <w:rsid w:val="00575E56"/>
    <w:rsid w:val="0057668C"/>
    <w:rsid w:val="00576A6D"/>
    <w:rsid w:val="0057728B"/>
    <w:rsid w:val="00582C5B"/>
    <w:rsid w:val="005831C2"/>
    <w:rsid w:val="00583FCA"/>
    <w:rsid w:val="0058475B"/>
    <w:rsid w:val="005850FA"/>
    <w:rsid w:val="00585A6F"/>
    <w:rsid w:val="00585EAD"/>
    <w:rsid w:val="0058645B"/>
    <w:rsid w:val="00586464"/>
    <w:rsid w:val="005868F0"/>
    <w:rsid w:val="00590CE9"/>
    <w:rsid w:val="00590E01"/>
    <w:rsid w:val="005913B0"/>
    <w:rsid w:val="005917AA"/>
    <w:rsid w:val="005918B7"/>
    <w:rsid w:val="00591A57"/>
    <w:rsid w:val="005944D7"/>
    <w:rsid w:val="005965C2"/>
    <w:rsid w:val="00596A8B"/>
    <w:rsid w:val="00597DE2"/>
    <w:rsid w:val="005A0388"/>
    <w:rsid w:val="005A0D64"/>
    <w:rsid w:val="005A0E14"/>
    <w:rsid w:val="005A1132"/>
    <w:rsid w:val="005A1497"/>
    <w:rsid w:val="005A2E47"/>
    <w:rsid w:val="005A3089"/>
    <w:rsid w:val="005A360E"/>
    <w:rsid w:val="005A4384"/>
    <w:rsid w:val="005A5622"/>
    <w:rsid w:val="005A562C"/>
    <w:rsid w:val="005A577D"/>
    <w:rsid w:val="005A7E4A"/>
    <w:rsid w:val="005A7F66"/>
    <w:rsid w:val="005B0005"/>
    <w:rsid w:val="005B3C95"/>
    <w:rsid w:val="005B4CB3"/>
    <w:rsid w:val="005B5B35"/>
    <w:rsid w:val="005B5CA6"/>
    <w:rsid w:val="005B6D72"/>
    <w:rsid w:val="005B7B84"/>
    <w:rsid w:val="005B7CBE"/>
    <w:rsid w:val="005C0455"/>
    <w:rsid w:val="005C0C2B"/>
    <w:rsid w:val="005C1DC4"/>
    <w:rsid w:val="005C25BF"/>
    <w:rsid w:val="005C2686"/>
    <w:rsid w:val="005C2BA4"/>
    <w:rsid w:val="005C2BCF"/>
    <w:rsid w:val="005C3AFB"/>
    <w:rsid w:val="005C46F4"/>
    <w:rsid w:val="005C4CB6"/>
    <w:rsid w:val="005C4F0C"/>
    <w:rsid w:val="005C57CD"/>
    <w:rsid w:val="005C62C8"/>
    <w:rsid w:val="005C70E2"/>
    <w:rsid w:val="005C720F"/>
    <w:rsid w:val="005C743B"/>
    <w:rsid w:val="005D06A8"/>
    <w:rsid w:val="005D0884"/>
    <w:rsid w:val="005D0C10"/>
    <w:rsid w:val="005D1E36"/>
    <w:rsid w:val="005D2474"/>
    <w:rsid w:val="005D2637"/>
    <w:rsid w:val="005D3508"/>
    <w:rsid w:val="005D4BBA"/>
    <w:rsid w:val="005D730C"/>
    <w:rsid w:val="005D784D"/>
    <w:rsid w:val="005D7A13"/>
    <w:rsid w:val="005D7B40"/>
    <w:rsid w:val="005D7DCD"/>
    <w:rsid w:val="005E03B4"/>
    <w:rsid w:val="005E086B"/>
    <w:rsid w:val="005E1643"/>
    <w:rsid w:val="005E17DF"/>
    <w:rsid w:val="005E33CD"/>
    <w:rsid w:val="005E372A"/>
    <w:rsid w:val="005E4D44"/>
    <w:rsid w:val="005E524C"/>
    <w:rsid w:val="005E5769"/>
    <w:rsid w:val="005E6565"/>
    <w:rsid w:val="005F0559"/>
    <w:rsid w:val="005F1448"/>
    <w:rsid w:val="005F14D2"/>
    <w:rsid w:val="005F2F29"/>
    <w:rsid w:val="005F34C7"/>
    <w:rsid w:val="005F3FA2"/>
    <w:rsid w:val="005F5C7E"/>
    <w:rsid w:val="005F7899"/>
    <w:rsid w:val="0060144B"/>
    <w:rsid w:val="00602060"/>
    <w:rsid w:val="00602958"/>
    <w:rsid w:val="00602E58"/>
    <w:rsid w:val="00602F3C"/>
    <w:rsid w:val="00605B3F"/>
    <w:rsid w:val="00607172"/>
    <w:rsid w:val="00607FBD"/>
    <w:rsid w:val="00610228"/>
    <w:rsid w:val="006102B8"/>
    <w:rsid w:val="00611768"/>
    <w:rsid w:val="00611A01"/>
    <w:rsid w:val="00611A49"/>
    <w:rsid w:val="00612930"/>
    <w:rsid w:val="006153C1"/>
    <w:rsid w:val="0061672B"/>
    <w:rsid w:val="006173CF"/>
    <w:rsid w:val="00617A28"/>
    <w:rsid w:val="00617CB3"/>
    <w:rsid w:val="00620A98"/>
    <w:rsid w:val="00621D8B"/>
    <w:rsid w:val="0062293F"/>
    <w:rsid w:val="006233F5"/>
    <w:rsid w:val="00623D7F"/>
    <w:rsid w:val="00625A9E"/>
    <w:rsid w:val="00625AE7"/>
    <w:rsid w:val="00625F91"/>
    <w:rsid w:val="006260B6"/>
    <w:rsid w:val="00626DE6"/>
    <w:rsid w:val="00627268"/>
    <w:rsid w:val="00627F9C"/>
    <w:rsid w:val="00630EFE"/>
    <w:rsid w:val="00631629"/>
    <w:rsid w:val="006322E1"/>
    <w:rsid w:val="006324EC"/>
    <w:rsid w:val="00632E44"/>
    <w:rsid w:val="00633555"/>
    <w:rsid w:val="0063369E"/>
    <w:rsid w:val="00633BD2"/>
    <w:rsid w:val="00633CF4"/>
    <w:rsid w:val="00634E24"/>
    <w:rsid w:val="006354C9"/>
    <w:rsid w:val="00635F22"/>
    <w:rsid w:val="006375D5"/>
    <w:rsid w:val="00637C3D"/>
    <w:rsid w:val="00640E88"/>
    <w:rsid w:val="00640EDB"/>
    <w:rsid w:val="006428B8"/>
    <w:rsid w:val="00643523"/>
    <w:rsid w:val="0064363C"/>
    <w:rsid w:val="00643C39"/>
    <w:rsid w:val="00643DAB"/>
    <w:rsid w:val="0064542D"/>
    <w:rsid w:val="006455A5"/>
    <w:rsid w:val="00645629"/>
    <w:rsid w:val="00645957"/>
    <w:rsid w:val="00645AF2"/>
    <w:rsid w:val="00646CB5"/>
    <w:rsid w:val="006477D7"/>
    <w:rsid w:val="0065006F"/>
    <w:rsid w:val="00650EA1"/>
    <w:rsid w:val="00651048"/>
    <w:rsid w:val="00651162"/>
    <w:rsid w:val="00651A20"/>
    <w:rsid w:val="00652689"/>
    <w:rsid w:val="00652AEE"/>
    <w:rsid w:val="006531D0"/>
    <w:rsid w:val="0065352F"/>
    <w:rsid w:val="006539CE"/>
    <w:rsid w:val="00653BB9"/>
    <w:rsid w:val="006541A3"/>
    <w:rsid w:val="00654689"/>
    <w:rsid w:val="006550CA"/>
    <w:rsid w:val="00655150"/>
    <w:rsid w:val="006559AD"/>
    <w:rsid w:val="00655E06"/>
    <w:rsid w:val="00656438"/>
    <w:rsid w:val="00660CCE"/>
    <w:rsid w:val="006642D4"/>
    <w:rsid w:val="006642EB"/>
    <w:rsid w:val="00665807"/>
    <w:rsid w:val="006675BB"/>
    <w:rsid w:val="0067045E"/>
    <w:rsid w:val="00670BCB"/>
    <w:rsid w:val="00670DC8"/>
    <w:rsid w:val="00671201"/>
    <w:rsid w:val="006715D9"/>
    <w:rsid w:val="0067349E"/>
    <w:rsid w:val="006740EF"/>
    <w:rsid w:val="006757D0"/>
    <w:rsid w:val="00675883"/>
    <w:rsid w:val="00677342"/>
    <w:rsid w:val="00677B1B"/>
    <w:rsid w:val="00677CC6"/>
    <w:rsid w:val="0068118C"/>
    <w:rsid w:val="0068162E"/>
    <w:rsid w:val="0068170B"/>
    <w:rsid w:val="00681E6C"/>
    <w:rsid w:val="00682105"/>
    <w:rsid w:val="00682774"/>
    <w:rsid w:val="00683131"/>
    <w:rsid w:val="0068331C"/>
    <w:rsid w:val="00683B23"/>
    <w:rsid w:val="00683F7C"/>
    <w:rsid w:val="006844F0"/>
    <w:rsid w:val="00684870"/>
    <w:rsid w:val="00685565"/>
    <w:rsid w:val="00687176"/>
    <w:rsid w:val="00690611"/>
    <w:rsid w:val="00690626"/>
    <w:rsid w:val="00691213"/>
    <w:rsid w:val="0069141A"/>
    <w:rsid w:val="00691C80"/>
    <w:rsid w:val="00692BE1"/>
    <w:rsid w:val="0069338D"/>
    <w:rsid w:val="0069540D"/>
    <w:rsid w:val="0069600A"/>
    <w:rsid w:val="006964BE"/>
    <w:rsid w:val="00696DFF"/>
    <w:rsid w:val="006A01BE"/>
    <w:rsid w:val="006A0793"/>
    <w:rsid w:val="006A08DA"/>
    <w:rsid w:val="006A2611"/>
    <w:rsid w:val="006A2CD2"/>
    <w:rsid w:val="006A3E34"/>
    <w:rsid w:val="006A4422"/>
    <w:rsid w:val="006A6ABD"/>
    <w:rsid w:val="006B00F2"/>
    <w:rsid w:val="006B02CE"/>
    <w:rsid w:val="006B0425"/>
    <w:rsid w:val="006B0507"/>
    <w:rsid w:val="006B0B18"/>
    <w:rsid w:val="006B0D28"/>
    <w:rsid w:val="006B18F3"/>
    <w:rsid w:val="006B1AA6"/>
    <w:rsid w:val="006B1AB7"/>
    <w:rsid w:val="006B2581"/>
    <w:rsid w:val="006B2584"/>
    <w:rsid w:val="006B2680"/>
    <w:rsid w:val="006B2B19"/>
    <w:rsid w:val="006B447F"/>
    <w:rsid w:val="006B5125"/>
    <w:rsid w:val="006B62DA"/>
    <w:rsid w:val="006B7D87"/>
    <w:rsid w:val="006C0BB7"/>
    <w:rsid w:val="006C1271"/>
    <w:rsid w:val="006C17EB"/>
    <w:rsid w:val="006C2D9D"/>
    <w:rsid w:val="006C3273"/>
    <w:rsid w:val="006C3A9B"/>
    <w:rsid w:val="006C3BE4"/>
    <w:rsid w:val="006C469E"/>
    <w:rsid w:val="006C4722"/>
    <w:rsid w:val="006C58BA"/>
    <w:rsid w:val="006C5C3D"/>
    <w:rsid w:val="006C625C"/>
    <w:rsid w:val="006C6635"/>
    <w:rsid w:val="006C683B"/>
    <w:rsid w:val="006D0A61"/>
    <w:rsid w:val="006D1AE7"/>
    <w:rsid w:val="006D2D3D"/>
    <w:rsid w:val="006D3631"/>
    <w:rsid w:val="006D56AB"/>
    <w:rsid w:val="006D5BD6"/>
    <w:rsid w:val="006D637C"/>
    <w:rsid w:val="006D697E"/>
    <w:rsid w:val="006D7903"/>
    <w:rsid w:val="006E005E"/>
    <w:rsid w:val="006E177F"/>
    <w:rsid w:val="006E6A31"/>
    <w:rsid w:val="006E7086"/>
    <w:rsid w:val="006E789A"/>
    <w:rsid w:val="006F32F8"/>
    <w:rsid w:val="006F401D"/>
    <w:rsid w:val="006F5CFC"/>
    <w:rsid w:val="006F5DF1"/>
    <w:rsid w:val="006F633F"/>
    <w:rsid w:val="006F6EF9"/>
    <w:rsid w:val="007000D9"/>
    <w:rsid w:val="007018B9"/>
    <w:rsid w:val="007023D3"/>
    <w:rsid w:val="00703B3B"/>
    <w:rsid w:val="0070465B"/>
    <w:rsid w:val="00704821"/>
    <w:rsid w:val="0070485E"/>
    <w:rsid w:val="00704E1F"/>
    <w:rsid w:val="007050E6"/>
    <w:rsid w:val="007064FE"/>
    <w:rsid w:val="00706CAB"/>
    <w:rsid w:val="00707CE1"/>
    <w:rsid w:val="00707D84"/>
    <w:rsid w:val="007105D0"/>
    <w:rsid w:val="007107BB"/>
    <w:rsid w:val="00712F7C"/>
    <w:rsid w:val="00713CBC"/>
    <w:rsid w:val="00714594"/>
    <w:rsid w:val="007169DB"/>
    <w:rsid w:val="007174DB"/>
    <w:rsid w:val="00717856"/>
    <w:rsid w:val="00717887"/>
    <w:rsid w:val="00720C25"/>
    <w:rsid w:val="00721B04"/>
    <w:rsid w:val="00721FCC"/>
    <w:rsid w:val="00722259"/>
    <w:rsid w:val="00725161"/>
    <w:rsid w:val="00725226"/>
    <w:rsid w:val="007258F9"/>
    <w:rsid w:val="00727A1C"/>
    <w:rsid w:val="007317BE"/>
    <w:rsid w:val="00731C87"/>
    <w:rsid w:val="0073260E"/>
    <w:rsid w:val="0073278B"/>
    <w:rsid w:val="00732C9E"/>
    <w:rsid w:val="00733863"/>
    <w:rsid w:val="0073416A"/>
    <w:rsid w:val="0073495D"/>
    <w:rsid w:val="007353DD"/>
    <w:rsid w:val="007358CC"/>
    <w:rsid w:val="00741452"/>
    <w:rsid w:val="00741486"/>
    <w:rsid w:val="00742604"/>
    <w:rsid w:val="007432FA"/>
    <w:rsid w:val="007448C8"/>
    <w:rsid w:val="00745641"/>
    <w:rsid w:val="0074747E"/>
    <w:rsid w:val="00747701"/>
    <w:rsid w:val="00747FF0"/>
    <w:rsid w:val="00750520"/>
    <w:rsid w:val="00751141"/>
    <w:rsid w:val="0075189B"/>
    <w:rsid w:val="007526B3"/>
    <w:rsid w:val="00752B54"/>
    <w:rsid w:val="00752F43"/>
    <w:rsid w:val="0075363F"/>
    <w:rsid w:val="00753A33"/>
    <w:rsid w:val="00753B6E"/>
    <w:rsid w:val="00755271"/>
    <w:rsid w:val="0075536B"/>
    <w:rsid w:val="007560F8"/>
    <w:rsid w:val="0075616D"/>
    <w:rsid w:val="00756307"/>
    <w:rsid w:val="00756CAE"/>
    <w:rsid w:val="00757DB4"/>
    <w:rsid w:val="00760393"/>
    <w:rsid w:val="007629D3"/>
    <w:rsid w:val="00763387"/>
    <w:rsid w:val="00763841"/>
    <w:rsid w:val="00763ADC"/>
    <w:rsid w:val="00764365"/>
    <w:rsid w:val="00764B9A"/>
    <w:rsid w:val="00764C79"/>
    <w:rsid w:val="00765B04"/>
    <w:rsid w:val="007660C7"/>
    <w:rsid w:val="007678F5"/>
    <w:rsid w:val="0077085D"/>
    <w:rsid w:val="00771806"/>
    <w:rsid w:val="007720DD"/>
    <w:rsid w:val="00772777"/>
    <w:rsid w:val="00772AFB"/>
    <w:rsid w:val="007745E3"/>
    <w:rsid w:val="00774DAE"/>
    <w:rsid w:val="00774FBC"/>
    <w:rsid w:val="00775762"/>
    <w:rsid w:val="0077697F"/>
    <w:rsid w:val="00777889"/>
    <w:rsid w:val="007804F3"/>
    <w:rsid w:val="007812C6"/>
    <w:rsid w:val="00781A1C"/>
    <w:rsid w:val="0078276B"/>
    <w:rsid w:val="007829B3"/>
    <w:rsid w:val="00783556"/>
    <w:rsid w:val="00784750"/>
    <w:rsid w:val="0078480A"/>
    <w:rsid w:val="00784DEF"/>
    <w:rsid w:val="00785DDB"/>
    <w:rsid w:val="00785FB1"/>
    <w:rsid w:val="007861FF"/>
    <w:rsid w:val="00792E73"/>
    <w:rsid w:val="00794616"/>
    <w:rsid w:val="00794EE9"/>
    <w:rsid w:val="0079535B"/>
    <w:rsid w:val="00796A06"/>
    <w:rsid w:val="00797BD0"/>
    <w:rsid w:val="00797D2E"/>
    <w:rsid w:val="007A11AD"/>
    <w:rsid w:val="007A1549"/>
    <w:rsid w:val="007A3DF1"/>
    <w:rsid w:val="007A4CEE"/>
    <w:rsid w:val="007A4F53"/>
    <w:rsid w:val="007A6CC4"/>
    <w:rsid w:val="007A6E07"/>
    <w:rsid w:val="007A7030"/>
    <w:rsid w:val="007B0571"/>
    <w:rsid w:val="007B0B45"/>
    <w:rsid w:val="007B0F5D"/>
    <w:rsid w:val="007B1928"/>
    <w:rsid w:val="007B1B20"/>
    <w:rsid w:val="007B1D74"/>
    <w:rsid w:val="007B31DD"/>
    <w:rsid w:val="007B34B1"/>
    <w:rsid w:val="007B4014"/>
    <w:rsid w:val="007B590D"/>
    <w:rsid w:val="007B5D4D"/>
    <w:rsid w:val="007C08B3"/>
    <w:rsid w:val="007C0D14"/>
    <w:rsid w:val="007C15D0"/>
    <w:rsid w:val="007C2016"/>
    <w:rsid w:val="007C2D32"/>
    <w:rsid w:val="007C442B"/>
    <w:rsid w:val="007C4700"/>
    <w:rsid w:val="007C5DA6"/>
    <w:rsid w:val="007C6D11"/>
    <w:rsid w:val="007D0836"/>
    <w:rsid w:val="007D1408"/>
    <w:rsid w:val="007D1534"/>
    <w:rsid w:val="007D1D11"/>
    <w:rsid w:val="007D1FB9"/>
    <w:rsid w:val="007D21E1"/>
    <w:rsid w:val="007D38EC"/>
    <w:rsid w:val="007D5880"/>
    <w:rsid w:val="007D5E2B"/>
    <w:rsid w:val="007D5E8A"/>
    <w:rsid w:val="007D65EB"/>
    <w:rsid w:val="007D677E"/>
    <w:rsid w:val="007D6B9E"/>
    <w:rsid w:val="007D6CC6"/>
    <w:rsid w:val="007D6F89"/>
    <w:rsid w:val="007D7365"/>
    <w:rsid w:val="007D7719"/>
    <w:rsid w:val="007D7AE8"/>
    <w:rsid w:val="007D7E68"/>
    <w:rsid w:val="007E01B8"/>
    <w:rsid w:val="007E0F8D"/>
    <w:rsid w:val="007E318D"/>
    <w:rsid w:val="007E3EE4"/>
    <w:rsid w:val="007E4256"/>
    <w:rsid w:val="007E4A1F"/>
    <w:rsid w:val="007E4D52"/>
    <w:rsid w:val="007E5420"/>
    <w:rsid w:val="007E6560"/>
    <w:rsid w:val="007E7014"/>
    <w:rsid w:val="007E79C2"/>
    <w:rsid w:val="007F0601"/>
    <w:rsid w:val="007F1812"/>
    <w:rsid w:val="007F357D"/>
    <w:rsid w:val="007F5F7A"/>
    <w:rsid w:val="007F64F3"/>
    <w:rsid w:val="007F6EA6"/>
    <w:rsid w:val="0080057E"/>
    <w:rsid w:val="00801646"/>
    <w:rsid w:val="008016E9"/>
    <w:rsid w:val="00802C1C"/>
    <w:rsid w:val="008047DE"/>
    <w:rsid w:val="0080499F"/>
    <w:rsid w:val="00805D0E"/>
    <w:rsid w:val="0080623A"/>
    <w:rsid w:val="00806C34"/>
    <w:rsid w:val="008071B1"/>
    <w:rsid w:val="00810CA6"/>
    <w:rsid w:val="00812FAD"/>
    <w:rsid w:val="008133D2"/>
    <w:rsid w:val="0081516D"/>
    <w:rsid w:val="00815743"/>
    <w:rsid w:val="00815848"/>
    <w:rsid w:val="00816A19"/>
    <w:rsid w:val="00816A96"/>
    <w:rsid w:val="008175F1"/>
    <w:rsid w:val="00817F8A"/>
    <w:rsid w:val="008202DC"/>
    <w:rsid w:val="00820616"/>
    <w:rsid w:val="00821073"/>
    <w:rsid w:val="00821A73"/>
    <w:rsid w:val="00821E0F"/>
    <w:rsid w:val="00822874"/>
    <w:rsid w:val="00824352"/>
    <w:rsid w:val="00826BF6"/>
    <w:rsid w:val="00826F4F"/>
    <w:rsid w:val="00827E5A"/>
    <w:rsid w:val="00827ED1"/>
    <w:rsid w:val="0083030D"/>
    <w:rsid w:val="0083142E"/>
    <w:rsid w:val="00831734"/>
    <w:rsid w:val="008323A3"/>
    <w:rsid w:val="00833102"/>
    <w:rsid w:val="008341FE"/>
    <w:rsid w:val="0083531D"/>
    <w:rsid w:val="0083727D"/>
    <w:rsid w:val="008404A1"/>
    <w:rsid w:val="00840712"/>
    <w:rsid w:val="00840FC9"/>
    <w:rsid w:val="00842D4B"/>
    <w:rsid w:val="00843013"/>
    <w:rsid w:val="008430D7"/>
    <w:rsid w:val="00843F1E"/>
    <w:rsid w:val="008448DD"/>
    <w:rsid w:val="008457E0"/>
    <w:rsid w:val="00845E95"/>
    <w:rsid w:val="00845F58"/>
    <w:rsid w:val="00846214"/>
    <w:rsid w:val="00846749"/>
    <w:rsid w:val="00846C6F"/>
    <w:rsid w:val="0085278F"/>
    <w:rsid w:val="00853531"/>
    <w:rsid w:val="00854934"/>
    <w:rsid w:val="00855B0C"/>
    <w:rsid w:val="00856E17"/>
    <w:rsid w:val="0085701D"/>
    <w:rsid w:val="00857666"/>
    <w:rsid w:val="00860B76"/>
    <w:rsid w:val="00862563"/>
    <w:rsid w:val="00863376"/>
    <w:rsid w:val="008633FA"/>
    <w:rsid w:val="00863E79"/>
    <w:rsid w:val="00864C2C"/>
    <w:rsid w:val="008655C0"/>
    <w:rsid w:val="00866353"/>
    <w:rsid w:val="008671AC"/>
    <w:rsid w:val="0086724A"/>
    <w:rsid w:val="008677A1"/>
    <w:rsid w:val="00867B9F"/>
    <w:rsid w:val="00870EB0"/>
    <w:rsid w:val="00871108"/>
    <w:rsid w:val="00871325"/>
    <w:rsid w:val="00871393"/>
    <w:rsid w:val="00871730"/>
    <w:rsid w:val="00875BBC"/>
    <w:rsid w:val="00875C57"/>
    <w:rsid w:val="00875C96"/>
    <w:rsid w:val="00875E18"/>
    <w:rsid w:val="00876BCD"/>
    <w:rsid w:val="00880AB3"/>
    <w:rsid w:val="00880F63"/>
    <w:rsid w:val="008814B3"/>
    <w:rsid w:val="00882322"/>
    <w:rsid w:val="00882BA1"/>
    <w:rsid w:val="00883315"/>
    <w:rsid w:val="00885CFD"/>
    <w:rsid w:val="00887231"/>
    <w:rsid w:val="0089013A"/>
    <w:rsid w:val="008904D1"/>
    <w:rsid w:val="008948E9"/>
    <w:rsid w:val="00894CED"/>
    <w:rsid w:val="00894F28"/>
    <w:rsid w:val="00895502"/>
    <w:rsid w:val="00896000"/>
    <w:rsid w:val="00896072"/>
    <w:rsid w:val="00896A81"/>
    <w:rsid w:val="008A2332"/>
    <w:rsid w:val="008A36F1"/>
    <w:rsid w:val="008A488C"/>
    <w:rsid w:val="008A4D9B"/>
    <w:rsid w:val="008B042B"/>
    <w:rsid w:val="008B0440"/>
    <w:rsid w:val="008B0678"/>
    <w:rsid w:val="008B0D66"/>
    <w:rsid w:val="008B1317"/>
    <w:rsid w:val="008B3914"/>
    <w:rsid w:val="008B3A8C"/>
    <w:rsid w:val="008B460F"/>
    <w:rsid w:val="008B4847"/>
    <w:rsid w:val="008B4AA0"/>
    <w:rsid w:val="008B4EFB"/>
    <w:rsid w:val="008B5564"/>
    <w:rsid w:val="008B5928"/>
    <w:rsid w:val="008B5A06"/>
    <w:rsid w:val="008B5A95"/>
    <w:rsid w:val="008C031C"/>
    <w:rsid w:val="008C0C9C"/>
    <w:rsid w:val="008C1440"/>
    <w:rsid w:val="008C151F"/>
    <w:rsid w:val="008C1B4D"/>
    <w:rsid w:val="008C2038"/>
    <w:rsid w:val="008C40D0"/>
    <w:rsid w:val="008C420F"/>
    <w:rsid w:val="008C4B57"/>
    <w:rsid w:val="008C5286"/>
    <w:rsid w:val="008C6725"/>
    <w:rsid w:val="008D30F9"/>
    <w:rsid w:val="008D4D1D"/>
    <w:rsid w:val="008D52AE"/>
    <w:rsid w:val="008D53B2"/>
    <w:rsid w:val="008D581D"/>
    <w:rsid w:val="008D623F"/>
    <w:rsid w:val="008D71AB"/>
    <w:rsid w:val="008E1D0F"/>
    <w:rsid w:val="008E2314"/>
    <w:rsid w:val="008E3DE2"/>
    <w:rsid w:val="008E4F5F"/>
    <w:rsid w:val="008E65A5"/>
    <w:rsid w:val="008F00F8"/>
    <w:rsid w:val="008F0170"/>
    <w:rsid w:val="008F07C9"/>
    <w:rsid w:val="008F10BB"/>
    <w:rsid w:val="008F15C2"/>
    <w:rsid w:val="008F22DE"/>
    <w:rsid w:val="008F2B50"/>
    <w:rsid w:val="008F3036"/>
    <w:rsid w:val="008F333E"/>
    <w:rsid w:val="008F43AA"/>
    <w:rsid w:val="008F4DCE"/>
    <w:rsid w:val="008F558F"/>
    <w:rsid w:val="008F5928"/>
    <w:rsid w:val="008F7213"/>
    <w:rsid w:val="009009BC"/>
    <w:rsid w:val="00900F8A"/>
    <w:rsid w:val="009011A9"/>
    <w:rsid w:val="00901F5C"/>
    <w:rsid w:val="009037DB"/>
    <w:rsid w:val="00903C11"/>
    <w:rsid w:val="009041C1"/>
    <w:rsid w:val="00905395"/>
    <w:rsid w:val="00905D45"/>
    <w:rsid w:val="00906C19"/>
    <w:rsid w:val="00910CA6"/>
    <w:rsid w:val="00911EF4"/>
    <w:rsid w:val="00912169"/>
    <w:rsid w:val="00912E89"/>
    <w:rsid w:val="00912F7E"/>
    <w:rsid w:val="00913F07"/>
    <w:rsid w:val="00914270"/>
    <w:rsid w:val="009149F0"/>
    <w:rsid w:val="00915173"/>
    <w:rsid w:val="00915ACC"/>
    <w:rsid w:val="00915E97"/>
    <w:rsid w:val="00916942"/>
    <w:rsid w:val="00917487"/>
    <w:rsid w:val="0092037A"/>
    <w:rsid w:val="00920AC3"/>
    <w:rsid w:val="00920B6C"/>
    <w:rsid w:val="009227C7"/>
    <w:rsid w:val="00922861"/>
    <w:rsid w:val="00922CC7"/>
    <w:rsid w:val="00922DE8"/>
    <w:rsid w:val="00923391"/>
    <w:rsid w:val="009246AD"/>
    <w:rsid w:val="00924D57"/>
    <w:rsid w:val="00925AAC"/>
    <w:rsid w:val="0092797A"/>
    <w:rsid w:val="0093072D"/>
    <w:rsid w:val="009309EC"/>
    <w:rsid w:val="00931822"/>
    <w:rsid w:val="00933ADA"/>
    <w:rsid w:val="00933CF9"/>
    <w:rsid w:val="00933F8B"/>
    <w:rsid w:val="00936819"/>
    <w:rsid w:val="00937C04"/>
    <w:rsid w:val="00937F8C"/>
    <w:rsid w:val="009410CB"/>
    <w:rsid w:val="00941E95"/>
    <w:rsid w:val="009433E7"/>
    <w:rsid w:val="00944096"/>
    <w:rsid w:val="0095195E"/>
    <w:rsid w:val="009522CA"/>
    <w:rsid w:val="00957331"/>
    <w:rsid w:val="0095752F"/>
    <w:rsid w:val="00957901"/>
    <w:rsid w:val="00957988"/>
    <w:rsid w:val="00957C6B"/>
    <w:rsid w:val="009600D5"/>
    <w:rsid w:val="009600D8"/>
    <w:rsid w:val="00961CD2"/>
    <w:rsid w:val="009628F6"/>
    <w:rsid w:val="009629D3"/>
    <w:rsid w:val="009635A5"/>
    <w:rsid w:val="00963DED"/>
    <w:rsid w:val="00964A4A"/>
    <w:rsid w:val="00964FC6"/>
    <w:rsid w:val="009658CD"/>
    <w:rsid w:val="00965F15"/>
    <w:rsid w:val="00967C04"/>
    <w:rsid w:val="00967CE9"/>
    <w:rsid w:val="009719AA"/>
    <w:rsid w:val="00971EA2"/>
    <w:rsid w:val="0097259C"/>
    <w:rsid w:val="00972FB0"/>
    <w:rsid w:val="009731B1"/>
    <w:rsid w:val="009738E8"/>
    <w:rsid w:val="0097399D"/>
    <w:rsid w:val="00976E4F"/>
    <w:rsid w:val="00977752"/>
    <w:rsid w:val="0097794C"/>
    <w:rsid w:val="0098130A"/>
    <w:rsid w:val="00984066"/>
    <w:rsid w:val="00984BFC"/>
    <w:rsid w:val="00985382"/>
    <w:rsid w:val="009856CE"/>
    <w:rsid w:val="00985A86"/>
    <w:rsid w:val="00985B7B"/>
    <w:rsid w:val="00985FD9"/>
    <w:rsid w:val="0098640B"/>
    <w:rsid w:val="0098676E"/>
    <w:rsid w:val="00987138"/>
    <w:rsid w:val="00987860"/>
    <w:rsid w:val="009900F6"/>
    <w:rsid w:val="0099027F"/>
    <w:rsid w:val="00990B14"/>
    <w:rsid w:val="00991430"/>
    <w:rsid w:val="00992BEC"/>
    <w:rsid w:val="00993113"/>
    <w:rsid w:val="009944AA"/>
    <w:rsid w:val="009944E0"/>
    <w:rsid w:val="009A1D1A"/>
    <w:rsid w:val="009A2576"/>
    <w:rsid w:val="009A2804"/>
    <w:rsid w:val="009A498B"/>
    <w:rsid w:val="009A5652"/>
    <w:rsid w:val="009A5C5D"/>
    <w:rsid w:val="009A63D7"/>
    <w:rsid w:val="009A78D9"/>
    <w:rsid w:val="009B00EF"/>
    <w:rsid w:val="009B0935"/>
    <w:rsid w:val="009B0F3E"/>
    <w:rsid w:val="009B119C"/>
    <w:rsid w:val="009B129B"/>
    <w:rsid w:val="009B405B"/>
    <w:rsid w:val="009B5DD4"/>
    <w:rsid w:val="009C1A65"/>
    <w:rsid w:val="009C64CD"/>
    <w:rsid w:val="009D1489"/>
    <w:rsid w:val="009D1AF1"/>
    <w:rsid w:val="009D1B37"/>
    <w:rsid w:val="009D264F"/>
    <w:rsid w:val="009D2AB5"/>
    <w:rsid w:val="009D2E73"/>
    <w:rsid w:val="009D3260"/>
    <w:rsid w:val="009D3799"/>
    <w:rsid w:val="009D432A"/>
    <w:rsid w:val="009D484A"/>
    <w:rsid w:val="009D505E"/>
    <w:rsid w:val="009D52E8"/>
    <w:rsid w:val="009D6099"/>
    <w:rsid w:val="009D7EFF"/>
    <w:rsid w:val="009E0F31"/>
    <w:rsid w:val="009E3C09"/>
    <w:rsid w:val="009E4B6A"/>
    <w:rsid w:val="009E52F4"/>
    <w:rsid w:val="009E623C"/>
    <w:rsid w:val="009E7211"/>
    <w:rsid w:val="009E7412"/>
    <w:rsid w:val="009F0776"/>
    <w:rsid w:val="009F250E"/>
    <w:rsid w:val="009F2E7E"/>
    <w:rsid w:val="009F3958"/>
    <w:rsid w:val="009F47DE"/>
    <w:rsid w:val="009F5552"/>
    <w:rsid w:val="009F592A"/>
    <w:rsid w:val="009F5C25"/>
    <w:rsid w:val="009F7D42"/>
    <w:rsid w:val="00A00109"/>
    <w:rsid w:val="00A01378"/>
    <w:rsid w:val="00A0172A"/>
    <w:rsid w:val="00A026AA"/>
    <w:rsid w:val="00A02D62"/>
    <w:rsid w:val="00A04B34"/>
    <w:rsid w:val="00A0606C"/>
    <w:rsid w:val="00A069AC"/>
    <w:rsid w:val="00A07489"/>
    <w:rsid w:val="00A0795B"/>
    <w:rsid w:val="00A10887"/>
    <w:rsid w:val="00A121B2"/>
    <w:rsid w:val="00A13491"/>
    <w:rsid w:val="00A13916"/>
    <w:rsid w:val="00A13ED5"/>
    <w:rsid w:val="00A14BA1"/>
    <w:rsid w:val="00A1567E"/>
    <w:rsid w:val="00A159A3"/>
    <w:rsid w:val="00A16455"/>
    <w:rsid w:val="00A17A2B"/>
    <w:rsid w:val="00A20DE3"/>
    <w:rsid w:val="00A20EB5"/>
    <w:rsid w:val="00A221AC"/>
    <w:rsid w:val="00A2314C"/>
    <w:rsid w:val="00A232BD"/>
    <w:rsid w:val="00A23C7A"/>
    <w:rsid w:val="00A249A9"/>
    <w:rsid w:val="00A24CF7"/>
    <w:rsid w:val="00A24FA1"/>
    <w:rsid w:val="00A271BC"/>
    <w:rsid w:val="00A302B1"/>
    <w:rsid w:val="00A3098C"/>
    <w:rsid w:val="00A31752"/>
    <w:rsid w:val="00A31FB8"/>
    <w:rsid w:val="00A3408F"/>
    <w:rsid w:val="00A34731"/>
    <w:rsid w:val="00A34A7C"/>
    <w:rsid w:val="00A35165"/>
    <w:rsid w:val="00A36792"/>
    <w:rsid w:val="00A4055A"/>
    <w:rsid w:val="00A406DD"/>
    <w:rsid w:val="00A41C54"/>
    <w:rsid w:val="00A472FA"/>
    <w:rsid w:val="00A47461"/>
    <w:rsid w:val="00A5270B"/>
    <w:rsid w:val="00A5280F"/>
    <w:rsid w:val="00A541E6"/>
    <w:rsid w:val="00A5455C"/>
    <w:rsid w:val="00A547AF"/>
    <w:rsid w:val="00A554F3"/>
    <w:rsid w:val="00A555DA"/>
    <w:rsid w:val="00A5681B"/>
    <w:rsid w:val="00A56AC9"/>
    <w:rsid w:val="00A57AED"/>
    <w:rsid w:val="00A60B91"/>
    <w:rsid w:val="00A6144C"/>
    <w:rsid w:val="00A617E0"/>
    <w:rsid w:val="00A61A21"/>
    <w:rsid w:val="00A62DAD"/>
    <w:rsid w:val="00A631BF"/>
    <w:rsid w:val="00A64930"/>
    <w:rsid w:val="00A64EF2"/>
    <w:rsid w:val="00A64F24"/>
    <w:rsid w:val="00A65F2C"/>
    <w:rsid w:val="00A66174"/>
    <w:rsid w:val="00A668B4"/>
    <w:rsid w:val="00A6706A"/>
    <w:rsid w:val="00A676D2"/>
    <w:rsid w:val="00A67F72"/>
    <w:rsid w:val="00A702AB"/>
    <w:rsid w:val="00A7080D"/>
    <w:rsid w:val="00A7096F"/>
    <w:rsid w:val="00A70E01"/>
    <w:rsid w:val="00A71029"/>
    <w:rsid w:val="00A7178D"/>
    <w:rsid w:val="00A721CF"/>
    <w:rsid w:val="00A73579"/>
    <w:rsid w:val="00A743F7"/>
    <w:rsid w:val="00A75288"/>
    <w:rsid w:val="00A756DB"/>
    <w:rsid w:val="00A764EF"/>
    <w:rsid w:val="00A7650A"/>
    <w:rsid w:val="00A7677D"/>
    <w:rsid w:val="00A7696F"/>
    <w:rsid w:val="00A76C36"/>
    <w:rsid w:val="00A82261"/>
    <w:rsid w:val="00A8300F"/>
    <w:rsid w:val="00A83DD0"/>
    <w:rsid w:val="00A83E4D"/>
    <w:rsid w:val="00A8441E"/>
    <w:rsid w:val="00A84633"/>
    <w:rsid w:val="00A84828"/>
    <w:rsid w:val="00A8536A"/>
    <w:rsid w:val="00A86B1C"/>
    <w:rsid w:val="00A87723"/>
    <w:rsid w:val="00A87ECD"/>
    <w:rsid w:val="00A9025E"/>
    <w:rsid w:val="00A90A54"/>
    <w:rsid w:val="00A90AC4"/>
    <w:rsid w:val="00A9494C"/>
    <w:rsid w:val="00A949F9"/>
    <w:rsid w:val="00A972E9"/>
    <w:rsid w:val="00A97466"/>
    <w:rsid w:val="00AA06B3"/>
    <w:rsid w:val="00AA07CF"/>
    <w:rsid w:val="00AA1662"/>
    <w:rsid w:val="00AA1934"/>
    <w:rsid w:val="00AA3492"/>
    <w:rsid w:val="00AA3D30"/>
    <w:rsid w:val="00AA457F"/>
    <w:rsid w:val="00AA4A28"/>
    <w:rsid w:val="00AA5415"/>
    <w:rsid w:val="00AA5EF6"/>
    <w:rsid w:val="00AA7570"/>
    <w:rsid w:val="00AB2093"/>
    <w:rsid w:val="00AB22CD"/>
    <w:rsid w:val="00AB277F"/>
    <w:rsid w:val="00AB2EBB"/>
    <w:rsid w:val="00AB30E1"/>
    <w:rsid w:val="00AB34C5"/>
    <w:rsid w:val="00AB3622"/>
    <w:rsid w:val="00AB3AE6"/>
    <w:rsid w:val="00AB4DCC"/>
    <w:rsid w:val="00AB58C9"/>
    <w:rsid w:val="00AB5C9D"/>
    <w:rsid w:val="00AB5FD4"/>
    <w:rsid w:val="00AB7621"/>
    <w:rsid w:val="00AC0E33"/>
    <w:rsid w:val="00AC111E"/>
    <w:rsid w:val="00AC16E7"/>
    <w:rsid w:val="00AC1B2F"/>
    <w:rsid w:val="00AC1C2D"/>
    <w:rsid w:val="00AC2A7B"/>
    <w:rsid w:val="00AC3487"/>
    <w:rsid w:val="00AC3AA6"/>
    <w:rsid w:val="00AC3B33"/>
    <w:rsid w:val="00AC64DB"/>
    <w:rsid w:val="00AC7246"/>
    <w:rsid w:val="00AC7368"/>
    <w:rsid w:val="00AC7654"/>
    <w:rsid w:val="00AC77BD"/>
    <w:rsid w:val="00AD05C3"/>
    <w:rsid w:val="00AD072E"/>
    <w:rsid w:val="00AD14EC"/>
    <w:rsid w:val="00AD2100"/>
    <w:rsid w:val="00AD24A4"/>
    <w:rsid w:val="00AD25ED"/>
    <w:rsid w:val="00AD3538"/>
    <w:rsid w:val="00AD4882"/>
    <w:rsid w:val="00AD4F10"/>
    <w:rsid w:val="00AD68AC"/>
    <w:rsid w:val="00AD720C"/>
    <w:rsid w:val="00AE0D48"/>
    <w:rsid w:val="00AE0D5F"/>
    <w:rsid w:val="00AE1275"/>
    <w:rsid w:val="00AE2409"/>
    <w:rsid w:val="00AE32C7"/>
    <w:rsid w:val="00AE4FCF"/>
    <w:rsid w:val="00AE6217"/>
    <w:rsid w:val="00AE66CE"/>
    <w:rsid w:val="00AF01C0"/>
    <w:rsid w:val="00AF0300"/>
    <w:rsid w:val="00AF0975"/>
    <w:rsid w:val="00AF0C41"/>
    <w:rsid w:val="00AF0F76"/>
    <w:rsid w:val="00AF24BD"/>
    <w:rsid w:val="00AF3478"/>
    <w:rsid w:val="00AF3B09"/>
    <w:rsid w:val="00AF3C3D"/>
    <w:rsid w:val="00AF49A5"/>
    <w:rsid w:val="00AF4F6D"/>
    <w:rsid w:val="00AF58AA"/>
    <w:rsid w:val="00AF5FCE"/>
    <w:rsid w:val="00AF729E"/>
    <w:rsid w:val="00AF7F6A"/>
    <w:rsid w:val="00B00D89"/>
    <w:rsid w:val="00B021A6"/>
    <w:rsid w:val="00B02B76"/>
    <w:rsid w:val="00B03325"/>
    <w:rsid w:val="00B05A88"/>
    <w:rsid w:val="00B1141D"/>
    <w:rsid w:val="00B140E3"/>
    <w:rsid w:val="00B14787"/>
    <w:rsid w:val="00B148BE"/>
    <w:rsid w:val="00B1533C"/>
    <w:rsid w:val="00B153EC"/>
    <w:rsid w:val="00B15E64"/>
    <w:rsid w:val="00B16FD1"/>
    <w:rsid w:val="00B20AB8"/>
    <w:rsid w:val="00B20BBA"/>
    <w:rsid w:val="00B20C2A"/>
    <w:rsid w:val="00B22031"/>
    <w:rsid w:val="00B22773"/>
    <w:rsid w:val="00B22D91"/>
    <w:rsid w:val="00B23278"/>
    <w:rsid w:val="00B23CFD"/>
    <w:rsid w:val="00B23EBF"/>
    <w:rsid w:val="00B24325"/>
    <w:rsid w:val="00B27032"/>
    <w:rsid w:val="00B27415"/>
    <w:rsid w:val="00B278B9"/>
    <w:rsid w:val="00B30A2F"/>
    <w:rsid w:val="00B319D4"/>
    <w:rsid w:val="00B33167"/>
    <w:rsid w:val="00B344F3"/>
    <w:rsid w:val="00B34914"/>
    <w:rsid w:val="00B35EEB"/>
    <w:rsid w:val="00B372C6"/>
    <w:rsid w:val="00B40672"/>
    <w:rsid w:val="00B44466"/>
    <w:rsid w:val="00B44641"/>
    <w:rsid w:val="00B4484C"/>
    <w:rsid w:val="00B44E34"/>
    <w:rsid w:val="00B457F7"/>
    <w:rsid w:val="00B4586F"/>
    <w:rsid w:val="00B466E7"/>
    <w:rsid w:val="00B46B81"/>
    <w:rsid w:val="00B500C3"/>
    <w:rsid w:val="00B505D5"/>
    <w:rsid w:val="00B509ED"/>
    <w:rsid w:val="00B511EB"/>
    <w:rsid w:val="00B51DF8"/>
    <w:rsid w:val="00B53873"/>
    <w:rsid w:val="00B553B8"/>
    <w:rsid w:val="00B57114"/>
    <w:rsid w:val="00B578CC"/>
    <w:rsid w:val="00B60360"/>
    <w:rsid w:val="00B616DC"/>
    <w:rsid w:val="00B63B4B"/>
    <w:rsid w:val="00B65F23"/>
    <w:rsid w:val="00B6672F"/>
    <w:rsid w:val="00B66909"/>
    <w:rsid w:val="00B67250"/>
    <w:rsid w:val="00B711D7"/>
    <w:rsid w:val="00B71F30"/>
    <w:rsid w:val="00B7252A"/>
    <w:rsid w:val="00B73648"/>
    <w:rsid w:val="00B74E5A"/>
    <w:rsid w:val="00B7598F"/>
    <w:rsid w:val="00B7618D"/>
    <w:rsid w:val="00B7640F"/>
    <w:rsid w:val="00B8155B"/>
    <w:rsid w:val="00B81A5D"/>
    <w:rsid w:val="00B82778"/>
    <w:rsid w:val="00B82D7F"/>
    <w:rsid w:val="00B838CB"/>
    <w:rsid w:val="00B86729"/>
    <w:rsid w:val="00B86E30"/>
    <w:rsid w:val="00B870CC"/>
    <w:rsid w:val="00B878F7"/>
    <w:rsid w:val="00B900E5"/>
    <w:rsid w:val="00B90351"/>
    <w:rsid w:val="00B90F5D"/>
    <w:rsid w:val="00B91470"/>
    <w:rsid w:val="00B91475"/>
    <w:rsid w:val="00B9189F"/>
    <w:rsid w:val="00B9223B"/>
    <w:rsid w:val="00B92B8E"/>
    <w:rsid w:val="00B934BA"/>
    <w:rsid w:val="00B93BA0"/>
    <w:rsid w:val="00B94111"/>
    <w:rsid w:val="00B94D6E"/>
    <w:rsid w:val="00B954AD"/>
    <w:rsid w:val="00B97F18"/>
    <w:rsid w:val="00BA004A"/>
    <w:rsid w:val="00BA008F"/>
    <w:rsid w:val="00BA0922"/>
    <w:rsid w:val="00BA0E32"/>
    <w:rsid w:val="00BA1BDB"/>
    <w:rsid w:val="00BA3482"/>
    <w:rsid w:val="00BA3916"/>
    <w:rsid w:val="00BA6CE3"/>
    <w:rsid w:val="00BA6DF4"/>
    <w:rsid w:val="00BA7774"/>
    <w:rsid w:val="00BB163A"/>
    <w:rsid w:val="00BB16D2"/>
    <w:rsid w:val="00BB2443"/>
    <w:rsid w:val="00BB2D3A"/>
    <w:rsid w:val="00BB4E2C"/>
    <w:rsid w:val="00BB530B"/>
    <w:rsid w:val="00BB6062"/>
    <w:rsid w:val="00BB679C"/>
    <w:rsid w:val="00BB7A33"/>
    <w:rsid w:val="00BC01B6"/>
    <w:rsid w:val="00BC173B"/>
    <w:rsid w:val="00BC19B8"/>
    <w:rsid w:val="00BC20D6"/>
    <w:rsid w:val="00BC315A"/>
    <w:rsid w:val="00BC3A80"/>
    <w:rsid w:val="00BC4DF6"/>
    <w:rsid w:val="00BC63E1"/>
    <w:rsid w:val="00BC7CBE"/>
    <w:rsid w:val="00BD197B"/>
    <w:rsid w:val="00BD1A43"/>
    <w:rsid w:val="00BD1DAD"/>
    <w:rsid w:val="00BD2C44"/>
    <w:rsid w:val="00BD75DF"/>
    <w:rsid w:val="00BE05EB"/>
    <w:rsid w:val="00BE06DC"/>
    <w:rsid w:val="00BE0C4B"/>
    <w:rsid w:val="00BE0D9C"/>
    <w:rsid w:val="00BE150B"/>
    <w:rsid w:val="00BE1532"/>
    <w:rsid w:val="00BE18DC"/>
    <w:rsid w:val="00BE25ED"/>
    <w:rsid w:val="00BE3B61"/>
    <w:rsid w:val="00BE3B73"/>
    <w:rsid w:val="00BE3C92"/>
    <w:rsid w:val="00BE44B2"/>
    <w:rsid w:val="00BE4B40"/>
    <w:rsid w:val="00BE65DF"/>
    <w:rsid w:val="00BE7E82"/>
    <w:rsid w:val="00BF280B"/>
    <w:rsid w:val="00BF3628"/>
    <w:rsid w:val="00BF5491"/>
    <w:rsid w:val="00C00903"/>
    <w:rsid w:val="00C01DD0"/>
    <w:rsid w:val="00C0203A"/>
    <w:rsid w:val="00C02165"/>
    <w:rsid w:val="00C02BAF"/>
    <w:rsid w:val="00C03472"/>
    <w:rsid w:val="00C04581"/>
    <w:rsid w:val="00C0562F"/>
    <w:rsid w:val="00C0587A"/>
    <w:rsid w:val="00C05B97"/>
    <w:rsid w:val="00C05FD7"/>
    <w:rsid w:val="00C06B63"/>
    <w:rsid w:val="00C0774A"/>
    <w:rsid w:val="00C07976"/>
    <w:rsid w:val="00C0797B"/>
    <w:rsid w:val="00C07F6C"/>
    <w:rsid w:val="00C10BEF"/>
    <w:rsid w:val="00C10D6C"/>
    <w:rsid w:val="00C10EE0"/>
    <w:rsid w:val="00C1117D"/>
    <w:rsid w:val="00C11D23"/>
    <w:rsid w:val="00C12126"/>
    <w:rsid w:val="00C12556"/>
    <w:rsid w:val="00C12B0F"/>
    <w:rsid w:val="00C12B6B"/>
    <w:rsid w:val="00C14E59"/>
    <w:rsid w:val="00C14F75"/>
    <w:rsid w:val="00C1509C"/>
    <w:rsid w:val="00C158FE"/>
    <w:rsid w:val="00C207AA"/>
    <w:rsid w:val="00C21B2D"/>
    <w:rsid w:val="00C21C0C"/>
    <w:rsid w:val="00C23BC9"/>
    <w:rsid w:val="00C23DBC"/>
    <w:rsid w:val="00C24ACB"/>
    <w:rsid w:val="00C25394"/>
    <w:rsid w:val="00C258EB"/>
    <w:rsid w:val="00C25F70"/>
    <w:rsid w:val="00C264E7"/>
    <w:rsid w:val="00C27882"/>
    <w:rsid w:val="00C278DA"/>
    <w:rsid w:val="00C27E76"/>
    <w:rsid w:val="00C303F9"/>
    <w:rsid w:val="00C32C84"/>
    <w:rsid w:val="00C341F5"/>
    <w:rsid w:val="00C34379"/>
    <w:rsid w:val="00C345CF"/>
    <w:rsid w:val="00C351B4"/>
    <w:rsid w:val="00C352C0"/>
    <w:rsid w:val="00C3535F"/>
    <w:rsid w:val="00C35ECE"/>
    <w:rsid w:val="00C36264"/>
    <w:rsid w:val="00C365BC"/>
    <w:rsid w:val="00C36AC7"/>
    <w:rsid w:val="00C36BAF"/>
    <w:rsid w:val="00C375E4"/>
    <w:rsid w:val="00C40929"/>
    <w:rsid w:val="00C4324E"/>
    <w:rsid w:val="00C43593"/>
    <w:rsid w:val="00C440DA"/>
    <w:rsid w:val="00C442C7"/>
    <w:rsid w:val="00C44546"/>
    <w:rsid w:val="00C453E0"/>
    <w:rsid w:val="00C45716"/>
    <w:rsid w:val="00C50CFA"/>
    <w:rsid w:val="00C52F08"/>
    <w:rsid w:val="00C5360A"/>
    <w:rsid w:val="00C54151"/>
    <w:rsid w:val="00C54F6C"/>
    <w:rsid w:val="00C576F6"/>
    <w:rsid w:val="00C57B5B"/>
    <w:rsid w:val="00C6029C"/>
    <w:rsid w:val="00C607CE"/>
    <w:rsid w:val="00C60980"/>
    <w:rsid w:val="00C60DAA"/>
    <w:rsid w:val="00C61278"/>
    <w:rsid w:val="00C615E7"/>
    <w:rsid w:val="00C6170A"/>
    <w:rsid w:val="00C6222A"/>
    <w:rsid w:val="00C63491"/>
    <w:rsid w:val="00C63A65"/>
    <w:rsid w:val="00C63FD0"/>
    <w:rsid w:val="00C6551C"/>
    <w:rsid w:val="00C65DF2"/>
    <w:rsid w:val="00C66333"/>
    <w:rsid w:val="00C70396"/>
    <w:rsid w:val="00C70BB8"/>
    <w:rsid w:val="00C72CE0"/>
    <w:rsid w:val="00C74679"/>
    <w:rsid w:val="00C74B69"/>
    <w:rsid w:val="00C75647"/>
    <w:rsid w:val="00C75C75"/>
    <w:rsid w:val="00C77917"/>
    <w:rsid w:val="00C77A2A"/>
    <w:rsid w:val="00C81830"/>
    <w:rsid w:val="00C82447"/>
    <w:rsid w:val="00C8287E"/>
    <w:rsid w:val="00C833ED"/>
    <w:rsid w:val="00C857BA"/>
    <w:rsid w:val="00C85C21"/>
    <w:rsid w:val="00C86357"/>
    <w:rsid w:val="00C86759"/>
    <w:rsid w:val="00C879BC"/>
    <w:rsid w:val="00C91C72"/>
    <w:rsid w:val="00C9289E"/>
    <w:rsid w:val="00C941CF"/>
    <w:rsid w:val="00C947B6"/>
    <w:rsid w:val="00C951C2"/>
    <w:rsid w:val="00C96B1E"/>
    <w:rsid w:val="00CA0494"/>
    <w:rsid w:val="00CA0687"/>
    <w:rsid w:val="00CA0B42"/>
    <w:rsid w:val="00CA30E8"/>
    <w:rsid w:val="00CA34C1"/>
    <w:rsid w:val="00CA3581"/>
    <w:rsid w:val="00CA5547"/>
    <w:rsid w:val="00CB02D2"/>
    <w:rsid w:val="00CB2B85"/>
    <w:rsid w:val="00CB3812"/>
    <w:rsid w:val="00CB3A62"/>
    <w:rsid w:val="00CB41DE"/>
    <w:rsid w:val="00CB4A2B"/>
    <w:rsid w:val="00CB51A5"/>
    <w:rsid w:val="00CB5920"/>
    <w:rsid w:val="00CB5D76"/>
    <w:rsid w:val="00CB7D8F"/>
    <w:rsid w:val="00CC09DC"/>
    <w:rsid w:val="00CC0B32"/>
    <w:rsid w:val="00CC0DE4"/>
    <w:rsid w:val="00CC2514"/>
    <w:rsid w:val="00CC2D18"/>
    <w:rsid w:val="00CC2DCF"/>
    <w:rsid w:val="00CC544D"/>
    <w:rsid w:val="00CC568E"/>
    <w:rsid w:val="00CC5C51"/>
    <w:rsid w:val="00CC5C92"/>
    <w:rsid w:val="00CC5D86"/>
    <w:rsid w:val="00CC719E"/>
    <w:rsid w:val="00CC739E"/>
    <w:rsid w:val="00CC7FBF"/>
    <w:rsid w:val="00CD1671"/>
    <w:rsid w:val="00CD32AD"/>
    <w:rsid w:val="00CD3A5A"/>
    <w:rsid w:val="00CD4EF2"/>
    <w:rsid w:val="00CD560E"/>
    <w:rsid w:val="00CD6000"/>
    <w:rsid w:val="00CE0B40"/>
    <w:rsid w:val="00CE0BA8"/>
    <w:rsid w:val="00CE10C4"/>
    <w:rsid w:val="00CE1812"/>
    <w:rsid w:val="00CE2116"/>
    <w:rsid w:val="00CE24D3"/>
    <w:rsid w:val="00CE3160"/>
    <w:rsid w:val="00CE3A3D"/>
    <w:rsid w:val="00CE4799"/>
    <w:rsid w:val="00CE5509"/>
    <w:rsid w:val="00CE5758"/>
    <w:rsid w:val="00CE693F"/>
    <w:rsid w:val="00CE6AEC"/>
    <w:rsid w:val="00CE729E"/>
    <w:rsid w:val="00CE73A1"/>
    <w:rsid w:val="00CE7980"/>
    <w:rsid w:val="00CE79AD"/>
    <w:rsid w:val="00CE7AE7"/>
    <w:rsid w:val="00CE7E2F"/>
    <w:rsid w:val="00CE7EBC"/>
    <w:rsid w:val="00CF032C"/>
    <w:rsid w:val="00CF1862"/>
    <w:rsid w:val="00CF243E"/>
    <w:rsid w:val="00CF31E0"/>
    <w:rsid w:val="00CF3795"/>
    <w:rsid w:val="00CF4267"/>
    <w:rsid w:val="00CF48F9"/>
    <w:rsid w:val="00CF4A5D"/>
    <w:rsid w:val="00CF4CD4"/>
    <w:rsid w:val="00CF6C16"/>
    <w:rsid w:val="00CF6E8F"/>
    <w:rsid w:val="00CF70E8"/>
    <w:rsid w:val="00D0176D"/>
    <w:rsid w:val="00D021ED"/>
    <w:rsid w:val="00D027AB"/>
    <w:rsid w:val="00D02DE8"/>
    <w:rsid w:val="00D031DD"/>
    <w:rsid w:val="00D055E1"/>
    <w:rsid w:val="00D10731"/>
    <w:rsid w:val="00D10946"/>
    <w:rsid w:val="00D11822"/>
    <w:rsid w:val="00D12492"/>
    <w:rsid w:val="00D12CA2"/>
    <w:rsid w:val="00D12D18"/>
    <w:rsid w:val="00D13729"/>
    <w:rsid w:val="00D14CD0"/>
    <w:rsid w:val="00D174D1"/>
    <w:rsid w:val="00D17653"/>
    <w:rsid w:val="00D178E2"/>
    <w:rsid w:val="00D22A96"/>
    <w:rsid w:val="00D22C49"/>
    <w:rsid w:val="00D22CCD"/>
    <w:rsid w:val="00D22F88"/>
    <w:rsid w:val="00D2349D"/>
    <w:rsid w:val="00D23CC4"/>
    <w:rsid w:val="00D26078"/>
    <w:rsid w:val="00D2611C"/>
    <w:rsid w:val="00D26632"/>
    <w:rsid w:val="00D26C17"/>
    <w:rsid w:val="00D274FE"/>
    <w:rsid w:val="00D2770C"/>
    <w:rsid w:val="00D301EF"/>
    <w:rsid w:val="00D313C4"/>
    <w:rsid w:val="00D318E5"/>
    <w:rsid w:val="00D32519"/>
    <w:rsid w:val="00D32E24"/>
    <w:rsid w:val="00D337FB"/>
    <w:rsid w:val="00D33C09"/>
    <w:rsid w:val="00D35CC4"/>
    <w:rsid w:val="00D35DC4"/>
    <w:rsid w:val="00D3757D"/>
    <w:rsid w:val="00D418CA"/>
    <w:rsid w:val="00D41E7F"/>
    <w:rsid w:val="00D42A9D"/>
    <w:rsid w:val="00D43B1E"/>
    <w:rsid w:val="00D44A1B"/>
    <w:rsid w:val="00D45E70"/>
    <w:rsid w:val="00D469FD"/>
    <w:rsid w:val="00D47B54"/>
    <w:rsid w:val="00D510CF"/>
    <w:rsid w:val="00D519D9"/>
    <w:rsid w:val="00D51D67"/>
    <w:rsid w:val="00D530A5"/>
    <w:rsid w:val="00D53A06"/>
    <w:rsid w:val="00D54167"/>
    <w:rsid w:val="00D5447D"/>
    <w:rsid w:val="00D54497"/>
    <w:rsid w:val="00D54840"/>
    <w:rsid w:val="00D55564"/>
    <w:rsid w:val="00D55639"/>
    <w:rsid w:val="00D5617C"/>
    <w:rsid w:val="00D56D0C"/>
    <w:rsid w:val="00D57F41"/>
    <w:rsid w:val="00D60A8A"/>
    <w:rsid w:val="00D6194F"/>
    <w:rsid w:val="00D61ABD"/>
    <w:rsid w:val="00D62218"/>
    <w:rsid w:val="00D62E5C"/>
    <w:rsid w:val="00D631C6"/>
    <w:rsid w:val="00D63EB1"/>
    <w:rsid w:val="00D64F98"/>
    <w:rsid w:val="00D6691B"/>
    <w:rsid w:val="00D674A1"/>
    <w:rsid w:val="00D67E63"/>
    <w:rsid w:val="00D72797"/>
    <w:rsid w:val="00D727B6"/>
    <w:rsid w:val="00D7339F"/>
    <w:rsid w:val="00D73419"/>
    <w:rsid w:val="00D74066"/>
    <w:rsid w:val="00D74A78"/>
    <w:rsid w:val="00D74B7E"/>
    <w:rsid w:val="00D75742"/>
    <w:rsid w:val="00D80F6F"/>
    <w:rsid w:val="00D8130A"/>
    <w:rsid w:val="00D81469"/>
    <w:rsid w:val="00D8201B"/>
    <w:rsid w:val="00D82652"/>
    <w:rsid w:val="00D8387F"/>
    <w:rsid w:val="00D85198"/>
    <w:rsid w:val="00D857DB"/>
    <w:rsid w:val="00D86B6E"/>
    <w:rsid w:val="00D86B95"/>
    <w:rsid w:val="00D86C63"/>
    <w:rsid w:val="00D877FF"/>
    <w:rsid w:val="00D910D7"/>
    <w:rsid w:val="00D919CF"/>
    <w:rsid w:val="00D91C58"/>
    <w:rsid w:val="00D91E91"/>
    <w:rsid w:val="00D92666"/>
    <w:rsid w:val="00D95239"/>
    <w:rsid w:val="00D97DA8"/>
    <w:rsid w:val="00DA00B8"/>
    <w:rsid w:val="00DA027D"/>
    <w:rsid w:val="00DA0401"/>
    <w:rsid w:val="00DA04C4"/>
    <w:rsid w:val="00DA2A8D"/>
    <w:rsid w:val="00DA3722"/>
    <w:rsid w:val="00DA47E8"/>
    <w:rsid w:val="00DA4A6E"/>
    <w:rsid w:val="00DA6EFD"/>
    <w:rsid w:val="00DB1686"/>
    <w:rsid w:val="00DB2020"/>
    <w:rsid w:val="00DB2AB4"/>
    <w:rsid w:val="00DB3062"/>
    <w:rsid w:val="00DB40D6"/>
    <w:rsid w:val="00DB4536"/>
    <w:rsid w:val="00DB495B"/>
    <w:rsid w:val="00DB50F7"/>
    <w:rsid w:val="00DB5A3F"/>
    <w:rsid w:val="00DB5D8E"/>
    <w:rsid w:val="00DB6210"/>
    <w:rsid w:val="00DC0F0D"/>
    <w:rsid w:val="00DC26CA"/>
    <w:rsid w:val="00DC29A4"/>
    <w:rsid w:val="00DC54E7"/>
    <w:rsid w:val="00DC58A8"/>
    <w:rsid w:val="00DD06A6"/>
    <w:rsid w:val="00DD13CE"/>
    <w:rsid w:val="00DD22EE"/>
    <w:rsid w:val="00DD3267"/>
    <w:rsid w:val="00DD3DA0"/>
    <w:rsid w:val="00DD44EF"/>
    <w:rsid w:val="00DD5398"/>
    <w:rsid w:val="00DD62A2"/>
    <w:rsid w:val="00DD6DBB"/>
    <w:rsid w:val="00DE0100"/>
    <w:rsid w:val="00DE0373"/>
    <w:rsid w:val="00DE20FE"/>
    <w:rsid w:val="00DE3ACC"/>
    <w:rsid w:val="00DE651A"/>
    <w:rsid w:val="00DE7117"/>
    <w:rsid w:val="00DE721A"/>
    <w:rsid w:val="00DE7359"/>
    <w:rsid w:val="00DE771B"/>
    <w:rsid w:val="00DE79ED"/>
    <w:rsid w:val="00DF08F5"/>
    <w:rsid w:val="00DF0ACB"/>
    <w:rsid w:val="00DF0F06"/>
    <w:rsid w:val="00DF1CAE"/>
    <w:rsid w:val="00DF26EC"/>
    <w:rsid w:val="00DF481F"/>
    <w:rsid w:val="00DF4F3A"/>
    <w:rsid w:val="00DF599D"/>
    <w:rsid w:val="00DF623E"/>
    <w:rsid w:val="00DF696A"/>
    <w:rsid w:val="00DF6BE0"/>
    <w:rsid w:val="00DF753A"/>
    <w:rsid w:val="00DF790F"/>
    <w:rsid w:val="00E000E2"/>
    <w:rsid w:val="00E013FA"/>
    <w:rsid w:val="00E02439"/>
    <w:rsid w:val="00E025E5"/>
    <w:rsid w:val="00E036D3"/>
    <w:rsid w:val="00E04578"/>
    <w:rsid w:val="00E0518F"/>
    <w:rsid w:val="00E05274"/>
    <w:rsid w:val="00E0595C"/>
    <w:rsid w:val="00E06266"/>
    <w:rsid w:val="00E06CD8"/>
    <w:rsid w:val="00E06F17"/>
    <w:rsid w:val="00E074F2"/>
    <w:rsid w:val="00E07B34"/>
    <w:rsid w:val="00E1008D"/>
    <w:rsid w:val="00E10537"/>
    <w:rsid w:val="00E10672"/>
    <w:rsid w:val="00E111CD"/>
    <w:rsid w:val="00E122E9"/>
    <w:rsid w:val="00E12346"/>
    <w:rsid w:val="00E130F8"/>
    <w:rsid w:val="00E149FF"/>
    <w:rsid w:val="00E156EA"/>
    <w:rsid w:val="00E1578D"/>
    <w:rsid w:val="00E16823"/>
    <w:rsid w:val="00E17928"/>
    <w:rsid w:val="00E20499"/>
    <w:rsid w:val="00E20B61"/>
    <w:rsid w:val="00E21804"/>
    <w:rsid w:val="00E22ADE"/>
    <w:rsid w:val="00E255AB"/>
    <w:rsid w:val="00E25B0F"/>
    <w:rsid w:val="00E25C3F"/>
    <w:rsid w:val="00E25F16"/>
    <w:rsid w:val="00E27AAD"/>
    <w:rsid w:val="00E3181B"/>
    <w:rsid w:val="00E32200"/>
    <w:rsid w:val="00E32F20"/>
    <w:rsid w:val="00E3387B"/>
    <w:rsid w:val="00E339C4"/>
    <w:rsid w:val="00E345D3"/>
    <w:rsid w:val="00E34669"/>
    <w:rsid w:val="00E35B4A"/>
    <w:rsid w:val="00E35E80"/>
    <w:rsid w:val="00E373F2"/>
    <w:rsid w:val="00E40D65"/>
    <w:rsid w:val="00E425FF"/>
    <w:rsid w:val="00E42691"/>
    <w:rsid w:val="00E44B90"/>
    <w:rsid w:val="00E44E14"/>
    <w:rsid w:val="00E4596C"/>
    <w:rsid w:val="00E459A4"/>
    <w:rsid w:val="00E46C23"/>
    <w:rsid w:val="00E50158"/>
    <w:rsid w:val="00E5029D"/>
    <w:rsid w:val="00E528D5"/>
    <w:rsid w:val="00E53ED8"/>
    <w:rsid w:val="00E54A78"/>
    <w:rsid w:val="00E54D35"/>
    <w:rsid w:val="00E568FD"/>
    <w:rsid w:val="00E570A4"/>
    <w:rsid w:val="00E57988"/>
    <w:rsid w:val="00E60095"/>
    <w:rsid w:val="00E6082C"/>
    <w:rsid w:val="00E6105C"/>
    <w:rsid w:val="00E62812"/>
    <w:rsid w:val="00E64379"/>
    <w:rsid w:val="00E67F28"/>
    <w:rsid w:val="00E67FE5"/>
    <w:rsid w:val="00E70234"/>
    <w:rsid w:val="00E7116D"/>
    <w:rsid w:val="00E72E1D"/>
    <w:rsid w:val="00E74034"/>
    <w:rsid w:val="00E76E0B"/>
    <w:rsid w:val="00E77869"/>
    <w:rsid w:val="00E80373"/>
    <w:rsid w:val="00E80462"/>
    <w:rsid w:val="00E80B30"/>
    <w:rsid w:val="00E81E72"/>
    <w:rsid w:val="00E82265"/>
    <w:rsid w:val="00E8254D"/>
    <w:rsid w:val="00E8265A"/>
    <w:rsid w:val="00E82A87"/>
    <w:rsid w:val="00E84A52"/>
    <w:rsid w:val="00E84F25"/>
    <w:rsid w:val="00E85389"/>
    <w:rsid w:val="00E8691D"/>
    <w:rsid w:val="00E8735B"/>
    <w:rsid w:val="00E908DB"/>
    <w:rsid w:val="00E909EB"/>
    <w:rsid w:val="00E91482"/>
    <w:rsid w:val="00E915C2"/>
    <w:rsid w:val="00E9162D"/>
    <w:rsid w:val="00E92562"/>
    <w:rsid w:val="00E92BC1"/>
    <w:rsid w:val="00E935AC"/>
    <w:rsid w:val="00E94DA5"/>
    <w:rsid w:val="00E95037"/>
    <w:rsid w:val="00E952E7"/>
    <w:rsid w:val="00E95CFA"/>
    <w:rsid w:val="00E95D46"/>
    <w:rsid w:val="00E961AB"/>
    <w:rsid w:val="00E96302"/>
    <w:rsid w:val="00E972FC"/>
    <w:rsid w:val="00E9789A"/>
    <w:rsid w:val="00EA0656"/>
    <w:rsid w:val="00EA14CC"/>
    <w:rsid w:val="00EA1815"/>
    <w:rsid w:val="00EA31BE"/>
    <w:rsid w:val="00EA3A86"/>
    <w:rsid w:val="00EA3D77"/>
    <w:rsid w:val="00EA4109"/>
    <w:rsid w:val="00EA4632"/>
    <w:rsid w:val="00EA4E3E"/>
    <w:rsid w:val="00EA69A8"/>
    <w:rsid w:val="00EA7646"/>
    <w:rsid w:val="00EA7FDD"/>
    <w:rsid w:val="00EB1A3E"/>
    <w:rsid w:val="00EB37C5"/>
    <w:rsid w:val="00EB3CE5"/>
    <w:rsid w:val="00EB41B1"/>
    <w:rsid w:val="00EB4A2B"/>
    <w:rsid w:val="00EB503D"/>
    <w:rsid w:val="00EB5A69"/>
    <w:rsid w:val="00EC109B"/>
    <w:rsid w:val="00EC1875"/>
    <w:rsid w:val="00EC3F7C"/>
    <w:rsid w:val="00EC41CA"/>
    <w:rsid w:val="00EC4204"/>
    <w:rsid w:val="00EC4423"/>
    <w:rsid w:val="00EC601F"/>
    <w:rsid w:val="00EC7BA6"/>
    <w:rsid w:val="00ED01BB"/>
    <w:rsid w:val="00ED020C"/>
    <w:rsid w:val="00ED0E55"/>
    <w:rsid w:val="00ED15BD"/>
    <w:rsid w:val="00ED3152"/>
    <w:rsid w:val="00ED3BC2"/>
    <w:rsid w:val="00ED4231"/>
    <w:rsid w:val="00EE3422"/>
    <w:rsid w:val="00EE38B1"/>
    <w:rsid w:val="00EE64CA"/>
    <w:rsid w:val="00EE6BAC"/>
    <w:rsid w:val="00EE6E8C"/>
    <w:rsid w:val="00EF1107"/>
    <w:rsid w:val="00EF5E0D"/>
    <w:rsid w:val="00EF604F"/>
    <w:rsid w:val="00EF6D7B"/>
    <w:rsid w:val="00EF6F3D"/>
    <w:rsid w:val="00EF7439"/>
    <w:rsid w:val="00EF7FA9"/>
    <w:rsid w:val="00F00733"/>
    <w:rsid w:val="00F00911"/>
    <w:rsid w:val="00F0125A"/>
    <w:rsid w:val="00F01561"/>
    <w:rsid w:val="00F021F0"/>
    <w:rsid w:val="00F02761"/>
    <w:rsid w:val="00F03482"/>
    <w:rsid w:val="00F03B57"/>
    <w:rsid w:val="00F04CC4"/>
    <w:rsid w:val="00F050EB"/>
    <w:rsid w:val="00F0550A"/>
    <w:rsid w:val="00F0738C"/>
    <w:rsid w:val="00F0794D"/>
    <w:rsid w:val="00F07E40"/>
    <w:rsid w:val="00F10499"/>
    <w:rsid w:val="00F11516"/>
    <w:rsid w:val="00F11944"/>
    <w:rsid w:val="00F12467"/>
    <w:rsid w:val="00F12FA7"/>
    <w:rsid w:val="00F1305E"/>
    <w:rsid w:val="00F134F5"/>
    <w:rsid w:val="00F146F7"/>
    <w:rsid w:val="00F14C6A"/>
    <w:rsid w:val="00F14F6C"/>
    <w:rsid w:val="00F153DC"/>
    <w:rsid w:val="00F1734B"/>
    <w:rsid w:val="00F17C48"/>
    <w:rsid w:val="00F208E2"/>
    <w:rsid w:val="00F20CE1"/>
    <w:rsid w:val="00F2173D"/>
    <w:rsid w:val="00F22909"/>
    <w:rsid w:val="00F22EB8"/>
    <w:rsid w:val="00F230CA"/>
    <w:rsid w:val="00F2441C"/>
    <w:rsid w:val="00F24730"/>
    <w:rsid w:val="00F26825"/>
    <w:rsid w:val="00F27732"/>
    <w:rsid w:val="00F27B80"/>
    <w:rsid w:val="00F27FA6"/>
    <w:rsid w:val="00F312C2"/>
    <w:rsid w:val="00F322A5"/>
    <w:rsid w:val="00F3241B"/>
    <w:rsid w:val="00F32DAD"/>
    <w:rsid w:val="00F35061"/>
    <w:rsid w:val="00F356B4"/>
    <w:rsid w:val="00F359B0"/>
    <w:rsid w:val="00F37B1A"/>
    <w:rsid w:val="00F40813"/>
    <w:rsid w:val="00F432DD"/>
    <w:rsid w:val="00F43403"/>
    <w:rsid w:val="00F43973"/>
    <w:rsid w:val="00F44241"/>
    <w:rsid w:val="00F457E6"/>
    <w:rsid w:val="00F46D54"/>
    <w:rsid w:val="00F47B85"/>
    <w:rsid w:val="00F50AAC"/>
    <w:rsid w:val="00F52E91"/>
    <w:rsid w:val="00F53ED3"/>
    <w:rsid w:val="00F544ED"/>
    <w:rsid w:val="00F546A3"/>
    <w:rsid w:val="00F54BDD"/>
    <w:rsid w:val="00F55029"/>
    <w:rsid w:val="00F5529C"/>
    <w:rsid w:val="00F55F7C"/>
    <w:rsid w:val="00F5645C"/>
    <w:rsid w:val="00F567A3"/>
    <w:rsid w:val="00F570CB"/>
    <w:rsid w:val="00F577E0"/>
    <w:rsid w:val="00F62123"/>
    <w:rsid w:val="00F62722"/>
    <w:rsid w:val="00F63ABA"/>
    <w:rsid w:val="00F63FD9"/>
    <w:rsid w:val="00F65564"/>
    <w:rsid w:val="00F66358"/>
    <w:rsid w:val="00F664D5"/>
    <w:rsid w:val="00F66699"/>
    <w:rsid w:val="00F70049"/>
    <w:rsid w:val="00F72EEE"/>
    <w:rsid w:val="00F7684A"/>
    <w:rsid w:val="00F76FEE"/>
    <w:rsid w:val="00F7715A"/>
    <w:rsid w:val="00F775D2"/>
    <w:rsid w:val="00F80224"/>
    <w:rsid w:val="00F80389"/>
    <w:rsid w:val="00F80542"/>
    <w:rsid w:val="00F805B8"/>
    <w:rsid w:val="00F80913"/>
    <w:rsid w:val="00F81914"/>
    <w:rsid w:val="00F83A10"/>
    <w:rsid w:val="00F84032"/>
    <w:rsid w:val="00F8606D"/>
    <w:rsid w:val="00F86106"/>
    <w:rsid w:val="00F86E90"/>
    <w:rsid w:val="00F91350"/>
    <w:rsid w:val="00F91CC2"/>
    <w:rsid w:val="00F922E3"/>
    <w:rsid w:val="00F92705"/>
    <w:rsid w:val="00F92B5E"/>
    <w:rsid w:val="00F94097"/>
    <w:rsid w:val="00F94636"/>
    <w:rsid w:val="00F95574"/>
    <w:rsid w:val="00F95DF5"/>
    <w:rsid w:val="00F963DE"/>
    <w:rsid w:val="00F96BF2"/>
    <w:rsid w:val="00F96CCF"/>
    <w:rsid w:val="00F96EA3"/>
    <w:rsid w:val="00F975E1"/>
    <w:rsid w:val="00FA4673"/>
    <w:rsid w:val="00FA4746"/>
    <w:rsid w:val="00FA66E5"/>
    <w:rsid w:val="00FA799D"/>
    <w:rsid w:val="00FA7BF6"/>
    <w:rsid w:val="00FB022A"/>
    <w:rsid w:val="00FB0BD7"/>
    <w:rsid w:val="00FB0C42"/>
    <w:rsid w:val="00FB0DC4"/>
    <w:rsid w:val="00FB1DCD"/>
    <w:rsid w:val="00FB1F72"/>
    <w:rsid w:val="00FB3C48"/>
    <w:rsid w:val="00FB4C34"/>
    <w:rsid w:val="00FB6D5A"/>
    <w:rsid w:val="00FC01AA"/>
    <w:rsid w:val="00FC0789"/>
    <w:rsid w:val="00FC0952"/>
    <w:rsid w:val="00FC1C03"/>
    <w:rsid w:val="00FC2238"/>
    <w:rsid w:val="00FC388F"/>
    <w:rsid w:val="00FC3F11"/>
    <w:rsid w:val="00FC4C27"/>
    <w:rsid w:val="00FC4D00"/>
    <w:rsid w:val="00FC5462"/>
    <w:rsid w:val="00FC548A"/>
    <w:rsid w:val="00FC574A"/>
    <w:rsid w:val="00FC6597"/>
    <w:rsid w:val="00FC7759"/>
    <w:rsid w:val="00FD06D8"/>
    <w:rsid w:val="00FD0AB3"/>
    <w:rsid w:val="00FD2C28"/>
    <w:rsid w:val="00FD4501"/>
    <w:rsid w:val="00FD4E3B"/>
    <w:rsid w:val="00FD6BF7"/>
    <w:rsid w:val="00FD7A4A"/>
    <w:rsid w:val="00FE0C90"/>
    <w:rsid w:val="00FE23BC"/>
    <w:rsid w:val="00FE2820"/>
    <w:rsid w:val="00FE2B58"/>
    <w:rsid w:val="00FE322F"/>
    <w:rsid w:val="00FE3245"/>
    <w:rsid w:val="00FE6219"/>
    <w:rsid w:val="00FE68ED"/>
    <w:rsid w:val="00FE6B40"/>
    <w:rsid w:val="00FE6B7D"/>
    <w:rsid w:val="00FE798B"/>
    <w:rsid w:val="00FF1C39"/>
    <w:rsid w:val="00FF1F8B"/>
    <w:rsid w:val="00FF2240"/>
    <w:rsid w:val="00FF2D4B"/>
    <w:rsid w:val="00FF4690"/>
    <w:rsid w:val="00FF5269"/>
    <w:rsid w:val="00FF6CC5"/>
    <w:rsid w:val="00FF70B1"/>
    <w:rsid w:val="00FF737E"/>
    <w:rsid w:val="00FF793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33DA53EB"/>
  <w15:docId w15:val="{77720C75-94E6-41D1-939F-5B97B4B69E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New York" w:eastAsia="Times New Roman" w:hAnsi="New York" w:cs="Times New Roman"/>
        <w:lang w:val="en-US" w:eastAsia="en-US" w:bidi="ar-SA"/>
      </w:rPr>
    </w:rPrDefault>
    <w:pPrDefault/>
  </w:docDefaults>
  <w:latentStyles w:defLockedState="0" w:defUIPriority="0" w:defSemiHidden="0" w:defUnhideWhenUsed="0" w:defQFormat="0" w:count="375">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4925E0"/>
    <w:pPr>
      <w:spacing w:after="200" w:line="480" w:lineRule="auto"/>
      <w:jc w:val="both"/>
    </w:pPr>
    <w:rPr>
      <w:rFonts w:ascii="Times" w:hAnsi="Times"/>
      <w:sz w:val="22"/>
      <w:lang w:val="en-GB"/>
    </w:rPr>
  </w:style>
  <w:style w:type="paragraph" w:styleId="Heading1">
    <w:name w:val="heading 1"/>
    <w:basedOn w:val="Normal"/>
    <w:next w:val="Normal"/>
    <w:link w:val="Heading1Char"/>
    <w:qFormat/>
    <w:rsid w:val="00BC19B8"/>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llowedHyperlink">
    <w:name w:val="FollowedHyperlink"/>
    <w:rPr>
      <w:color w:val="800080"/>
      <w:u w:val="single"/>
    </w:rPr>
  </w:style>
  <w:style w:type="paragraph" w:styleId="BodyText">
    <w:name w:val="Body Text"/>
    <w:basedOn w:val="Normal"/>
    <w:pPr>
      <w:jc w:val="center"/>
    </w:pPr>
    <w:rPr>
      <w:b/>
      <w:sz w:val="40"/>
    </w:rPr>
  </w:style>
  <w:style w:type="paragraph" w:styleId="FootnoteText">
    <w:name w:val="footnote text"/>
    <w:basedOn w:val="Normal"/>
    <w:next w:val="TFReferencesSection"/>
    <w:semiHidden/>
  </w:style>
  <w:style w:type="paragraph" w:customStyle="1" w:styleId="TFReferencesSection">
    <w:name w:val="TF_References_Section"/>
    <w:basedOn w:val="Normal"/>
    <w:pPr>
      <w:ind w:firstLine="187"/>
    </w:pPr>
  </w:style>
  <w:style w:type="paragraph" w:customStyle="1" w:styleId="TAMainText">
    <w:name w:val="TA_Main_Text"/>
    <w:basedOn w:val="Normal"/>
    <w:pPr>
      <w:spacing w:after="0"/>
      <w:ind w:firstLine="202"/>
    </w:pPr>
  </w:style>
  <w:style w:type="paragraph" w:customStyle="1" w:styleId="BATitle">
    <w:name w:val="BA_Title"/>
    <w:basedOn w:val="Normal"/>
    <w:next w:val="BBAuthorName"/>
    <w:pPr>
      <w:spacing w:before="720" w:after="360"/>
      <w:jc w:val="center"/>
    </w:pPr>
    <w:rPr>
      <w:rFonts w:ascii="Times New Roman" w:hAnsi="Times New Roman"/>
      <w:sz w:val="44"/>
    </w:rPr>
  </w:style>
  <w:style w:type="paragraph" w:customStyle="1" w:styleId="BBAuthorName">
    <w:name w:val="BB_Author_Name"/>
    <w:basedOn w:val="Normal"/>
    <w:next w:val="BCAuthorAddress"/>
    <w:pPr>
      <w:spacing w:after="240"/>
      <w:jc w:val="center"/>
    </w:pPr>
    <w:rPr>
      <w:i/>
    </w:rPr>
  </w:style>
  <w:style w:type="paragraph" w:customStyle="1" w:styleId="BCAuthorAddress">
    <w:name w:val="BC_Author_Address"/>
    <w:basedOn w:val="Normal"/>
    <w:next w:val="BIEmailAddress"/>
    <w:pPr>
      <w:spacing w:after="240"/>
      <w:jc w:val="center"/>
    </w:pPr>
  </w:style>
  <w:style w:type="paragraph" w:customStyle="1" w:styleId="BIEmailAddress">
    <w:name w:val="BI_Email_Address"/>
    <w:basedOn w:val="Normal"/>
    <w:next w:val="AIReceivedDate"/>
  </w:style>
  <w:style w:type="paragraph" w:customStyle="1" w:styleId="AIReceivedDate">
    <w:name w:val="AI_Received_Date"/>
    <w:basedOn w:val="Normal"/>
    <w:next w:val="BDAbstract"/>
    <w:pPr>
      <w:spacing w:after="240"/>
    </w:pPr>
    <w:rPr>
      <w:b/>
    </w:rPr>
  </w:style>
  <w:style w:type="paragraph" w:customStyle="1" w:styleId="BDAbstract">
    <w:name w:val="BD_Abstract"/>
    <w:basedOn w:val="Normal"/>
    <w:next w:val="TAMainText"/>
    <w:pPr>
      <w:spacing w:before="360" w:after="360"/>
    </w:pPr>
  </w:style>
  <w:style w:type="paragraph" w:customStyle="1" w:styleId="TDAcknowledgments">
    <w:name w:val="TD_Acknowledgments"/>
    <w:basedOn w:val="Normal"/>
    <w:next w:val="Normal"/>
    <w:pPr>
      <w:spacing w:before="200"/>
      <w:ind w:firstLine="202"/>
    </w:pPr>
  </w:style>
  <w:style w:type="paragraph" w:customStyle="1" w:styleId="TESupportingInformation">
    <w:name w:val="TE_Supporting_Information"/>
    <w:basedOn w:val="Normal"/>
    <w:next w:val="Normal"/>
    <w:pPr>
      <w:ind w:firstLine="187"/>
    </w:pPr>
  </w:style>
  <w:style w:type="paragraph" w:customStyle="1" w:styleId="VCSchemeTitle">
    <w:name w:val="VC_Scheme_Title"/>
    <w:basedOn w:val="Normal"/>
    <w:next w:val="Normal"/>
  </w:style>
  <w:style w:type="paragraph" w:customStyle="1" w:styleId="VDTableTitle">
    <w:name w:val="VD_Table_Title"/>
    <w:basedOn w:val="Normal"/>
    <w:next w:val="Normal"/>
  </w:style>
  <w:style w:type="paragraph" w:customStyle="1" w:styleId="VAFigureCaption">
    <w:name w:val="VA_Figure_Caption"/>
    <w:basedOn w:val="Normal"/>
    <w:next w:val="Normal"/>
  </w:style>
  <w:style w:type="paragraph" w:customStyle="1" w:styleId="VBChartTitle">
    <w:name w:val="VB_Chart_Title"/>
    <w:basedOn w:val="Normal"/>
    <w:next w:val="Normal"/>
  </w:style>
  <w:style w:type="paragraph" w:customStyle="1" w:styleId="FETableFootnote">
    <w:name w:val="FE_Table_Footnote"/>
    <w:basedOn w:val="Normal"/>
    <w:next w:val="Normal"/>
    <w:pPr>
      <w:ind w:firstLine="187"/>
    </w:pPr>
  </w:style>
  <w:style w:type="paragraph" w:customStyle="1" w:styleId="FCChartFootnote">
    <w:name w:val="FC_Chart_Footnote"/>
    <w:basedOn w:val="Normal"/>
    <w:next w:val="Normal"/>
    <w:pPr>
      <w:ind w:firstLine="187"/>
    </w:pPr>
  </w:style>
  <w:style w:type="paragraph" w:customStyle="1" w:styleId="FDSchemeFootnote">
    <w:name w:val="FD_Scheme_Footnote"/>
    <w:basedOn w:val="Normal"/>
    <w:next w:val="Normal"/>
    <w:pPr>
      <w:ind w:firstLine="187"/>
    </w:pPr>
  </w:style>
  <w:style w:type="paragraph" w:customStyle="1" w:styleId="TCTableBody">
    <w:name w:val="TC_Table_Body"/>
    <w:basedOn w:val="Normal"/>
  </w:style>
  <w:style w:type="paragraph" w:customStyle="1" w:styleId="AFTitleRunningHead">
    <w:name w:val="AF_Title_Running_Head"/>
    <w:basedOn w:val="Normal"/>
    <w:next w:val="TAMainText"/>
  </w:style>
  <w:style w:type="paragraph" w:customStyle="1" w:styleId="BEAuthorBiography">
    <w:name w:val="BE_Author_Biography"/>
    <w:basedOn w:val="Normal"/>
  </w:style>
  <w:style w:type="paragraph" w:customStyle="1" w:styleId="FACorrespondingAuthorFootnote">
    <w:name w:val="FA_Corresponding_Author_Footnote"/>
    <w:basedOn w:val="Normal"/>
    <w:next w:val="TAMainText"/>
  </w:style>
  <w:style w:type="paragraph" w:customStyle="1" w:styleId="SNSynopsisTOC">
    <w:name w:val="SN_Synopsis_TOC"/>
    <w:basedOn w:val="Normal"/>
  </w:style>
  <w:style w:type="character" w:styleId="Hyperlink">
    <w:name w:val="Hyperlink"/>
    <w:rPr>
      <w:color w:val="0000FF"/>
      <w:u w:val="single"/>
    </w:rPr>
  </w:style>
  <w:style w:type="paragraph" w:styleId="Footer">
    <w:name w:val="footer"/>
    <w:basedOn w:val="Normal"/>
    <w:pPr>
      <w:tabs>
        <w:tab w:val="center" w:pos="4320"/>
        <w:tab w:val="right" w:pos="8640"/>
      </w:tabs>
    </w:pPr>
  </w:style>
  <w:style w:type="paragraph" w:customStyle="1" w:styleId="BGKeywords">
    <w:name w:val="BG_Keywords"/>
    <w:basedOn w:val="Normal"/>
  </w:style>
  <w:style w:type="paragraph" w:customStyle="1" w:styleId="BHBriefs">
    <w:name w:val="BH_Briefs"/>
    <w:basedOn w:val="Normal"/>
  </w:style>
  <w:style w:type="character" w:styleId="PageNumber">
    <w:name w:val="page number"/>
    <w:basedOn w:val="DefaultParagraphFont"/>
  </w:style>
  <w:style w:type="paragraph" w:styleId="BalloonText">
    <w:name w:val="Balloon Text"/>
    <w:basedOn w:val="Normal"/>
    <w:semiHidden/>
    <w:rsid w:val="00E96302"/>
    <w:rPr>
      <w:rFonts w:ascii="Tahoma" w:hAnsi="Tahoma" w:cs="Tahoma"/>
      <w:sz w:val="16"/>
      <w:szCs w:val="16"/>
    </w:rPr>
  </w:style>
  <w:style w:type="paragraph" w:customStyle="1" w:styleId="StyleFACorrespondingAuthorFootnote7pt">
    <w:name w:val="Style FA_Corresponding_Author_Footnote + 7 pt"/>
    <w:basedOn w:val="Normal"/>
    <w:next w:val="BGKeywords"/>
    <w:link w:val="StyleFACorrespondingAuthorFootnote7ptChar"/>
    <w:autoRedefine/>
    <w:rsid w:val="00C10EE0"/>
    <w:pPr>
      <w:spacing w:after="0"/>
      <w:jc w:val="left"/>
    </w:pPr>
    <w:rPr>
      <w:rFonts w:ascii="Arno Pro" w:hAnsi="Arno Pro"/>
      <w:kern w:val="20"/>
      <w:sz w:val="18"/>
    </w:rPr>
  </w:style>
  <w:style w:type="character" w:customStyle="1" w:styleId="StyleFACorrespondingAuthorFootnote7ptChar">
    <w:name w:val="Style FA_Corresponding_Author_Footnote + 7 pt Char"/>
    <w:link w:val="StyleFACorrespondingAuthorFootnote7pt"/>
    <w:rsid w:val="00C10EE0"/>
    <w:rPr>
      <w:rFonts w:ascii="Arno Pro" w:hAnsi="Arno Pro"/>
      <w:kern w:val="20"/>
      <w:sz w:val="18"/>
    </w:rPr>
  </w:style>
  <w:style w:type="paragraph" w:customStyle="1" w:styleId="FAAuthorInfoSubtitle">
    <w:name w:val="FA_Author_Info_Subtitle"/>
    <w:basedOn w:val="Normal"/>
    <w:link w:val="FAAuthorInfoSubtitleChar"/>
    <w:autoRedefine/>
    <w:rsid w:val="00443799"/>
    <w:pPr>
      <w:spacing w:before="120" w:after="60"/>
    </w:pPr>
    <w:rPr>
      <w:b/>
    </w:rPr>
  </w:style>
  <w:style w:type="character" w:customStyle="1" w:styleId="FAAuthorInfoSubtitleChar">
    <w:name w:val="FA_Author_Info_Subtitle Char"/>
    <w:link w:val="FAAuthorInfoSubtitle"/>
    <w:rsid w:val="00443799"/>
    <w:rPr>
      <w:rFonts w:ascii="Times" w:hAnsi="Times"/>
      <w:b/>
      <w:sz w:val="22"/>
      <w:lang w:val="en-GB"/>
    </w:rPr>
  </w:style>
  <w:style w:type="paragraph" w:customStyle="1" w:styleId="Default">
    <w:name w:val="Default"/>
    <w:rsid w:val="001A7A90"/>
    <w:pPr>
      <w:autoSpaceDE w:val="0"/>
      <w:autoSpaceDN w:val="0"/>
      <w:adjustRightInd w:val="0"/>
    </w:pPr>
    <w:rPr>
      <w:rFonts w:ascii="Symbol" w:hAnsi="Symbol" w:cs="Symbol"/>
      <w:color w:val="000000"/>
      <w:sz w:val="24"/>
      <w:szCs w:val="24"/>
    </w:rPr>
  </w:style>
  <w:style w:type="paragraph" w:styleId="Caption">
    <w:name w:val="caption"/>
    <w:basedOn w:val="Normal"/>
    <w:next w:val="Normal"/>
    <w:unhideWhenUsed/>
    <w:qFormat/>
    <w:rsid w:val="00CE0B40"/>
    <w:pPr>
      <w:spacing w:line="360" w:lineRule="auto"/>
    </w:pPr>
    <w:rPr>
      <w:i/>
      <w:iCs/>
      <w:color w:val="000000" w:themeColor="text1"/>
      <w:sz w:val="20"/>
      <w:szCs w:val="18"/>
    </w:rPr>
  </w:style>
  <w:style w:type="character" w:styleId="PlaceholderText">
    <w:name w:val="Placeholder Text"/>
    <w:basedOn w:val="DefaultParagraphFont"/>
    <w:uiPriority w:val="99"/>
    <w:semiHidden/>
    <w:rsid w:val="00D17653"/>
    <w:rPr>
      <w:color w:val="808080"/>
    </w:rPr>
  </w:style>
  <w:style w:type="character" w:styleId="CommentReference">
    <w:name w:val="annotation reference"/>
    <w:basedOn w:val="DefaultParagraphFont"/>
    <w:uiPriority w:val="99"/>
    <w:semiHidden/>
    <w:unhideWhenUsed/>
    <w:rsid w:val="006153C1"/>
    <w:rPr>
      <w:sz w:val="16"/>
      <w:szCs w:val="16"/>
    </w:rPr>
  </w:style>
  <w:style w:type="paragraph" w:styleId="CommentText">
    <w:name w:val="annotation text"/>
    <w:basedOn w:val="Normal"/>
    <w:link w:val="CommentTextChar"/>
    <w:uiPriority w:val="99"/>
    <w:unhideWhenUsed/>
    <w:rsid w:val="006153C1"/>
    <w:pPr>
      <w:spacing w:line="240" w:lineRule="auto"/>
    </w:pPr>
    <w:rPr>
      <w:sz w:val="20"/>
    </w:rPr>
  </w:style>
  <w:style w:type="character" w:customStyle="1" w:styleId="CommentTextChar">
    <w:name w:val="Comment Text Char"/>
    <w:basedOn w:val="DefaultParagraphFont"/>
    <w:link w:val="CommentText"/>
    <w:uiPriority w:val="99"/>
    <w:rsid w:val="006153C1"/>
    <w:rPr>
      <w:rFonts w:ascii="Times" w:hAnsi="Times"/>
    </w:rPr>
  </w:style>
  <w:style w:type="paragraph" w:styleId="CommentSubject">
    <w:name w:val="annotation subject"/>
    <w:basedOn w:val="CommentText"/>
    <w:next w:val="CommentText"/>
    <w:link w:val="CommentSubjectChar"/>
    <w:semiHidden/>
    <w:unhideWhenUsed/>
    <w:rsid w:val="006153C1"/>
    <w:rPr>
      <w:b/>
      <w:bCs/>
    </w:rPr>
  </w:style>
  <w:style w:type="character" w:customStyle="1" w:styleId="CommentSubjectChar">
    <w:name w:val="Comment Subject Char"/>
    <w:basedOn w:val="CommentTextChar"/>
    <w:link w:val="CommentSubject"/>
    <w:semiHidden/>
    <w:rsid w:val="006153C1"/>
    <w:rPr>
      <w:rFonts w:ascii="Times" w:hAnsi="Times"/>
      <w:b/>
      <w:bCs/>
    </w:rPr>
  </w:style>
  <w:style w:type="table" w:styleId="TableGrid">
    <w:name w:val="Table Grid"/>
    <w:basedOn w:val="TableNormal"/>
    <w:rsid w:val="00C5415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F62123"/>
    <w:rPr>
      <w:rFonts w:ascii="Times" w:hAnsi="Times"/>
      <w:sz w:val="24"/>
    </w:rPr>
  </w:style>
  <w:style w:type="character" w:styleId="UnresolvedMention">
    <w:name w:val="Unresolved Mention"/>
    <w:basedOn w:val="DefaultParagraphFont"/>
    <w:uiPriority w:val="99"/>
    <w:semiHidden/>
    <w:unhideWhenUsed/>
    <w:rsid w:val="00174852"/>
    <w:rPr>
      <w:color w:val="605E5C"/>
      <w:shd w:val="clear" w:color="auto" w:fill="E1DFDD"/>
    </w:rPr>
  </w:style>
  <w:style w:type="paragraph" w:styleId="ListParagraph">
    <w:name w:val="List Paragraph"/>
    <w:basedOn w:val="Normal"/>
    <w:uiPriority w:val="34"/>
    <w:qFormat/>
    <w:rsid w:val="00337347"/>
    <w:pPr>
      <w:ind w:left="720"/>
      <w:contextualSpacing/>
    </w:pPr>
  </w:style>
  <w:style w:type="table" w:styleId="ListTable2">
    <w:name w:val="List Table 2"/>
    <w:basedOn w:val="TableNormal"/>
    <w:uiPriority w:val="47"/>
    <w:rsid w:val="00C66333"/>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2">
    <w:name w:val="Grid Table 2"/>
    <w:basedOn w:val="TableNormal"/>
    <w:uiPriority w:val="47"/>
    <w:rsid w:val="00DF481F"/>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Heading1Char">
    <w:name w:val="Heading 1 Char"/>
    <w:basedOn w:val="DefaultParagraphFont"/>
    <w:link w:val="Heading1"/>
    <w:rsid w:val="00BC19B8"/>
    <w:rPr>
      <w:rFonts w:asciiTheme="majorHAnsi" w:eastAsiaTheme="majorEastAsia" w:hAnsiTheme="majorHAnsi" w:cstheme="majorBidi"/>
      <w:color w:val="365F91" w:themeColor="accent1" w:themeShade="BF"/>
      <w:sz w:val="32"/>
      <w:szCs w:val="32"/>
      <w:lang w:val="en-GB"/>
    </w:rPr>
  </w:style>
  <w:style w:type="paragraph" w:styleId="TOCHeading">
    <w:name w:val="TOC Heading"/>
    <w:basedOn w:val="Heading1"/>
    <w:next w:val="Normal"/>
    <w:uiPriority w:val="39"/>
    <w:unhideWhenUsed/>
    <w:qFormat/>
    <w:rsid w:val="00BC19B8"/>
    <w:pPr>
      <w:spacing w:line="259" w:lineRule="auto"/>
      <w:jc w:val="left"/>
      <w:outlineLvl w:val="9"/>
    </w:pPr>
    <w:rPr>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12701539">
      <w:bodyDiv w:val="1"/>
      <w:marLeft w:val="0"/>
      <w:marRight w:val="0"/>
      <w:marTop w:val="0"/>
      <w:marBottom w:val="0"/>
      <w:divBdr>
        <w:top w:val="none" w:sz="0" w:space="0" w:color="auto"/>
        <w:left w:val="none" w:sz="0" w:space="0" w:color="auto"/>
        <w:bottom w:val="none" w:sz="0" w:space="0" w:color="auto"/>
        <w:right w:val="none" w:sz="0" w:space="0" w:color="auto"/>
      </w:divBdr>
    </w:div>
    <w:div w:id="732898192">
      <w:bodyDiv w:val="1"/>
      <w:marLeft w:val="0"/>
      <w:marRight w:val="0"/>
      <w:marTop w:val="0"/>
      <w:marBottom w:val="0"/>
      <w:divBdr>
        <w:top w:val="none" w:sz="0" w:space="0" w:color="auto"/>
        <w:left w:val="none" w:sz="0" w:space="0" w:color="auto"/>
        <w:bottom w:val="none" w:sz="0" w:space="0" w:color="auto"/>
        <w:right w:val="none" w:sz="0" w:space="0" w:color="auto"/>
      </w:divBdr>
    </w:div>
    <w:div w:id="1845975765">
      <w:bodyDiv w:val="1"/>
      <w:marLeft w:val="0"/>
      <w:marRight w:val="0"/>
      <w:marTop w:val="0"/>
      <w:marBottom w:val="0"/>
      <w:divBdr>
        <w:top w:val="none" w:sz="0" w:space="0" w:color="auto"/>
        <w:left w:val="none" w:sz="0" w:space="0" w:color="auto"/>
        <w:bottom w:val="none" w:sz="0" w:space="0" w:color="auto"/>
        <w:right w:val="none" w:sz="0" w:space="0" w:color="auto"/>
      </w:divBdr>
    </w:div>
    <w:div w:id="18856298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18" Type="http://schemas.openxmlformats.org/officeDocument/2006/relationships/footer" Target="footer1.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emf"/><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image" Target="media/image8.emf"/><Relationship Id="rId10" Type="http://schemas.openxmlformats.org/officeDocument/2006/relationships/image" Target="media/image3.emf"/><Relationship Id="rId19"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e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Prospero\Downloads\acstemplate_msw2010.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A6B94664-0AB1-4F55-8CBE-F5D947A25B00}">
  <we:reference id="wa104382081" version="1.35.0.0" store="fr-FR" storeType="OMEX"/>
  <we:alternateReferences>
    <we:reference id="wa104382081" version="1.35.0.0" store="" storeType="OMEX"/>
  </we:alternateReferences>
  <we:properties>
    <we:property name="MENDELEY_CITATIONS_STYLE" value="&quot;https://www.zotero.org/styles/apa&quot;"/>
    <we:property name="MENDELEY_CITATIONS" val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4F8B03D-0A2F-4C99-9CDC-F1A6BB4EEE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acstemplate_msw2010.dotx</Template>
  <TotalTime>12685</TotalTime>
  <Pages>17</Pages>
  <Words>5722</Words>
  <Characters>32622</Characters>
  <Application>Microsoft Office Word</Application>
  <DocSecurity>0</DocSecurity>
  <Lines>271</Lines>
  <Paragraphs>76</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Template for Electronic Submission to ACS Journals</vt:lpstr>
      <vt:lpstr>Template for Electronic Submission to ACS Journals</vt:lpstr>
    </vt:vector>
  </TitlesOfParts>
  <Company>ACS</Company>
  <LinksUpToDate>false</LinksUpToDate>
  <CharactersWithSpaces>38268</CharactersWithSpaces>
  <SharedDoc>false</SharedDoc>
  <HLinks>
    <vt:vector size="6" baseType="variant">
      <vt:variant>
        <vt:i4>4849748</vt:i4>
      </vt:variant>
      <vt:variant>
        <vt:i4>0</vt:i4>
      </vt:variant>
      <vt:variant>
        <vt:i4>0</vt:i4>
      </vt:variant>
      <vt:variant>
        <vt:i4>5</vt:i4>
      </vt:variant>
      <vt:variant>
        <vt:lpwstr>http://pubs.acs.org/page/4authors/index.html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Template for Electronic Submission to ACS Journals</dc:title>
  <dc:subject/>
  <dc:creator>CHATTOT Raphael</dc:creator>
  <cp:keywords/>
  <dc:description/>
  <cp:lastModifiedBy>Raphaël Chattot</cp:lastModifiedBy>
  <cp:revision>361</cp:revision>
  <cp:lastPrinted>2021-06-30T12:15:00Z</cp:lastPrinted>
  <dcterms:created xsi:type="dcterms:W3CDTF">2022-03-28T16:20:00Z</dcterms:created>
  <dcterms:modified xsi:type="dcterms:W3CDTF">2023-09-18T14:32:00Z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http://www.zotero.org/styles/acs-catalysis</vt:lpwstr>
  </property>
  <property fmtid="{D5CDD505-2E9C-101B-9397-08002B2CF9AE}" pid="3" name="Mendeley Recent Style Name 0_1">
    <vt:lpwstr>ACS Catalysis</vt:lpwstr>
  </property>
  <property fmtid="{D5CDD505-2E9C-101B-9397-08002B2CF9AE}" pid="4" name="Mendeley Recent Style Id 1_1">
    <vt:lpwstr>http://csl.mendeley.com/styles/509282261/american-chemical-society-chattot</vt:lpwstr>
  </property>
  <property fmtid="{D5CDD505-2E9C-101B-9397-08002B2CF9AE}" pid="5" name="Mendeley Recent Style Name 1_1">
    <vt:lpwstr>American Chemical Society - Raphaël Chattot</vt:lpwstr>
  </property>
  <property fmtid="{D5CDD505-2E9C-101B-9397-08002B2CF9AE}" pid="6" name="Mendeley Recent Style Id 2_1">
    <vt:lpwstr>https://csl.mendeley.com/styles/509282261/chattotshort</vt:lpwstr>
  </property>
  <property fmtid="{D5CDD505-2E9C-101B-9397-08002B2CF9AE}" pid="7" name="Mendeley Recent Style Name 2_1">
    <vt:lpwstr>American Psychological Association 7th edition - Raphaël Chattot</vt:lpwstr>
  </property>
  <property fmtid="{D5CDD505-2E9C-101B-9397-08002B2CF9AE}" pid="8" name="Mendeley Recent Style Id 3_1">
    <vt:lpwstr>http://www.zotero.org/styles/annual-reviews-author-date</vt:lpwstr>
  </property>
  <property fmtid="{D5CDD505-2E9C-101B-9397-08002B2CF9AE}" pid="9" name="Mendeley Recent Style Name 3_1">
    <vt:lpwstr>Annual Reviews (author-date)</vt:lpwstr>
  </property>
  <property fmtid="{D5CDD505-2E9C-101B-9397-08002B2CF9AE}" pid="10" name="Mendeley Recent Style Id 4_1">
    <vt:lpwstr>http://www.zotero.org/styles/bibtex</vt:lpwstr>
  </property>
  <property fmtid="{D5CDD505-2E9C-101B-9397-08002B2CF9AE}" pid="11" name="Mendeley Recent Style Name 4_1">
    <vt:lpwstr>BibTeX generic citation style</vt:lpwstr>
  </property>
  <property fmtid="{D5CDD505-2E9C-101B-9397-08002B2CF9AE}" pid="12" name="Mendeley Recent Style Id 5_1">
    <vt:lpwstr>https://csl.mendeley.com/styles/509282261/bibtex-2</vt:lpwstr>
  </property>
  <property fmtid="{D5CDD505-2E9C-101B-9397-08002B2CF9AE}" pid="13" name="Mendeley Recent Style Name 5_1">
    <vt:lpwstr>BibTeX generic citation style - Raphaël Chattot</vt:lpwstr>
  </property>
  <property fmtid="{D5CDD505-2E9C-101B-9397-08002B2CF9AE}" pid="14" name="Mendeley Recent Style Id 6_1">
    <vt:lpwstr>http://www.zotero.org/styles/nature</vt:lpwstr>
  </property>
  <property fmtid="{D5CDD505-2E9C-101B-9397-08002B2CF9AE}" pid="15" name="Mendeley Recent Style Name 6_1">
    <vt:lpwstr>Nature</vt:lpwstr>
  </property>
  <property fmtid="{D5CDD505-2E9C-101B-9397-08002B2CF9AE}" pid="16" name="Mendeley Recent Style Id 7_1">
    <vt:lpwstr>http://www.zotero.org/styles/nature-materials</vt:lpwstr>
  </property>
  <property fmtid="{D5CDD505-2E9C-101B-9397-08002B2CF9AE}" pid="17" name="Mendeley Recent Style Name 7_1">
    <vt:lpwstr>Nature Materials</vt:lpwstr>
  </property>
  <property fmtid="{D5CDD505-2E9C-101B-9397-08002B2CF9AE}" pid="18" name="Mendeley Recent Style Id 8_1">
    <vt:lpwstr>http://www.zotero.org/styles/springer-basic-author-date-no-et-al-with-issue</vt:lpwstr>
  </property>
  <property fmtid="{D5CDD505-2E9C-101B-9397-08002B2CF9AE}" pid="19" name="Mendeley Recent Style Name 8_1">
    <vt:lpwstr>Springer - Basic (author-date, no "et al.", with issue numbers)</vt:lpwstr>
  </property>
  <property fmtid="{D5CDD505-2E9C-101B-9397-08002B2CF9AE}" pid="20" name="Mendeley Recent Style Id 9_1">
    <vt:lpwstr>http://www.zotero.org/styles/technische-universitat-dresden-finanzwirtschaft-und-finanzdienstleistungen-author-date-with-short-titles</vt:lpwstr>
  </property>
  <property fmtid="{D5CDD505-2E9C-101B-9397-08002B2CF9AE}" pid="21" name="Mendeley Recent Style Name 9_1">
    <vt:lpwstr>Technische Universität Dresden - Finanzwirtschaft und Finanzdienstleistungen (author-date, with short titles)</vt:lpwstr>
  </property>
  <property fmtid="{D5CDD505-2E9C-101B-9397-08002B2CF9AE}" pid="22" name="Mendeley Document_1">
    <vt:lpwstr>True</vt:lpwstr>
  </property>
  <property fmtid="{D5CDD505-2E9C-101B-9397-08002B2CF9AE}" pid="23" name="Mendeley Unique User Id_1">
    <vt:lpwstr>654d519d-824b-320e-99cd-9200240ab487</vt:lpwstr>
  </property>
  <property fmtid="{D5CDD505-2E9C-101B-9397-08002B2CF9AE}" pid="24" name="Mendeley Citation Style_1">
    <vt:lpwstr>http://www.zotero.org/styles/nature-materials</vt:lpwstr>
  </property>
</Properties>
</file>