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96029" w14:textId="0751B463" w:rsidR="003C3A20" w:rsidRPr="00005755" w:rsidRDefault="009329D0" w:rsidP="00567BFB">
      <w:pPr>
        <w:spacing w:line="360" w:lineRule="auto"/>
        <w:rPr>
          <w:b/>
          <w:bCs/>
        </w:rPr>
      </w:pPr>
      <w:r w:rsidRPr="003C3A20">
        <w:rPr>
          <w:b/>
          <w:bCs/>
        </w:rPr>
        <w:t>Supplementary file</w:t>
      </w:r>
      <w:r w:rsidR="001229C2">
        <w:rPr>
          <w:b/>
          <w:bCs/>
        </w:rPr>
        <w:t xml:space="preserve"> </w:t>
      </w:r>
      <w:r w:rsidR="00354F5E">
        <w:rPr>
          <w:b/>
          <w:bCs/>
        </w:rPr>
        <w:t>2</w:t>
      </w:r>
      <w:r w:rsidRPr="003C3A20">
        <w:rPr>
          <w:b/>
          <w:bCs/>
        </w:rPr>
        <w:t>.</w:t>
      </w:r>
      <w:r w:rsidR="0028164E">
        <w:rPr>
          <w:b/>
          <w:bCs/>
        </w:rPr>
        <w:t xml:space="preserve"> </w:t>
      </w:r>
      <w:r w:rsidR="00005755" w:rsidRPr="00350577">
        <w:t>Glossary of key terms</w:t>
      </w:r>
    </w:p>
    <w:p w14:paraId="11301E01" w14:textId="77777777" w:rsidR="00527CCE" w:rsidRDefault="00527CCE" w:rsidP="00567BFB">
      <w:pPr>
        <w:spacing w:line="360" w:lineRule="auto"/>
        <w:rPr>
          <w:lang w:val="en-AU"/>
        </w:rPr>
      </w:pPr>
    </w:p>
    <w:tbl>
      <w:tblPr>
        <w:tblStyle w:val="TableGrid"/>
        <w:tblW w:w="0" w:type="auto"/>
        <w:tblLook w:val="04A0" w:firstRow="1" w:lastRow="0" w:firstColumn="1" w:lastColumn="0" w:noHBand="0" w:noVBand="1"/>
      </w:tblPr>
      <w:tblGrid>
        <w:gridCol w:w="2405"/>
        <w:gridCol w:w="6605"/>
      </w:tblGrid>
      <w:tr w:rsidR="00A33257" w14:paraId="606C5CD4" w14:textId="77777777" w:rsidTr="00005755">
        <w:tc>
          <w:tcPr>
            <w:tcW w:w="2405" w:type="dxa"/>
          </w:tcPr>
          <w:p w14:paraId="0B12EDB5" w14:textId="6AE3690C" w:rsidR="00A33257" w:rsidRPr="00A33257" w:rsidRDefault="00005755" w:rsidP="00567BFB">
            <w:pPr>
              <w:spacing w:line="360" w:lineRule="auto"/>
              <w:rPr>
                <w:b/>
                <w:bCs/>
                <w:lang w:val="en-AU"/>
              </w:rPr>
            </w:pPr>
            <w:r>
              <w:rPr>
                <w:b/>
                <w:bCs/>
                <w:lang w:val="en-AU"/>
              </w:rPr>
              <w:t>Term</w:t>
            </w:r>
          </w:p>
        </w:tc>
        <w:tc>
          <w:tcPr>
            <w:tcW w:w="6605" w:type="dxa"/>
          </w:tcPr>
          <w:p w14:paraId="7035F106" w14:textId="67B43492" w:rsidR="00A33257" w:rsidRPr="00A33257" w:rsidRDefault="00005755" w:rsidP="00567BFB">
            <w:pPr>
              <w:spacing w:line="360" w:lineRule="auto"/>
              <w:rPr>
                <w:b/>
                <w:bCs/>
                <w:lang w:val="en-AU"/>
              </w:rPr>
            </w:pPr>
            <w:r>
              <w:rPr>
                <w:b/>
                <w:bCs/>
                <w:lang w:val="en-AU"/>
              </w:rPr>
              <w:t>Definition/description</w:t>
            </w:r>
          </w:p>
        </w:tc>
      </w:tr>
      <w:tr w:rsidR="00A33257" w14:paraId="639CB01C" w14:textId="77777777" w:rsidTr="00005755">
        <w:tc>
          <w:tcPr>
            <w:tcW w:w="2405" w:type="dxa"/>
          </w:tcPr>
          <w:p w14:paraId="2EAA2CDD" w14:textId="5DD3004F" w:rsidR="00A33257" w:rsidRDefault="006506E2" w:rsidP="00567BFB">
            <w:pPr>
              <w:spacing w:line="360" w:lineRule="auto"/>
              <w:rPr>
                <w:lang w:val="en-AU"/>
              </w:rPr>
            </w:pPr>
            <w:proofErr w:type="spellStart"/>
            <w:r>
              <w:rPr>
                <w:lang w:val="en-AU"/>
              </w:rPr>
              <w:t>Financialisation</w:t>
            </w:r>
            <w:proofErr w:type="spellEnd"/>
          </w:p>
        </w:tc>
        <w:tc>
          <w:tcPr>
            <w:tcW w:w="6605" w:type="dxa"/>
          </w:tcPr>
          <w:p w14:paraId="5187D900" w14:textId="2D9957A7" w:rsidR="00A33257" w:rsidRDefault="006506E2" w:rsidP="00567BFB">
            <w:pPr>
              <w:spacing w:line="360" w:lineRule="auto"/>
              <w:rPr>
                <w:lang w:val="en-AU"/>
              </w:rPr>
            </w:pPr>
            <w:r>
              <w:rPr>
                <w:lang w:val="en-AU"/>
              </w:rPr>
              <w:t>T</w:t>
            </w:r>
            <w:r w:rsidRPr="006506E2">
              <w:rPr>
                <w:lang w:val="en-AU"/>
              </w:rPr>
              <w:t>he ‘</w:t>
            </w:r>
            <w:r w:rsidRPr="006506E2">
              <w:rPr>
                <w:i/>
                <w:iCs/>
                <w:lang w:val="en-AU"/>
              </w:rPr>
              <w:t xml:space="preserve">increasing role of financial motives, financial markets, financial actors and financial institutions’ </w:t>
            </w:r>
            <w:r w:rsidRPr="006506E2">
              <w:rPr>
                <w:lang w:val="en-AU"/>
              </w:rPr>
              <w:t xml:space="preserve">in the economy </w:t>
            </w:r>
            <w:r w:rsidRPr="006506E2">
              <w:rPr>
                <w:lang w:val="en-AU"/>
              </w:rPr>
              <w:fldChar w:fldCharType="begin"/>
            </w:r>
            <w:r w:rsidR="009A3A0D">
              <w:rPr>
                <w:lang w:val="en-AU"/>
              </w:rPr>
              <w:instrText xml:space="preserve"> ADDIN EN.CITE &lt;EndNote&gt;&lt;Cite&gt;&lt;Author&gt;Epstein&lt;/Author&gt;&lt;Year&gt;2005&lt;/Year&gt;&lt;RecNum&gt;2881&lt;/RecNum&gt;&lt;DisplayText&gt;[1]&lt;/DisplayText&gt;&lt;record&gt;&lt;rec-number&gt;2881&lt;/rec-number&gt;&lt;foreign-keys&gt;&lt;key app="EN" db-id="asd9reav6erp0bedwsup2et8pdtzpzdxpxzx" timestamp="1690535232"&gt;2881&lt;/key&gt;&lt;/foreign-keys&gt;&lt;ref-type name="Book"&gt;6&lt;/ref-type&gt;&lt;contributors&gt;&lt;authors&gt;&lt;author&gt;Epstein, Gerard&lt;/author&gt;&lt;/authors&gt;&lt;/contributors&gt;&lt;titles&gt;&lt;title&gt;Financialization and the World Economy&lt;/title&gt;&lt;/titles&gt;&lt;section&gt;3&lt;/section&gt;&lt;dates&gt;&lt;year&gt;2005&lt;/year&gt;&lt;/dates&gt;&lt;pub-location&gt;Cheltenham&lt;/pub-location&gt;&lt;publisher&gt;Edward Elgar Publishing&lt;/publisher&gt;&lt;urls&gt;&lt;/urls&gt;&lt;/record&gt;&lt;/Cite&gt;&lt;/EndNote&gt;</w:instrText>
            </w:r>
            <w:r w:rsidRPr="006506E2">
              <w:rPr>
                <w:lang w:val="en-AU"/>
              </w:rPr>
              <w:fldChar w:fldCharType="separate"/>
            </w:r>
            <w:r w:rsidR="009A3A0D">
              <w:rPr>
                <w:noProof/>
                <w:lang w:val="en-AU"/>
              </w:rPr>
              <w:t>[1]</w:t>
            </w:r>
            <w:r w:rsidRPr="006506E2">
              <w:rPr>
                <w:lang w:val="en-AU"/>
              </w:rPr>
              <w:fldChar w:fldCharType="end"/>
            </w:r>
            <w:r>
              <w:rPr>
                <w:lang w:val="en-AU"/>
              </w:rPr>
              <w:t>.</w:t>
            </w:r>
            <w:r w:rsidR="009A3A0D">
              <w:rPr>
                <w:lang w:val="en-AU"/>
              </w:rPr>
              <w:t xml:space="preserve"> </w:t>
            </w:r>
          </w:p>
        </w:tc>
      </w:tr>
      <w:tr w:rsidR="006506E2" w14:paraId="67D6B747" w14:textId="77777777" w:rsidTr="00005755">
        <w:tc>
          <w:tcPr>
            <w:tcW w:w="2405" w:type="dxa"/>
          </w:tcPr>
          <w:p w14:paraId="3A58D122" w14:textId="635DD2D7" w:rsidR="006506E2" w:rsidRDefault="006506E2" w:rsidP="00567BFB">
            <w:pPr>
              <w:spacing w:line="360" w:lineRule="auto"/>
              <w:rPr>
                <w:lang w:val="en-AU"/>
              </w:rPr>
            </w:pPr>
            <w:r>
              <w:rPr>
                <w:lang w:val="en-AU"/>
              </w:rPr>
              <w:t>Hedge fund activists</w:t>
            </w:r>
          </w:p>
        </w:tc>
        <w:tc>
          <w:tcPr>
            <w:tcW w:w="6605" w:type="dxa"/>
          </w:tcPr>
          <w:p w14:paraId="7C5BC663" w14:textId="3B4F980E" w:rsidR="006506E2" w:rsidRDefault="006506E2" w:rsidP="00567BFB">
            <w:pPr>
              <w:spacing w:line="360" w:lineRule="auto"/>
              <w:rPr>
                <w:lang w:val="en-AU"/>
              </w:rPr>
            </w:pPr>
            <w:r>
              <w:t xml:space="preserve">Hedge fund managers that </w:t>
            </w:r>
            <w:r w:rsidRPr="006506E2">
              <w:rPr>
                <w:lang w:val="en-AU"/>
              </w:rPr>
              <w:t>purchas</w:t>
            </w:r>
            <w:r>
              <w:rPr>
                <w:lang w:val="en-AU"/>
              </w:rPr>
              <w:t>e</w:t>
            </w:r>
            <w:r w:rsidRPr="006506E2">
              <w:rPr>
                <w:lang w:val="en-AU"/>
              </w:rPr>
              <w:t xml:space="preserve"> a minority stake in a publicly listed corporation in order to influence the way in which it is governed </w:t>
            </w:r>
            <w:r w:rsidRPr="006506E2">
              <w:rPr>
                <w:lang w:val="en-AU"/>
              </w:rPr>
              <w:fldChar w:fldCharType="begin"/>
            </w:r>
            <w:r w:rsidR="009A3A0D">
              <w:rPr>
                <w:lang w:val="en-AU"/>
              </w:rPr>
              <w:instrText xml:space="preserve"> ADDIN EN.CITE &lt;EndNote&gt;&lt;Cite&gt;&lt;Author&gt;DesJardine&lt;/Author&gt;&lt;Year&gt;2021&lt;/Year&gt;&lt;RecNum&gt;2839&lt;/RecNum&gt;&lt;DisplayText&gt;[2]&lt;/DisplayText&gt;&lt;record&gt;&lt;rec-number&gt;2839&lt;/rec-number&gt;&lt;foreign-keys&gt;&lt;key app="EN" db-id="asd9reav6erp0bedwsup2et8pdtzpzdxpxzx" timestamp="1685104298"&gt;2839&lt;/key&gt;&lt;/foreign-keys&gt;&lt;ref-type name="Journal Article"&gt;17&lt;/ref-type&gt;&lt;contributors&gt;&lt;authors&gt;&lt;author&gt;DesJardine, Mark R.&lt;/author&gt;&lt;author&gt;Marti, Emilio&lt;/author&gt;&lt;author&gt;Durand, Rodolphe&lt;/author&gt;&lt;/authors&gt;&lt;/contributors&gt;&lt;titles&gt;&lt;title&gt;Why Activist Hedge Funds Target Socially Responsible Firms: The Reaction Costs of Signaling Corporate Social Responsibility&lt;/title&gt;&lt;secondary-title&gt;Academy of Management Journal&lt;/secondary-title&gt;&lt;/titles&gt;&lt;periodical&gt;&lt;full-title&gt;Academy of Management Journal&lt;/full-title&gt;&lt;/periodical&gt;&lt;pages&gt;851-872&lt;/pages&gt;&lt;volume&gt;64&lt;/volume&gt;&lt;number&gt;3&lt;/number&gt;&lt;section&gt;851&lt;/section&gt;&lt;dates&gt;&lt;year&gt;2021&lt;/year&gt;&lt;/dates&gt;&lt;isbn&gt;0001-4273&amp;#xD;1948-0989&lt;/isbn&gt;&lt;urls&gt;&lt;/urls&gt;&lt;electronic-resource-num&gt;10.5465/amj.2019.0238&lt;/electronic-resource-num&gt;&lt;/record&gt;&lt;/Cite&gt;&lt;/EndNote&gt;</w:instrText>
            </w:r>
            <w:r w:rsidRPr="006506E2">
              <w:rPr>
                <w:lang w:val="en-AU"/>
              </w:rPr>
              <w:fldChar w:fldCharType="separate"/>
            </w:r>
            <w:r w:rsidR="009A3A0D">
              <w:rPr>
                <w:noProof/>
                <w:lang w:val="en-AU"/>
              </w:rPr>
              <w:t>[2]</w:t>
            </w:r>
            <w:r w:rsidRPr="006506E2">
              <w:rPr>
                <w:lang w:val="en-AU"/>
              </w:rPr>
              <w:fldChar w:fldCharType="end"/>
            </w:r>
            <w:r>
              <w:rPr>
                <w:lang w:val="en-AU"/>
              </w:rPr>
              <w:t>. Hedge fund activists very often seek to maximise their returns in the short-term.</w:t>
            </w:r>
          </w:p>
        </w:tc>
      </w:tr>
      <w:tr w:rsidR="006506E2" w14:paraId="087D09D6" w14:textId="77777777" w:rsidTr="00005755">
        <w:tc>
          <w:tcPr>
            <w:tcW w:w="2405" w:type="dxa"/>
          </w:tcPr>
          <w:p w14:paraId="56B6D06D" w14:textId="02AC66E5" w:rsidR="006506E2" w:rsidRDefault="006506E2" w:rsidP="00567BFB">
            <w:pPr>
              <w:spacing w:line="360" w:lineRule="auto"/>
              <w:rPr>
                <w:lang w:val="en-AU"/>
              </w:rPr>
            </w:pPr>
            <w:r>
              <w:rPr>
                <w:lang w:val="en-AU"/>
              </w:rPr>
              <w:t>Market capitalisation</w:t>
            </w:r>
          </w:p>
        </w:tc>
        <w:tc>
          <w:tcPr>
            <w:tcW w:w="6605" w:type="dxa"/>
          </w:tcPr>
          <w:p w14:paraId="3E66CAC0" w14:textId="5B0408E0" w:rsidR="006506E2" w:rsidRDefault="006506E2" w:rsidP="00567BFB">
            <w:pPr>
              <w:spacing w:line="360" w:lineRule="auto"/>
            </w:pPr>
            <w:r w:rsidRPr="006506E2">
              <w:rPr>
                <w:lang w:val="en-AU"/>
              </w:rPr>
              <w:t>Market capitalisation is calculated by multiplying a corporation’s share price by the number of shares it has outstanding. Market capitalisation represents the monetary value of shareholder wealth stored in a corporation in the form of corporate shares.</w:t>
            </w:r>
          </w:p>
        </w:tc>
      </w:tr>
      <w:tr w:rsidR="00F66A64" w14:paraId="134D0027" w14:textId="77777777" w:rsidTr="00005755">
        <w:tc>
          <w:tcPr>
            <w:tcW w:w="2405" w:type="dxa"/>
          </w:tcPr>
          <w:p w14:paraId="655BF84C" w14:textId="62046BEF" w:rsidR="00F66A64" w:rsidRDefault="007C4B85" w:rsidP="00567BFB">
            <w:pPr>
              <w:spacing w:line="360" w:lineRule="auto"/>
              <w:rPr>
                <w:lang w:val="en-AU"/>
              </w:rPr>
            </w:pPr>
            <w:r>
              <w:rPr>
                <w:lang w:val="en-AU"/>
              </w:rPr>
              <w:t>‘</w:t>
            </w:r>
            <w:r w:rsidR="00F66A64">
              <w:rPr>
                <w:lang w:val="en-AU"/>
              </w:rPr>
              <w:t>Real economy</w:t>
            </w:r>
            <w:r>
              <w:rPr>
                <w:lang w:val="en-AU"/>
              </w:rPr>
              <w:t>’</w:t>
            </w:r>
            <w:r w:rsidR="00F66A64">
              <w:rPr>
                <w:lang w:val="en-AU"/>
              </w:rPr>
              <w:t xml:space="preserve"> versus the </w:t>
            </w:r>
            <w:r>
              <w:rPr>
                <w:lang w:val="en-AU"/>
              </w:rPr>
              <w:t>‘</w:t>
            </w:r>
            <w:r w:rsidR="00F66A64">
              <w:rPr>
                <w:lang w:val="en-AU"/>
              </w:rPr>
              <w:t>financial economy</w:t>
            </w:r>
            <w:r>
              <w:rPr>
                <w:lang w:val="en-AU"/>
              </w:rPr>
              <w:t>’</w:t>
            </w:r>
          </w:p>
        </w:tc>
        <w:tc>
          <w:tcPr>
            <w:tcW w:w="6605" w:type="dxa"/>
          </w:tcPr>
          <w:p w14:paraId="40C7A6AB" w14:textId="1B436614" w:rsidR="00F66A64" w:rsidRDefault="00F66A64" w:rsidP="00567BFB">
            <w:pPr>
              <w:spacing w:line="360" w:lineRule="auto"/>
              <w:rPr>
                <w:lang w:val="en-AU"/>
              </w:rPr>
            </w:pPr>
            <w:r>
              <w:rPr>
                <w:lang w:val="en-AU"/>
              </w:rPr>
              <w:t xml:space="preserve">Real economy: </w:t>
            </w:r>
            <w:r w:rsidRPr="00F66A64">
              <w:rPr>
                <w:lang w:val="en-AU"/>
              </w:rPr>
              <w:t>the section of the economy concerned with the production, trade and consumption or use of goods and services</w:t>
            </w:r>
            <w:r>
              <w:rPr>
                <w:lang w:val="en-AU"/>
              </w:rPr>
              <w:t>.</w:t>
            </w:r>
          </w:p>
          <w:p w14:paraId="14517047" w14:textId="787E2AF8" w:rsidR="00F66A64" w:rsidRDefault="00F66A64" w:rsidP="00567BFB">
            <w:pPr>
              <w:spacing w:line="360" w:lineRule="auto"/>
              <w:rPr>
                <w:lang w:val="en-AU"/>
              </w:rPr>
            </w:pPr>
            <w:r>
              <w:rPr>
                <w:lang w:val="en-AU"/>
              </w:rPr>
              <w:t xml:space="preserve">Financial economy: </w:t>
            </w:r>
            <w:r w:rsidRPr="00F66A64">
              <w:rPr>
                <w:lang w:val="en-AU"/>
              </w:rPr>
              <w:t>the section of the economy that solely deals in transactions involving money and other financial assets</w:t>
            </w:r>
            <w:r>
              <w:rPr>
                <w:lang w:val="en-AU"/>
              </w:rPr>
              <w:t>.</w:t>
            </w:r>
          </w:p>
        </w:tc>
      </w:tr>
      <w:tr w:rsidR="009A3A0D" w14:paraId="5B355FA2" w14:textId="77777777" w:rsidTr="00005755">
        <w:tc>
          <w:tcPr>
            <w:tcW w:w="2405" w:type="dxa"/>
          </w:tcPr>
          <w:p w14:paraId="4C047885" w14:textId="57268984" w:rsidR="009A3A0D" w:rsidRDefault="009A3A0D" w:rsidP="00567BFB">
            <w:pPr>
              <w:spacing w:line="360" w:lineRule="auto"/>
              <w:rPr>
                <w:lang w:val="en-AU"/>
              </w:rPr>
            </w:pPr>
            <w:r>
              <w:rPr>
                <w:lang w:val="en-AU"/>
              </w:rPr>
              <w:t>Refranchising</w:t>
            </w:r>
          </w:p>
        </w:tc>
        <w:tc>
          <w:tcPr>
            <w:tcW w:w="6605" w:type="dxa"/>
          </w:tcPr>
          <w:p w14:paraId="62907716" w14:textId="0C6CB15E" w:rsidR="009A3A0D" w:rsidRDefault="009A3A0D" w:rsidP="00567BFB">
            <w:pPr>
              <w:spacing w:line="360" w:lineRule="auto"/>
              <w:rPr>
                <w:lang w:val="en-AU"/>
              </w:rPr>
            </w:pPr>
            <w:r>
              <w:rPr>
                <w:lang w:val="en-AU"/>
              </w:rPr>
              <w:t>For fast food restaurants, refranchising entails selling company-owned restaurants to franchisees.</w:t>
            </w:r>
          </w:p>
        </w:tc>
      </w:tr>
      <w:tr w:rsidR="006506E2" w14:paraId="214656B4" w14:textId="77777777" w:rsidTr="00005755">
        <w:tc>
          <w:tcPr>
            <w:tcW w:w="2405" w:type="dxa"/>
          </w:tcPr>
          <w:p w14:paraId="53FC631D" w14:textId="740EC78A" w:rsidR="006506E2" w:rsidRDefault="006506E2" w:rsidP="00567BFB">
            <w:pPr>
              <w:spacing w:line="360" w:lineRule="auto"/>
              <w:rPr>
                <w:lang w:val="en-AU"/>
              </w:rPr>
            </w:pPr>
            <w:r>
              <w:rPr>
                <w:lang w:val="en-AU"/>
              </w:rPr>
              <w:t>Share buybacks</w:t>
            </w:r>
          </w:p>
        </w:tc>
        <w:tc>
          <w:tcPr>
            <w:tcW w:w="6605" w:type="dxa"/>
          </w:tcPr>
          <w:p w14:paraId="14732B07" w14:textId="496E4B98" w:rsidR="006506E2" w:rsidRDefault="006506E2" w:rsidP="00567BFB">
            <w:pPr>
              <w:spacing w:line="360" w:lineRule="auto"/>
              <w:rPr>
                <w:lang w:val="en-AU"/>
              </w:rPr>
            </w:pPr>
            <w:r>
              <w:rPr>
                <w:lang w:val="en-AU"/>
              </w:rPr>
              <w:t>S</w:t>
            </w:r>
            <w:r w:rsidRPr="006506E2">
              <w:rPr>
                <w:lang w:val="en-AU"/>
              </w:rPr>
              <w:t xml:space="preserve">hare buybacks </w:t>
            </w:r>
            <w:r>
              <w:rPr>
                <w:lang w:val="en-AU"/>
              </w:rPr>
              <w:t xml:space="preserve">refer to the practice of </w:t>
            </w:r>
            <w:r w:rsidRPr="006506E2">
              <w:rPr>
                <w:lang w:val="en-AU"/>
              </w:rPr>
              <w:t>a corporation buy</w:t>
            </w:r>
            <w:r>
              <w:rPr>
                <w:lang w:val="en-AU"/>
              </w:rPr>
              <w:t>ing</w:t>
            </w:r>
            <w:r w:rsidRPr="006506E2">
              <w:rPr>
                <w:lang w:val="en-AU"/>
              </w:rPr>
              <w:t xml:space="preserve"> back its own shares on the open stock market</w:t>
            </w:r>
            <w:r>
              <w:rPr>
                <w:lang w:val="en-AU"/>
              </w:rPr>
              <w:t xml:space="preserve">. Share buybacks are a means of transferring </w:t>
            </w:r>
            <w:r w:rsidRPr="006506E2">
              <w:rPr>
                <w:lang w:val="en-AU"/>
              </w:rPr>
              <w:t>money from the ‘real economy’ to shareholder</w:t>
            </w:r>
            <w:r>
              <w:rPr>
                <w:lang w:val="en-AU"/>
              </w:rPr>
              <w:t>s</w:t>
            </w:r>
            <w:r w:rsidR="009A3A0D">
              <w:rPr>
                <w:lang w:val="en-AU"/>
              </w:rPr>
              <w:t>. T</w:t>
            </w:r>
            <w:r>
              <w:rPr>
                <w:lang w:val="en-AU"/>
              </w:rPr>
              <w:t xml:space="preserve">hey can </w:t>
            </w:r>
            <w:r w:rsidRPr="006506E2">
              <w:rPr>
                <w:lang w:val="en-AU"/>
              </w:rPr>
              <w:t xml:space="preserve">also influence financial metrics commonly linked to executive remuneration </w:t>
            </w:r>
            <w:r w:rsidRPr="006506E2">
              <w:rPr>
                <w:lang w:val="en-AU"/>
              </w:rPr>
              <w:fldChar w:fldCharType="begin"/>
            </w:r>
            <w:r w:rsidR="009A3A0D">
              <w:rPr>
                <w:lang w:val="en-AU"/>
              </w:rPr>
              <w:instrText xml:space="preserve"> ADDIN EN.CITE &lt;EndNote&gt;&lt;Cite&gt;&lt;Author&gt;Mazzucato&lt;/Author&gt;&lt;Year&gt;2018&lt;/Year&gt;&lt;RecNum&gt;1763&lt;/RecNum&gt;&lt;DisplayText&gt;[3]&lt;/DisplayText&gt;&lt;record&gt;&lt;rec-number&gt;1763&lt;/rec-number&gt;&lt;foreign-keys&gt;&lt;key app="EN" db-id="asd9reav6erp0bedwsup2et8pdtzpzdxpxzx" timestamp="1636040244"&gt;1763&lt;/key&gt;&lt;/foreign-keys&gt;&lt;ref-type name="Book Section"&gt;5&lt;/ref-type&gt;&lt;contributors&gt;&lt;authors&gt;&lt;author&gt;Mazzucato, Mariana&lt;/author&gt;&lt;/authors&gt;&lt;/contributors&gt;&lt;titles&gt;&lt;title&gt;Financialization of the Real Economy&lt;/title&gt;&lt;secondary-title&gt;The Value of Everything: Making and Taking in the Global Economy&lt;/secondary-title&gt;&lt;/titles&gt;&lt;dates&gt;&lt;year&gt;2018&lt;/year&gt;&lt;/dates&gt;&lt;pub-location&gt;New York&lt;/pub-location&gt;&lt;publisher&gt;PublicAffairs&lt;/publisher&gt;&lt;urls&gt;&lt;/urls&gt;&lt;/record&gt;&lt;/Cite&gt;&lt;/EndNote&gt;</w:instrText>
            </w:r>
            <w:r w:rsidRPr="006506E2">
              <w:rPr>
                <w:lang w:val="en-AU"/>
              </w:rPr>
              <w:fldChar w:fldCharType="separate"/>
            </w:r>
            <w:r w:rsidR="009A3A0D">
              <w:rPr>
                <w:noProof/>
                <w:lang w:val="en-AU"/>
              </w:rPr>
              <w:t>[3]</w:t>
            </w:r>
            <w:r w:rsidRPr="006506E2">
              <w:rPr>
                <w:lang w:val="en-AU"/>
              </w:rPr>
              <w:fldChar w:fldCharType="end"/>
            </w:r>
            <w:r w:rsidRPr="006506E2">
              <w:rPr>
                <w:lang w:val="en-AU"/>
              </w:rPr>
              <w:t>.</w:t>
            </w:r>
          </w:p>
        </w:tc>
      </w:tr>
      <w:tr w:rsidR="006506E2" w14:paraId="4D724962" w14:textId="77777777" w:rsidTr="00005755">
        <w:tc>
          <w:tcPr>
            <w:tcW w:w="2405" w:type="dxa"/>
          </w:tcPr>
          <w:p w14:paraId="697BC270" w14:textId="196B18A5" w:rsidR="006506E2" w:rsidRDefault="006506E2" w:rsidP="00567BFB">
            <w:pPr>
              <w:spacing w:line="360" w:lineRule="auto"/>
              <w:rPr>
                <w:lang w:val="en-AU"/>
              </w:rPr>
            </w:pPr>
            <w:r>
              <w:rPr>
                <w:lang w:val="en-AU"/>
              </w:rPr>
              <w:t>Shareholder primacy</w:t>
            </w:r>
          </w:p>
        </w:tc>
        <w:tc>
          <w:tcPr>
            <w:tcW w:w="6605" w:type="dxa"/>
          </w:tcPr>
          <w:p w14:paraId="4BDF37F3" w14:textId="09412929" w:rsidR="006506E2" w:rsidRDefault="006506E2" w:rsidP="00567BFB">
            <w:pPr>
              <w:spacing w:line="360" w:lineRule="auto"/>
              <w:rPr>
                <w:lang w:val="en-AU"/>
              </w:rPr>
            </w:pPr>
            <w:r>
              <w:rPr>
                <w:lang w:val="en-AU"/>
              </w:rPr>
              <w:t>T</w:t>
            </w:r>
            <w:r w:rsidRPr="006506E2">
              <w:rPr>
                <w:lang w:val="en-AU"/>
              </w:rPr>
              <w:t xml:space="preserve">he belief or view that the sole purpose of the business corporation should be to maximise returns for its shareholders or private owners because this is the most rational and efficient way of achieving the broader social good </w:t>
            </w:r>
            <w:r w:rsidRPr="006506E2">
              <w:rPr>
                <w:lang w:val="en-AU"/>
              </w:rPr>
              <w:fldChar w:fldCharType="begin"/>
            </w:r>
            <w:r w:rsidR="009A3A0D">
              <w:rPr>
                <w:lang w:val="en-AU"/>
              </w:rPr>
              <w:instrText xml:space="preserve"> ADDIN EN.CITE &lt;EndNote&gt;&lt;Cite&gt;&lt;Author&gt;Sjäfell&lt;/Author&gt;&lt;Year&gt;2019&lt;/Year&gt;&lt;RecNum&gt;2756&lt;/RecNum&gt;&lt;DisplayText&gt;[4]&lt;/DisplayText&gt;&lt;record&gt;&lt;rec-number&gt;2756&lt;/rec-number&gt;&lt;foreign-keys&gt;&lt;key app="EN" db-id="asd9reav6erp0bedwsup2et8pdtzpzdxpxzx" timestamp="1676473169"&gt;2756&lt;/key&gt;&lt;/foreign-keys&gt;&lt;ref-type name="Journal Article"&gt;17&lt;/ref-type&gt;&lt;contributors&gt;&lt;authors&gt;&lt;author&gt;Sjäfell, Beate&lt;/author&gt;&lt;author&gt;Taylor, Mark&lt;/author&gt;&lt;/authors&gt;&lt;/contributors&gt;&lt;titles&gt;&lt;title&gt;Clash of Norms: Shareholder Primacy vs. Sustainable Corporate Purpose&lt;/title&gt;&lt;secondary-title&gt;International and Comparative Corporate Law Journal&lt;/secondary-title&gt;&lt;/titles&gt;&lt;periodical&gt;&lt;full-title&gt;International and Comparative Corporate Law Journal&lt;/full-title&gt;&lt;/periodical&gt;&lt;pages&gt;40-66&lt;/pages&gt;&lt;volume&gt;13&lt;/volume&gt;&lt;dates&gt;&lt;year&gt;2019&lt;/year&gt;&lt;/dates&gt;&lt;urls&gt;&lt;/urls&gt;&lt;/record&gt;&lt;/Cite&gt;&lt;/EndNote&gt;</w:instrText>
            </w:r>
            <w:r w:rsidRPr="006506E2">
              <w:rPr>
                <w:lang w:val="en-AU"/>
              </w:rPr>
              <w:fldChar w:fldCharType="separate"/>
            </w:r>
            <w:r w:rsidR="009A3A0D">
              <w:rPr>
                <w:noProof/>
                <w:lang w:val="en-AU"/>
              </w:rPr>
              <w:t>[4]</w:t>
            </w:r>
            <w:r w:rsidRPr="006506E2">
              <w:rPr>
                <w:lang w:val="en-AU"/>
              </w:rPr>
              <w:fldChar w:fldCharType="end"/>
            </w:r>
          </w:p>
        </w:tc>
      </w:tr>
      <w:tr w:rsidR="006506E2" w14:paraId="7FED46B7" w14:textId="77777777" w:rsidTr="00005755">
        <w:tc>
          <w:tcPr>
            <w:tcW w:w="2405" w:type="dxa"/>
          </w:tcPr>
          <w:p w14:paraId="37D5CBCA" w14:textId="5C0C4346" w:rsidR="006506E2" w:rsidRDefault="006506E2" w:rsidP="00567BFB">
            <w:pPr>
              <w:spacing w:line="360" w:lineRule="auto"/>
              <w:rPr>
                <w:lang w:val="en-AU"/>
              </w:rPr>
            </w:pPr>
            <w:r>
              <w:rPr>
                <w:lang w:val="en-AU"/>
              </w:rPr>
              <w:t>Shareholder proposal</w:t>
            </w:r>
          </w:p>
        </w:tc>
        <w:tc>
          <w:tcPr>
            <w:tcW w:w="6605" w:type="dxa"/>
          </w:tcPr>
          <w:p w14:paraId="1FF7C92B" w14:textId="5D8ED19D" w:rsidR="006506E2" w:rsidRDefault="006506E2" w:rsidP="00567BFB">
            <w:pPr>
              <w:spacing w:line="360" w:lineRule="auto"/>
              <w:rPr>
                <w:lang w:val="en-AU"/>
              </w:rPr>
            </w:pPr>
            <w:r>
              <w:rPr>
                <w:lang w:val="en-AU"/>
              </w:rPr>
              <w:t>A</w:t>
            </w:r>
            <w:r w:rsidRPr="006506E2">
              <w:rPr>
                <w:lang w:val="en-AU"/>
              </w:rPr>
              <w:t xml:space="preserve"> proposed recommendation or requirement</w:t>
            </w:r>
            <w:r>
              <w:rPr>
                <w:lang w:val="en-AU"/>
              </w:rPr>
              <w:t xml:space="preserve"> made by a shareholder, or group of shareholders,</w:t>
            </w:r>
            <w:r w:rsidRPr="006506E2">
              <w:rPr>
                <w:lang w:val="en-AU"/>
              </w:rPr>
              <w:t xml:space="preserve"> that the corporation or its </w:t>
            </w:r>
            <w:r w:rsidRPr="006506E2">
              <w:rPr>
                <w:lang w:val="en-AU"/>
              </w:rPr>
              <w:lastRenderedPageBreak/>
              <w:t xml:space="preserve">board of directors take a specific course of action that is put to vote at shareholder meetings </w:t>
            </w:r>
            <w:r w:rsidRPr="006506E2">
              <w:fldChar w:fldCharType="begin"/>
            </w:r>
            <w:r w:rsidR="009A3A0D">
              <w:instrText xml:space="preserve"> ADDIN EN.CITE &lt;EndNote&gt;&lt;Cite&gt;&lt;Author&gt;Robinson&lt;/Author&gt;&lt;Year&gt;2022&lt;/Year&gt;&lt;RecNum&gt;2171&lt;/RecNum&gt;&lt;DisplayText&gt;[5]&lt;/DisplayText&gt;&lt;record&gt;&lt;rec-number&gt;2171&lt;/rec-number&gt;&lt;foreign-keys&gt;&lt;key app="EN" db-id="asd9reav6erp0bedwsup2et8pdtzpzdxpxzx" timestamp="1644934503"&gt;2171&lt;/key&gt;&lt;/foreign-keys&gt;&lt;ref-type name="Journal Article"&gt;17&lt;/ref-type&gt;&lt;contributors&gt;&lt;authors&gt;&lt;author&gt;Robinson, E.&lt;/author&gt;&lt;author&gt;Carey, R.&lt;/author&gt;&lt;author&gt;Foerster, A.&lt;/author&gt;&lt;author&gt;Sacks, G.&lt;/author&gt;&lt;/authors&gt;&lt;/contributors&gt;&lt;auth-address&gt;Global Obesity Centre (GLOBE), Institute for Health Transformation, Deakin University, Geelong, VIC, Australia. ella.robinson@deakin.edu.au.&amp;#xD;School of Agriculture and Food, The University of Melbourne, Melbourne, VIC, Australia.&amp;#xD;Monash Business School, Monash University, Melbourne, VIC, Australia.&amp;#xD;Global Obesity Centre (GLOBE), Institute for Health Transformation, Deakin University, Geelong, VIC, Australia.&lt;/auth-address&gt;&lt;titles&gt;&lt;title&gt;Latest Trends in Investing for Improved Nutrition and Obesity Prevention&lt;/title&gt;&lt;secondary-title&gt;Curr Nutr Rep&lt;/secondary-title&gt;&lt;/titles&gt;&lt;periodical&gt;&lt;full-title&gt;Curr Nutr Rep&lt;/full-title&gt;&lt;/periodical&gt;&lt;edition&gt;2022/01/27&lt;/edition&gt;&lt;keywords&gt;&lt;keyword&gt;Nutrition&lt;/keyword&gt;&lt;keyword&gt;Obesity prevention&lt;/keyword&gt;&lt;keyword&gt;Responsible investment&lt;/keyword&gt;&lt;keyword&gt;Sustainable finance&lt;/keyword&gt;&lt;/keywords&gt;&lt;dates&gt;&lt;year&gt;2022&lt;/year&gt;&lt;pub-dates&gt;&lt;date&gt;Jan 26&lt;/date&gt;&lt;/pub-dates&gt;&lt;/dates&gt;&lt;isbn&gt;2161-3311 (Electronic)&amp;#xD;2161-3311 (Linking)&lt;/isbn&gt;&lt;accession-num&gt;35080755&lt;/accession-num&gt;&lt;urls&gt;&lt;related-urls&gt;&lt;url&gt;https://www.ncbi.nlm.nih.gov/pubmed/35080755&lt;/url&gt;&lt;/related-urls&gt;&lt;/urls&gt;&lt;electronic-resource-num&gt;10.1007/s13668-021-00389-7&lt;/electronic-resource-num&gt;&lt;/record&gt;&lt;/Cite&gt;&lt;/EndNote&gt;</w:instrText>
            </w:r>
            <w:r w:rsidRPr="006506E2">
              <w:fldChar w:fldCharType="separate"/>
            </w:r>
            <w:r w:rsidR="009A3A0D">
              <w:rPr>
                <w:noProof/>
              </w:rPr>
              <w:t>[5]</w:t>
            </w:r>
            <w:r w:rsidRPr="006506E2">
              <w:rPr>
                <w:lang w:val="en-AU"/>
              </w:rPr>
              <w:fldChar w:fldCharType="end"/>
            </w:r>
            <w:r>
              <w:rPr>
                <w:lang w:val="en-AU"/>
              </w:rPr>
              <w:t>.</w:t>
            </w:r>
          </w:p>
        </w:tc>
      </w:tr>
      <w:tr w:rsidR="006506E2" w14:paraId="550009F8" w14:textId="77777777" w:rsidTr="00005755">
        <w:tc>
          <w:tcPr>
            <w:tcW w:w="2405" w:type="dxa"/>
          </w:tcPr>
          <w:p w14:paraId="745E672F" w14:textId="5A7CD4AF" w:rsidR="006506E2" w:rsidRDefault="006506E2" w:rsidP="00567BFB">
            <w:pPr>
              <w:spacing w:line="360" w:lineRule="auto"/>
              <w:rPr>
                <w:lang w:val="en-AU"/>
              </w:rPr>
            </w:pPr>
            <w:r>
              <w:rPr>
                <w:lang w:val="en-AU"/>
              </w:rPr>
              <w:lastRenderedPageBreak/>
              <w:t>‘Shareholder value ratio’</w:t>
            </w:r>
          </w:p>
        </w:tc>
        <w:tc>
          <w:tcPr>
            <w:tcW w:w="6605" w:type="dxa"/>
          </w:tcPr>
          <w:p w14:paraId="64A97BD2" w14:textId="35968542" w:rsidR="006506E2" w:rsidRDefault="006506E2" w:rsidP="00567BFB">
            <w:pPr>
              <w:spacing w:line="360" w:lineRule="auto"/>
              <w:rPr>
                <w:lang w:val="en-AU"/>
              </w:rPr>
            </w:pPr>
            <w:r w:rsidRPr="006506E2">
              <w:rPr>
                <w:lang w:val="en-AU"/>
              </w:rPr>
              <w:t xml:space="preserve">The ‘shareholder value ratio’ is calculated by dividing the total monetary value of shareholder payouts by company revenue, a proxy for the available funds that corporations can distribute among all of its different ‘stakeholders’, including workers, shareholders, governments, and suppliers </w:t>
            </w:r>
            <w:r w:rsidRPr="006506E2">
              <w:rPr>
                <w:lang w:val="en-AU"/>
              </w:rPr>
              <w:fldChar w:fldCharType="begin"/>
            </w:r>
            <w:r w:rsidR="009A3A0D">
              <w:rPr>
                <w:lang w:val="en-AU"/>
              </w:rPr>
              <w:instrText xml:space="preserve"> ADDIN EN.CITE &lt;EndNote&gt;&lt;Cite&gt;&lt;Author&gt;Hager&lt;/Author&gt;&lt;Year&gt;2020&lt;/Year&gt;&lt;RecNum&gt;1494&lt;/RecNum&gt;&lt;DisplayText&gt;[6]&lt;/DisplayText&gt;&lt;record&gt;&lt;rec-number&gt;1494&lt;/rec-number&gt;&lt;foreign-keys&gt;&lt;key app="EN" db-id="asd9reav6erp0bedwsup2et8pdtzpzdxpxzx" timestamp="1612514623"&gt;1494&lt;/key&gt;&lt;/foreign-keys&gt;&lt;ref-type name="Journal Article"&gt;17&lt;/ref-type&gt;&lt;contributors&gt;&lt;authors&gt;&lt;author&gt;Hager, Sandy B&lt;/author&gt;&lt;author&gt;Baines, Joseph&lt;/author&gt;&lt;/authors&gt;&lt;/contributors&gt;&lt;titles&gt;&lt;title&gt;The Tax Advantage of Big Business: How the Structure of Corporate Taxation Fuels Concentration and Inequality&lt;/title&gt;&lt;secondary-title&gt;Politics &amp;amp; Society&lt;/secondary-title&gt;&lt;/titles&gt;&lt;periodical&gt;&lt;full-title&gt;Politics &amp;amp; Society&lt;/full-title&gt;&lt;/periodical&gt;&lt;pages&gt;275-305&lt;/pages&gt;&lt;volume&gt;48&lt;/volume&gt;&lt;number&gt;2&lt;/number&gt;&lt;dates&gt;&lt;year&gt;2020&lt;/year&gt;&lt;/dates&gt;&lt;urls&gt;&lt;/urls&gt;&lt;/record&gt;&lt;/Cite&gt;&lt;/EndNote&gt;</w:instrText>
            </w:r>
            <w:r w:rsidRPr="006506E2">
              <w:rPr>
                <w:lang w:val="en-AU"/>
              </w:rPr>
              <w:fldChar w:fldCharType="separate"/>
            </w:r>
            <w:r w:rsidR="009A3A0D">
              <w:rPr>
                <w:noProof/>
                <w:lang w:val="en-AU"/>
              </w:rPr>
              <w:t>[6]</w:t>
            </w:r>
            <w:r w:rsidRPr="006506E2">
              <w:rPr>
                <w:lang w:val="en-AU"/>
              </w:rPr>
              <w:fldChar w:fldCharType="end"/>
            </w:r>
            <w:r>
              <w:rPr>
                <w:lang w:val="en-AU"/>
              </w:rPr>
              <w:t>.</w:t>
            </w:r>
          </w:p>
        </w:tc>
      </w:tr>
      <w:tr w:rsidR="006506E2" w14:paraId="4A3B2819" w14:textId="77777777" w:rsidTr="00005755">
        <w:tc>
          <w:tcPr>
            <w:tcW w:w="2405" w:type="dxa"/>
          </w:tcPr>
          <w:p w14:paraId="732860A0" w14:textId="7EB820CA" w:rsidR="006506E2" w:rsidRDefault="006506E2" w:rsidP="00567BFB">
            <w:pPr>
              <w:spacing w:line="360" w:lineRule="auto"/>
              <w:rPr>
                <w:lang w:val="en-AU"/>
              </w:rPr>
            </w:pPr>
            <w:r>
              <w:rPr>
                <w:lang w:val="en-AU"/>
              </w:rPr>
              <w:t>Total shareholder payouts</w:t>
            </w:r>
          </w:p>
        </w:tc>
        <w:tc>
          <w:tcPr>
            <w:tcW w:w="6605" w:type="dxa"/>
          </w:tcPr>
          <w:p w14:paraId="53EADC6D" w14:textId="44CEC8BC" w:rsidR="006506E2" w:rsidRPr="006506E2" w:rsidRDefault="006506E2" w:rsidP="00567BFB">
            <w:pPr>
              <w:spacing w:line="360" w:lineRule="auto"/>
              <w:rPr>
                <w:lang w:val="en-AU"/>
              </w:rPr>
            </w:pPr>
            <w:r>
              <w:rPr>
                <w:lang w:val="en-AU"/>
              </w:rPr>
              <w:t>Total shareholder payouts can be c</w:t>
            </w:r>
            <w:r w:rsidRPr="006506E2">
              <w:rPr>
                <w:lang w:val="en-AU"/>
              </w:rPr>
              <w:t>alculated by adding dividend payments and share buyback expenditure.</w:t>
            </w:r>
          </w:p>
          <w:p w14:paraId="6F0FBFBA" w14:textId="77777777" w:rsidR="006506E2" w:rsidRDefault="006506E2" w:rsidP="00567BFB">
            <w:pPr>
              <w:spacing w:line="360" w:lineRule="auto"/>
              <w:rPr>
                <w:lang w:val="en-AU"/>
              </w:rPr>
            </w:pPr>
          </w:p>
        </w:tc>
      </w:tr>
      <w:tr w:rsidR="009A3A0D" w14:paraId="7F4EA6E0" w14:textId="77777777" w:rsidTr="00005755">
        <w:tc>
          <w:tcPr>
            <w:tcW w:w="2405" w:type="dxa"/>
          </w:tcPr>
          <w:p w14:paraId="42D68A7E" w14:textId="7210B9FE" w:rsidR="009A3A0D" w:rsidRDefault="009A3A0D" w:rsidP="00567BFB">
            <w:pPr>
              <w:spacing w:line="360" w:lineRule="auto"/>
              <w:rPr>
                <w:lang w:val="en-AU"/>
              </w:rPr>
            </w:pPr>
            <w:r>
              <w:rPr>
                <w:lang w:val="en-AU"/>
              </w:rPr>
              <w:t>Ultra-processed foods</w:t>
            </w:r>
          </w:p>
        </w:tc>
        <w:tc>
          <w:tcPr>
            <w:tcW w:w="6605" w:type="dxa"/>
          </w:tcPr>
          <w:p w14:paraId="3B8BDA9E" w14:textId="6113E76D" w:rsidR="009A3A0D" w:rsidRDefault="009A3A0D" w:rsidP="00567BFB">
            <w:pPr>
              <w:spacing w:line="360" w:lineRule="auto"/>
              <w:rPr>
                <w:lang w:val="en-AU"/>
              </w:rPr>
            </w:pPr>
            <w:r>
              <w:rPr>
                <w:lang w:val="en-AU"/>
              </w:rPr>
              <w:t xml:space="preserve">Ultra-processed foods (UPFs) are </w:t>
            </w:r>
            <w:r w:rsidRPr="009A3A0D">
              <w:rPr>
                <w:lang w:val="en-AU"/>
              </w:rPr>
              <w:t>‘</w:t>
            </w:r>
            <w:r w:rsidRPr="009A3A0D">
              <w:rPr>
                <w:i/>
                <w:iCs/>
                <w:lang w:val="en-AU"/>
              </w:rPr>
              <w:t>formulations of ingredients, mostly of exclusive industrial use, that result from a series of industrial processes</w:t>
            </w:r>
            <w:r w:rsidRPr="009A3A0D">
              <w:rPr>
                <w:lang w:val="en-AU"/>
              </w:rPr>
              <w:t xml:space="preserve">’ </w:t>
            </w:r>
            <w:r w:rsidRPr="009A3A0D">
              <w:rPr>
                <w:lang w:val="en-AU"/>
              </w:rPr>
              <w:fldChar w:fldCharType="begin">
                <w:fldData xml:space="preserve">PEVuZE5vdGU+PENpdGU+PEF1dGhvcj5Nb250ZWlybzwvQXV0aG9yPjxZZWFyPjIwMTk8L1llYXI+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</w:fldData>
              </w:fldChar>
            </w:r>
            <w:r>
              <w:rPr>
                <w:lang w:val="en-AU"/>
              </w:rPr>
              <w:instrText xml:space="preserve"> ADDIN EN.CITE </w:instrText>
            </w:r>
            <w:r>
              <w:rPr>
                <w:lang w:val="en-AU"/>
              </w:rPr>
              <w:fldChar w:fldCharType="begin">
                <w:fldData xml:space="preserve">PEVuZE5vdGU+PENpdGU+PEF1dGhvcj5Nb250ZWlybzwvQXV0aG9yPjxZZWFyPjIwMTk8L1llYXI+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</w:fldData>
              </w:fldChar>
            </w:r>
            <w:r>
              <w:rPr>
                <w:lang w:val="en-AU"/>
              </w:rPr>
              <w:instrText xml:space="preserve"> ADDIN EN.CITE.DATA </w:instrText>
            </w:r>
            <w:r>
              <w:rPr>
                <w:lang w:val="en-AU"/>
              </w:rPr>
            </w:r>
            <w:r>
              <w:rPr>
                <w:lang w:val="en-AU"/>
              </w:rPr>
              <w:fldChar w:fldCharType="end"/>
            </w:r>
            <w:r w:rsidRPr="009A3A0D">
              <w:rPr>
                <w:lang w:val="en-AU"/>
              </w:rPr>
            </w:r>
            <w:r w:rsidRPr="009A3A0D">
              <w:rPr>
                <w:lang w:val="en-AU"/>
              </w:rPr>
              <w:fldChar w:fldCharType="separate"/>
            </w:r>
            <w:r>
              <w:rPr>
                <w:noProof/>
                <w:lang w:val="en-AU"/>
              </w:rPr>
              <w:t>[7]</w:t>
            </w:r>
            <w:r w:rsidRPr="009A3A0D">
              <w:rPr>
                <w:lang w:val="en-AU"/>
              </w:rPr>
              <w:fldChar w:fldCharType="end"/>
            </w:r>
            <w:r w:rsidRPr="009A3A0D">
              <w:rPr>
                <w:lang w:val="en-AU"/>
              </w:rPr>
              <w:t>.</w:t>
            </w:r>
            <w:r>
              <w:rPr>
                <w:lang w:val="en-AU"/>
              </w:rPr>
              <w:t xml:space="preserve"> Common examples of UPFs include carbonated soft drinks, industrially made snacks and breads, reconstituted meat products, ice creams, confectionery, and many types of breakfast cereals.</w:t>
            </w:r>
          </w:p>
        </w:tc>
      </w:tr>
      <w:tr w:rsidR="006506E2" w14:paraId="450402CC" w14:textId="77777777" w:rsidTr="00005755">
        <w:tc>
          <w:tcPr>
            <w:tcW w:w="2405" w:type="dxa"/>
          </w:tcPr>
          <w:p w14:paraId="077C7D3F" w14:textId="589C91CE" w:rsidR="006506E2" w:rsidRDefault="006506E2" w:rsidP="00567BFB">
            <w:pPr>
              <w:spacing w:line="360" w:lineRule="auto"/>
              <w:rPr>
                <w:lang w:val="en-AU"/>
              </w:rPr>
            </w:pPr>
            <w:r>
              <w:rPr>
                <w:lang w:val="en-AU"/>
              </w:rPr>
              <w:t>U.S. listed corporation</w:t>
            </w:r>
          </w:p>
        </w:tc>
        <w:tc>
          <w:tcPr>
            <w:tcW w:w="6605" w:type="dxa"/>
          </w:tcPr>
          <w:p w14:paraId="4DDD7CA7" w14:textId="0C3AE94B" w:rsidR="006506E2" w:rsidRDefault="006506E2" w:rsidP="00567BFB">
            <w:pPr>
              <w:spacing w:line="360" w:lineRule="auto"/>
              <w:rPr>
                <w:lang w:val="en-AU"/>
              </w:rPr>
            </w:pPr>
            <w:r>
              <w:rPr>
                <w:lang w:val="en-AU"/>
              </w:rPr>
              <w:t>A corporation listed on a stock exchange based in the United States of America.</w:t>
            </w:r>
          </w:p>
        </w:tc>
      </w:tr>
    </w:tbl>
    <w:p w14:paraId="666E32E2" w14:textId="4D626788" w:rsidR="009A3A0D" w:rsidRDefault="009A3A0D" w:rsidP="00567BFB">
      <w:pPr>
        <w:spacing w:line="360" w:lineRule="auto"/>
        <w:rPr>
          <w:lang w:val="en-AU"/>
        </w:rPr>
      </w:pPr>
    </w:p>
    <w:p w14:paraId="532AAC63" w14:textId="77777777" w:rsidR="009A3A0D" w:rsidRDefault="009A3A0D" w:rsidP="00567BFB">
      <w:pPr>
        <w:spacing w:line="360" w:lineRule="auto"/>
        <w:rPr>
          <w:lang w:val="en-AU"/>
        </w:rPr>
      </w:pPr>
    </w:p>
    <w:p w14:paraId="1A433FEF" w14:textId="77777777" w:rsidR="009A3A0D" w:rsidRPr="009A3A0D" w:rsidRDefault="009A3A0D" w:rsidP="00567BFB">
      <w:pPr>
        <w:pStyle w:val="EndNoteBibliographyTitle"/>
        <w:spacing w:line="360" w:lineRule="auto"/>
        <w:jc w:val="left"/>
        <w:rPr>
          <w:b/>
          <w:bCs/>
          <w:noProof/>
        </w:rPr>
      </w:pPr>
      <w:r>
        <w:fldChar w:fldCharType="begin"/>
      </w:r>
      <w:r>
        <w:instrText xml:space="preserve"> ADDIN EN.REFLIST </w:instrText>
      </w:r>
      <w:r>
        <w:fldChar w:fldCharType="separate"/>
      </w:r>
      <w:r w:rsidRPr="009A3A0D">
        <w:rPr>
          <w:b/>
          <w:bCs/>
          <w:noProof/>
        </w:rPr>
        <w:t>References</w:t>
      </w:r>
    </w:p>
    <w:p w14:paraId="774BE7DD" w14:textId="77777777" w:rsidR="009A3A0D" w:rsidRPr="009A3A0D" w:rsidRDefault="009A3A0D" w:rsidP="00567BFB">
      <w:pPr>
        <w:pStyle w:val="EndNoteBibliographyTitle"/>
        <w:spacing w:line="360" w:lineRule="auto"/>
        <w:rPr>
          <w:noProof/>
        </w:rPr>
      </w:pPr>
    </w:p>
    <w:p w14:paraId="5B3C0487" w14:textId="77777777" w:rsidR="009A3A0D" w:rsidRPr="009A3A0D" w:rsidRDefault="009A3A0D" w:rsidP="00567BFB">
      <w:pPr>
        <w:pStyle w:val="EndNoteBibliography"/>
        <w:spacing w:line="360" w:lineRule="auto"/>
        <w:rPr>
          <w:noProof/>
        </w:rPr>
      </w:pPr>
      <w:r w:rsidRPr="009A3A0D">
        <w:rPr>
          <w:noProof/>
        </w:rPr>
        <w:t>1.</w:t>
      </w:r>
      <w:r w:rsidRPr="009A3A0D">
        <w:rPr>
          <w:noProof/>
        </w:rPr>
        <w:tab/>
        <w:t>Epstein G. Financialization and the World Economy. Cheltenham: Edward Elgar Publishing; 2005.</w:t>
      </w:r>
    </w:p>
    <w:p w14:paraId="6699B6E8" w14:textId="77777777" w:rsidR="009A3A0D" w:rsidRPr="009A3A0D" w:rsidRDefault="009A3A0D" w:rsidP="00567BFB">
      <w:pPr>
        <w:pStyle w:val="EndNoteBibliography"/>
        <w:spacing w:line="360" w:lineRule="auto"/>
        <w:rPr>
          <w:noProof/>
        </w:rPr>
      </w:pPr>
      <w:r w:rsidRPr="009A3A0D">
        <w:rPr>
          <w:noProof/>
        </w:rPr>
        <w:t>2.</w:t>
      </w:r>
      <w:r w:rsidRPr="009A3A0D">
        <w:rPr>
          <w:noProof/>
        </w:rPr>
        <w:tab/>
        <w:t>DesJardine MR, Marti E, Durand R. Why Activist Hedge Funds Target Socially Responsible Firms: The Reaction Costs of Signaling Corporate Social Responsibility. Academy of Management Journal. 2021;64:851-72. doi: 10.5465/amj.2019.0238.</w:t>
      </w:r>
    </w:p>
    <w:p w14:paraId="61C89875" w14:textId="77777777" w:rsidR="009A3A0D" w:rsidRPr="009A3A0D" w:rsidRDefault="009A3A0D" w:rsidP="00567BFB">
      <w:pPr>
        <w:pStyle w:val="EndNoteBibliography"/>
        <w:spacing w:line="360" w:lineRule="auto"/>
        <w:rPr>
          <w:noProof/>
        </w:rPr>
      </w:pPr>
      <w:r w:rsidRPr="009A3A0D">
        <w:rPr>
          <w:noProof/>
        </w:rPr>
        <w:t>3.</w:t>
      </w:r>
      <w:r w:rsidRPr="009A3A0D">
        <w:rPr>
          <w:noProof/>
        </w:rPr>
        <w:tab/>
        <w:t>Mazzucato M. Financialization of the Real Economy.  The Value of Everything: Making and Taking in the Global Economy. New York: PublicAffairs; 2018.</w:t>
      </w:r>
    </w:p>
    <w:p w14:paraId="610C81E5" w14:textId="77777777" w:rsidR="009A3A0D" w:rsidRPr="009A3A0D" w:rsidRDefault="009A3A0D" w:rsidP="00567BFB">
      <w:pPr>
        <w:pStyle w:val="EndNoteBibliography"/>
        <w:spacing w:line="360" w:lineRule="auto"/>
        <w:rPr>
          <w:noProof/>
        </w:rPr>
      </w:pPr>
      <w:r w:rsidRPr="009A3A0D">
        <w:rPr>
          <w:noProof/>
        </w:rPr>
        <w:t>4.</w:t>
      </w:r>
      <w:r w:rsidRPr="009A3A0D">
        <w:rPr>
          <w:noProof/>
        </w:rPr>
        <w:tab/>
        <w:t>Sjäfell B, Taylor M. Clash of Norms: Shareholder Primacy vs. Sustainable Corporate Purpose. International and Comparative Corporate Law Journal. 2019;13:40-66.</w:t>
      </w:r>
    </w:p>
    <w:p w14:paraId="0B54E3B9" w14:textId="77777777" w:rsidR="009A3A0D" w:rsidRPr="009A3A0D" w:rsidRDefault="009A3A0D" w:rsidP="00567BFB">
      <w:pPr>
        <w:pStyle w:val="EndNoteBibliography"/>
        <w:spacing w:line="360" w:lineRule="auto"/>
        <w:rPr>
          <w:noProof/>
        </w:rPr>
      </w:pPr>
      <w:r w:rsidRPr="009A3A0D">
        <w:rPr>
          <w:noProof/>
        </w:rPr>
        <w:t>5.</w:t>
      </w:r>
      <w:r w:rsidRPr="009A3A0D">
        <w:rPr>
          <w:noProof/>
        </w:rPr>
        <w:tab/>
        <w:t>Robinson E, Carey R, Foerster A, Sacks G. Latest Trends in Investing for Improved Nutrition and Obesity Prevention. Curr Nutr Rep. 2022. doi: 10.1007/s13668-021-00389-7.</w:t>
      </w:r>
    </w:p>
    <w:p w14:paraId="692F4A52" w14:textId="77777777" w:rsidR="009A3A0D" w:rsidRPr="009A3A0D" w:rsidRDefault="009A3A0D" w:rsidP="00567BFB">
      <w:pPr>
        <w:pStyle w:val="EndNoteBibliography"/>
        <w:spacing w:line="360" w:lineRule="auto"/>
        <w:rPr>
          <w:noProof/>
        </w:rPr>
      </w:pPr>
      <w:r w:rsidRPr="009A3A0D">
        <w:rPr>
          <w:noProof/>
        </w:rPr>
        <w:t>6.</w:t>
      </w:r>
      <w:r w:rsidRPr="009A3A0D">
        <w:rPr>
          <w:noProof/>
        </w:rPr>
        <w:tab/>
        <w:t>Hager SB, Baines J. The Tax Advantage of Big Business: How the Structure of Corporate Taxation Fuels Concentration and Inequality. Politics &amp; Society. 2020;48:275-305.</w:t>
      </w:r>
    </w:p>
    <w:p w14:paraId="4DF53CD5" w14:textId="77777777" w:rsidR="009A3A0D" w:rsidRPr="009A3A0D" w:rsidRDefault="009A3A0D" w:rsidP="00567BFB">
      <w:pPr>
        <w:pStyle w:val="EndNoteBibliography"/>
        <w:spacing w:line="360" w:lineRule="auto"/>
        <w:rPr>
          <w:noProof/>
        </w:rPr>
      </w:pPr>
      <w:r w:rsidRPr="009A3A0D">
        <w:rPr>
          <w:noProof/>
        </w:rPr>
        <w:t>7.</w:t>
      </w:r>
      <w:r w:rsidRPr="009A3A0D">
        <w:rPr>
          <w:noProof/>
        </w:rPr>
        <w:tab/>
        <w:t>Monteiro CA, Cannon G, Levy RB, Moubarac JC, Louzada ML, Rauber F, et al. Ultra-processed foods: what they are and how to identify them. Public Health Nutr. 2019;22:936-41. doi: 10.1017/S1368980018003762.</w:t>
      </w:r>
    </w:p>
    <w:p w14:paraId="408380DE" w14:textId="64E55B87" w:rsidR="009B414C" w:rsidRPr="009B414C" w:rsidRDefault="009A3A0D" w:rsidP="00567BFB">
      <w:pPr>
        <w:spacing w:line="360" w:lineRule="auto"/>
        <w:rPr>
          <w:lang w:val="en-AU"/>
        </w:rPr>
      </w:pPr>
      <w:r>
        <w:rPr>
          <w:lang w:val="en-AU"/>
        </w:rPr>
        <w:fldChar w:fldCharType="end"/>
      </w:r>
    </w:p>
    <w:sectPr w:rsidR="009B414C" w:rsidRPr="009B414C" w:rsidSect="00A53BA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B8781A"/>
    <w:multiLevelType w:val="hybridMultilevel"/>
    <w:tmpl w:val="A11C4464"/>
    <w:lvl w:ilvl="0" w:tplc="2A741D7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BC6C16"/>
    <w:multiLevelType w:val="hybridMultilevel"/>
    <w:tmpl w:val="4A8A1978"/>
    <w:lvl w:ilvl="0" w:tplc="E5940EC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5751A4"/>
    <w:multiLevelType w:val="hybridMultilevel"/>
    <w:tmpl w:val="B66CFED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43960397">
    <w:abstractNumId w:val="2"/>
  </w:num>
  <w:num w:numId="2" w16cid:durableId="1026905329">
    <w:abstractNumId w:val="1"/>
  </w:num>
  <w:num w:numId="3" w16cid:durableId="13950850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_BMC&lt;/Style&gt;&lt;LeftDelim&gt;{&lt;/LeftDelim&gt;&lt;RightDelim&gt;}&lt;/RightDelim&gt;&lt;FontName&gt;Calibri&lt;/FontName&gt;&lt;FontSize&gt;12&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F091C"/>
    <w:rsid w:val="00005755"/>
    <w:rsid w:val="00010F7E"/>
    <w:rsid w:val="000162C1"/>
    <w:rsid w:val="0001687A"/>
    <w:rsid w:val="00021B62"/>
    <w:rsid w:val="000269CA"/>
    <w:rsid w:val="00026B2D"/>
    <w:rsid w:val="00036B4A"/>
    <w:rsid w:val="000452BD"/>
    <w:rsid w:val="00047EB8"/>
    <w:rsid w:val="000501DB"/>
    <w:rsid w:val="00055C68"/>
    <w:rsid w:val="000634A9"/>
    <w:rsid w:val="0007295D"/>
    <w:rsid w:val="0009744A"/>
    <w:rsid w:val="000A15E7"/>
    <w:rsid w:val="000A3BAA"/>
    <w:rsid w:val="000A5C9E"/>
    <w:rsid w:val="000B03E8"/>
    <w:rsid w:val="000C4A28"/>
    <w:rsid w:val="000D10CA"/>
    <w:rsid w:val="000F400C"/>
    <w:rsid w:val="000F4A91"/>
    <w:rsid w:val="000F5460"/>
    <w:rsid w:val="000F614B"/>
    <w:rsid w:val="000F7320"/>
    <w:rsid w:val="00102474"/>
    <w:rsid w:val="00104AC8"/>
    <w:rsid w:val="0011657E"/>
    <w:rsid w:val="001229C2"/>
    <w:rsid w:val="0013431F"/>
    <w:rsid w:val="00135664"/>
    <w:rsid w:val="00145FF2"/>
    <w:rsid w:val="001566F5"/>
    <w:rsid w:val="00166DE9"/>
    <w:rsid w:val="00170D25"/>
    <w:rsid w:val="00174265"/>
    <w:rsid w:val="001802E4"/>
    <w:rsid w:val="001A6BE3"/>
    <w:rsid w:val="001C0F52"/>
    <w:rsid w:val="001C2F0C"/>
    <w:rsid w:val="001D7629"/>
    <w:rsid w:val="001E355A"/>
    <w:rsid w:val="001F091C"/>
    <w:rsid w:val="001F73E2"/>
    <w:rsid w:val="00205AA5"/>
    <w:rsid w:val="0021020E"/>
    <w:rsid w:val="002103BA"/>
    <w:rsid w:val="00210ADB"/>
    <w:rsid w:val="00215272"/>
    <w:rsid w:val="0022343A"/>
    <w:rsid w:val="00227F15"/>
    <w:rsid w:val="0023075F"/>
    <w:rsid w:val="00234CE7"/>
    <w:rsid w:val="002447BF"/>
    <w:rsid w:val="0024706C"/>
    <w:rsid w:val="00250FF2"/>
    <w:rsid w:val="00271C99"/>
    <w:rsid w:val="00272700"/>
    <w:rsid w:val="00272FB4"/>
    <w:rsid w:val="0028164E"/>
    <w:rsid w:val="00293FD8"/>
    <w:rsid w:val="00296AD6"/>
    <w:rsid w:val="002A778A"/>
    <w:rsid w:val="002B3EB5"/>
    <w:rsid w:val="002B51D1"/>
    <w:rsid w:val="002C1E86"/>
    <w:rsid w:val="002D0F90"/>
    <w:rsid w:val="002D15AF"/>
    <w:rsid w:val="002D3A9E"/>
    <w:rsid w:val="002D4DD0"/>
    <w:rsid w:val="002F2364"/>
    <w:rsid w:val="002F3ADD"/>
    <w:rsid w:val="002F6F27"/>
    <w:rsid w:val="002F7DA8"/>
    <w:rsid w:val="00314BF3"/>
    <w:rsid w:val="00350577"/>
    <w:rsid w:val="003535C4"/>
    <w:rsid w:val="00354F5E"/>
    <w:rsid w:val="00377ECC"/>
    <w:rsid w:val="00387592"/>
    <w:rsid w:val="00387609"/>
    <w:rsid w:val="00387EE1"/>
    <w:rsid w:val="003B218C"/>
    <w:rsid w:val="003C1A12"/>
    <w:rsid w:val="003C26FA"/>
    <w:rsid w:val="003C3A20"/>
    <w:rsid w:val="003C584B"/>
    <w:rsid w:val="003E63B9"/>
    <w:rsid w:val="003E6493"/>
    <w:rsid w:val="003F1246"/>
    <w:rsid w:val="003F498D"/>
    <w:rsid w:val="004445FE"/>
    <w:rsid w:val="00446567"/>
    <w:rsid w:val="0045349B"/>
    <w:rsid w:val="00463B1A"/>
    <w:rsid w:val="0046497B"/>
    <w:rsid w:val="004664F4"/>
    <w:rsid w:val="004C4988"/>
    <w:rsid w:val="004C7A9B"/>
    <w:rsid w:val="004C7BA1"/>
    <w:rsid w:val="004D5CA8"/>
    <w:rsid w:val="004D71D6"/>
    <w:rsid w:val="004E3AEB"/>
    <w:rsid w:val="004F6EDA"/>
    <w:rsid w:val="00510288"/>
    <w:rsid w:val="00513789"/>
    <w:rsid w:val="00515B85"/>
    <w:rsid w:val="0051615D"/>
    <w:rsid w:val="005249BA"/>
    <w:rsid w:val="00527CCE"/>
    <w:rsid w:val="005303D0"/>
    <w:rsid w:val="0053573C"/>
    <w:rsid w:val="00540205"/>
    <w:rsid w:val="0054199B"/>
    <w:rsid w:val="00543DCD"/>
    <w:rsid w:val="005549AE"/>
    <w:rsid w:val="0056639C"/>
    <w:rsid w:val="00567BFB"/>
    <w:rsid w:val="00583196"/>
    <w:rsid w:val="0059345C"/>
    <w:rsid w:val="00594841"/>
    <w:rsid w:val="005A095E"/>
    <w:rsid w:val="005A4149"/>
    <w:rsid w:val="005A784D"/>
    <w:rsid w:val="005B3D3C"/>
    <w:rsid w:val="005B5101"/>
    <w:rsid w:val="005C44DE"/>
    <w:rsid w:val="005C5CA0"/>
    <w:rsid w:val="005D28A3"/>
    <w:rsid w:val="005E5AA0"/>
    <w:rsid w:val="005E5CFA"/>
    <w:rsid w:val="005E6144"/>
    <w:rsid w:val="005F11BF"/>
    <w:rsid w:val="005F15B8"/>
    <w:rsid w:val="005F2B77"/>
    <w:rsid w:val="00605C55"/>
    <w:rsid w:val="006118A8"/>
    <w:rsid w:val="00612783"/>
    <w:rsid w:val="0061443A"/>
    <w:rsid w:val="00622B84"/>
    <w:rsid w:val="00623F08"/>
    <w:rsid w:val="006270C4"/>
    <w:rsid w:val="006308E4"/>
    <w:rsid w:val="00631870"/>
    <w:rsid w:val="00634779"/>
    <w:rsid w:val="00644BB2"/>
    <w:rsid w:val="006504DD"/>
    <w:rsid w:val="006506E2"/>
    <w:rsid w:val="006564D9"/>
    <w:rsid w:val="00663EDC"/>
    <w:rsid w:val="006662BA"/>
    <w:rsid w:val="00677C59"/>
    <w:rsid w:val="006909AC"/>
    <w:rsid w:val="006927AB"/>
    <w:rsid w:val="006B4E63"/>
    <w:rsid w:val="006B7C9A"/>
    <w:rsid w:val="006C7694"/>
    <w:rsid w:val="006D3792"/>
    <w:rsid w:val="006F3CB4"/>
    <w:rsid w:val="00706EF9"/>
    <w:rsid w:val="007112EE"/>
    <w:rsid w:val="007219B5"/>
    <w:rsid w:val="00734323"/>
    <w:rsid w:val="00740B96"/>
    <w:rsid w:val="00742115"/>
    <w:rsid w:val="00751408"/>
    <w:rsid w:val="0075305E"/>
    <w:rsid w:val="00753739"/>
    <w:rsid w:val="007540C9"/>
    <w:rsid w:val="00757FF9"/>
    <w:rsid w:val="00767518"/>
    <w:rsid w:val="007678F3"/>
    <w:rsid w:val="00767C1E"/>
    <w:rsid w:val="00770EC6"/>
    <w:rsid w:val="00772E79"/>
    <w:rsid w:val="007753CC"/>
    <w:rsid w:val="007821E7"/>
    <w:rsid w:val="00783BEF"/>
    <w:rsid w:val="007A0B1D"/>
    <w:rsid w:val="007A65EE"/>
    <w:rsid w:val="007B0B44"/>
    <w:rsid w:val="007B112C"/>
    <w:rsid w:val="007C0BD4"/>
    <w:rsid w:val="007C378F"/>
    <w:rsid w:val="007C4B85"/>
    <w:rsid w:val="007C7FB5"/>
    <w:rsid w:val="007D004E"/>
    <w:rsid w:val="007F43FA"/>
    <w:rsid w:val="007F501A"/>
    <w:rsid w:val="007F6336"/>
    <w:rsid w:val="00816E1E"/>
    <w:rsid w:val="00836FA7"/>
    <w:rsid w:val="00841ADD"/>
    <w:rsid w:val="00850D14"/>
    <w:rsid w:val="008541C2"/>
    <w:rsid w:val="008732B0"/>
    <w:rsid w:val="00882E7E"/>
    <w:rsid w:val="00883239"/>
    <w:rsid w:val="00896A94"/>
    <w:rsid w:val="008B173C"/>
    <w:rsid w:val="008B6AD4"/>
    <w:rsid w:val="008C7A94"/>
    <w:rsid w:val="008E1E04"/>
    <w:rsid w:val="008E7324"/>
    <w:rsid w:val="008F2A31"/>
    <w:rsid w:val="008F386E"/>
    <w:rsid w:val="008F3DDD"/>
    <w:rsid w:val="008F451A"/>
    <w:rsid w:val="009117C0"/>
    <w:rsid w:val="00913723"/>
    <w:rsid w:val="009151F7"/>
    <w:rsid w:val="0091657D"/>
    <w:rsid w:val="00932542"/>
    <w:rsid w:val="009329D0"/>
    <w:rsid w:val="00933383"/>
    <w:rsid w:val="00941824"/>
    <w:rsid w:val="00955AEE"/>
    <w:rsid w:val="00957D83"/>
    <w:rsid w:val="009768EE"/>
    <w:rsid w:val="00986DA6"/>
    <w:rsid w:val="009A23ED"/>
    <w:rsid w:val="009A3A0D"/>
    <w:rsid w:val="009A535B"/>
    <w:rsid w:val="009A7F26"/>
    <w:rsid w:val="009B414C"/>
    <w:rsid w:val="009B64C8"/>
    <w:rsid w:val="009B6D3C"/>
    <w:rsid w:val="009E282F"/>
    <w:rsid w:val="009F3511"/>
    <w:rsid w:val="009F795C"/>
    <w:rsid w:val="00A06116"/>
    <w:rsid w:val="00A11F38"/>
    <w:rsid w:val="00A27A95"/>
    <w:rsid w:val="00A30849"/>
    <w:rsid w:val="00A33257"/>
    <w:rsid w:val="00A43641"/>
    <w:rsid w:val="00A4598D"/>
    <w:rsid w:val="00A53BA9"/>
    <w:rsid w:val="00A6175F"/>
    <w:rsid w:val="00A62A06"/>
    <w:rsid w:val="00A7400D"/>
    <w:rsid w:val="00A7429B"/>
    <w:rsid w:val="00A818E1"/>
    <w:rsid w:val="00A821A3"/>
    <w:rsid w:val="00A840CE"/>
    <w:rsid w:val="00A86829"/>
    <w:rsid w:val="00AA3DD4"/>
    <w:rsid w:val="00AA6BC3"/>
    <w:rsid w:val="00AA6BE6"/>
    <w:rsid w:val="00AB2397"/>
    <w:rsid w:val="00AB2AF4"/>
    <w:rsid w:val="00AC3CC1"/>
    <w:rsid w:val="00AC7FBF"/>
    <w:rsid w:val="00AF685C"/>
    <w:rsid w:val="00B07CDC"/>
    <w:rsid w:val="00B07F01"/>
    <w:rsid w:val="00B10EAB"/>
    <w:rsid w:val="00B20BBF"/>
    <w:rsid w:val="00B32877"/>
    <w:rsid w:val="00B426B9"/>
    <w:rsid w:val="00B55541"/>
    <w:rsid w:val="00B611D1"/>
    <w:rsid w:val="00B66681"/>
    <w:rsid w:val="00B6779D"/>
    <w:rsid w:val="00B8058E"/>
    <w:rsid w:val="00B80AB7"/>
    <w:rsid w:val="00B922BC"/>
    <w:rsid w:val="00B959A2"/>
    <w:rsid w:val="00BA15A7"/>
    <w:rsid w:val="00BA4B4C"/>
    <w:rsid w:val="00BA59B9"/>
    <w:rsid w:val="00BB4FCF"/>
    <w:rsid w:val="00BC222B"/>
    <w:rsid w:val="00BC2E4A"/>
    <w:rsid w:val="00BC305B"/>
    <w:rsid w:val="00BC72A2"/>
    <w:rsid w:val="00BD5B06"/>
    <w:rsid w:val="00BD6887"/>
    <w:rsid w:val="00BD69C5"/>
    <w:rsid w:val="00C10763"/>
    <w:rsid w:val="00C11CFE"/>
    <w:rsid w:val="00C2260F"/>
    <w:rsid w:val="00C23E5E"/>
    <w:rsid w:val="00C44784"/>
    <w:rsid w:val="00C447C3"/>
    <w:rsid w:val="00C56A5A"/>
    <w:rsid w:val="00C6389C"/>
    <w:rsid w:val="00C6414C"/>
    <w:rsid w:val="00C74CE6"/>
    <w:rsid w:val="00C7599F"/>
    <w:rsid w:val="00C80947"/>
    <w:rsid w:val="00C83D32"/>
    <w:rsid w:val="00C84C03"/>
    <w:rsid w:val="00C93791"/>
    <w:rsid w:val="00C969B2"/>
    <w:rsid w:val="00CA29FA"/>
    <w:rsid w:val="00CA3612"/>
    <w:rsid w:val="00CA6D83"/>
    <w:rsid w:val="00CB2696"/>
    <w:rsid w:val="00CB3097"/>
    <w:rsid w:val="00CC1F90"/>
    <w:rsid w:val="00CE2371"/>
    <w:rsid w:val="00CE35BC"/>
    <w:rsid w:val="00CE7798"/>
    <w:rsid w:val="00CF5755"/>
    <w:rsid w:val="00D12766"/>
    <w:rsid w:val="00D15CBC"/>
    <w:rsid w:val="00D23F53"/>
    <w:rsid w:val="00D4363B"/>
    <w:rsid w:val="00D464E9"/>
    <w:rsid w:val="00D533AF"/>
    <w:rsid w:val="00D85C79"/>
    <w:rsid w:val="00D9473F"/>
    <w:rsid w:val="00DB4470"/>
    <w:rsid w:val="00DB526D"/>
    <w:rsid w:val="00DD0E4F"/>
    <w:rsid w:val="00DE6FBE"/>
    <w:rsid w:val="00DF10BA"/>
    <w:rsid w:val="00DF1C9F"/>
    <w:rsid w:val="00E015AE"/>
    <w:rsid w:val="00E03FDE"/>
    <w:rsid w:val="00E0558A"/>
    <w:rsid w:val="00E06431"/>
    <w:rsid w:val="00E15AA1"/>
    <w:rsid w:val="00E30048"/>
    <w:rsid w:val="00E309F3"/>
    <w:rsid w:val="00E3354C"/>
    <w:rsid w:val="00E432F0"/>
    <w:rsid w:val="00E44953"/>
    <w:rsid w:val="00E44D21"/>
    <w:rsid w:val="00E565CB"/>
    <w:rsid w:val="00E60211"/>
    <w:rsid w:val="00E63692"/>
    <w:rsid w:val="00E65436"/>
    <w:rsid w:val="00E73769"/>
    <w:rsid w:val="00E7502C"/>
    <w:rsid w:val="00E86F43"/>
    <w:rsid w:val="00E90383"/>
    <w:rsid w:val="00E93319"/>
    <w:rsid w:val="00E93336"/>
    <w:rsid w:val="00EA47CF"/>
    <w:rsid w:val="00EB0D68"/>
    <w:rsid w:val="00EB58AC"/>
    <w:rsid w:val="00EB5F69"/>
    <w:rsid w:val="00EC5794"/>
    <w:rsid w:val="00ED03E5"/>
    <w:rsid w:val="00EE5149"/>
    <w:rsid w:val="00F00446"/>
    <w:rsid w:val="00F00710"/>
    <w:rsid w:val="00F21850"/>
    <w:rsid w:val="00F272B9"/>
    <w:rsid w:val="00F27F46"/>
    <w:rsid w:val="00F423AA"/>
    <w:rsid w:val="00F47352"/>
    <w:rsid w:val="00F61AB3"/>
    <w:rsid w:val="00F66A64"/>
    <w:rsid w:val="00F872CB"/>
    <w:rsid w:val="00F9495D"/>
    <w:rsid w:val="00FA14FD"/>
    <w:rsid w:val="00FA23A3"/>
    <w:rsid w:val="00FA5D91"/>
    <w:rsid w:val="00FA7131"/>
    <w:rsid w:val="00FB0878"/>
    <w:rsid w:val="00FC1831"/>
    <w:rsid w:val="00FC60BB"/>
    <w:rsid w:val="00FC63C3"/>
    <w:rsid w:val="00FE43AB"/>
    <w:rsid w:val="00FF4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D4B3E2B"/>
  <w14:defaultImageDpi w14:val="32767"/>
  <w15:chartTrackingRefBased/>
  <w15:docId w15:val="{A590B2BD-1112-CC4C-AAF0-175F7D04B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329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29D0"/>
    <w:rPr>
      <w:sz w:val="16"/>
      <w:szCs w:val="16"/>
    </w:rPr>
  </w:style>
  <w:style w:type="paragraph" w:styleId="ListParagraph">
    <w:name w:val="List Paragraph"/>
    <w:basedOn w:val="Normal"/>
    <w:uiPriority w:val="34"/>
    <w:qFormat/>
    <w:rsid w:val="009B414C"/>
    <w:pPr>
      <w:ind w:left="720"/>
      <w:contextualSpacing/>
    </w:pPr>
  </w:style>
  <w:style w:type="paragraph" w:customStyle="1" w:styleId="EndNoteBibliographyTitle">
    <w:name w:val="EndNote Bibliography Title"/>
    <w:basedOn w:val="Normal"/>
    <w:link w:val="EndNoteBibliographyTitleChar"/>
    <w:rsid w:val="009A3A0D"/>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9A3A0D"/>
    <w:rPr>
      <w:rFonts w:ascii="Calibri" w:hAnsi="Calibri" w:cs="Calibri"/>
      <w:lang w:val="en-US"/>
    </w:rPr>
  </w:style>
  <w:style w:type="paragraph" w:customStyle="1" w:styleId="EndNoteBibliography">
    <w:name w:val="EndNote Bibliography"/>
    <w:basedOn w:val="Normal"/>
    <w:link w:val="EndNoteBibliographyChar"/>
    <w:rsid w:val="009A3A0D"/>
    <w:rPr>
      <w:rFonts w:ascii="Calibri" w:hAnsi="Calibri" w:cs="Calibri"/>
      <w:lang w:val="en-US"/>
    </w:rPr>
  </w:style>
  <w:style w:type="character" w:customStyle="1" w:styleId="EndNoteBibliographyChar">
    <w:name w:val="EndNote Bibliography Char"/>
    <w:basedOn w:val="DefaultParagraphFont"/>
    <w:link w:val="EndNoteBibliography"/>
    <w:rsid w:val="009A3A0D"/>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1484</Words>
  <Characters>8460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MITCHELL WOOD</dc:creator>
  <cp:keywords/>
  <dc:description/>
  <cp:lastModifiedBy>BENJAMIN MITCHELL WOOD</cp:lastModifiedBy>
  <cp:revision>8</cp:revision>
  <dcterms:created xsi:type="dcterms:W3CDTF">2023-09-06T08:25:00Z</dcterms:created>
  <dcterms:modified xsi:type="dcterms:W3CDTF">2023-09-06T13:09:00Z</dcterms:modified>
</cp:coreProperties>
</file>