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CFE4" w14:textId="77777777" w:rsidR="00E64448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S1 </w:t>
      </w:r>
      <w:r>
        <w:rPr>
          <w:rFonts w:ascii="Times New Roman" w:hAnsi="Times New Roman" w:cs="Times New Roman"/>
          <w:sz w:val="24"/>
        </w:rPr>
        <w:t xml:space="preserve">MYL2 expression and clinicopathological characteristics in </w:t>
      </w:r>
      <w:r>
        <w:rPr>
          <w:rFonts w:ascii="Times New Roman" w:hAnsi="Times New Roman" w:cs="Times New Roman" w:hint="eastAsia"/>
          <w:sz w:val="24"/>
        </w:rPr>
        <w:t>HNSCC</w:t>
      </w:r>
      <w:r>
        <w:rPr>
          <w:rFonts w:ascii="Times New Roman" w:hAnsi="Times New Roman" w:cs="Times New Roman"/>
          <w:sz w:val="24"/>
        </w:rPr>
        <w:t>: a logistic regression analysis</w:t>
      </w:r>
    </w:p>
    <w:p w14:paraId="0517FC41" w14:textId="77777777" w:rsidR="00E64448" w:rsidRDefault="00E64448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73"/>
        <w:gridCol w:w="1061"/>
        <w:gridCol w:w="1992"/>
        <w:gridCol w:w="1011"/>
      </w:tblGrid>
      <w:tr w:rsidR="00E64448" w14:paraId="1ABDA350" w14:textId="77777777">
        <w:trPr>
          <w:cantSplit/>
          <w:jc w:val="center"/>
        </w:trPr>
        <w:tc>
          <w:tcPr>
            <w:tcW w:w="477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F35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8C3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Total(N)</w:t>
            </w:r>
          </w:p>
        </w:tc>
        <w:tc>
          <w:tcPr>
            <w:tcW w:w="199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D658" w14:textId="790C4876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Odds Ratio</w:t>
            </w:r>
            <w:r w:rsidR="00077B1B"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(OR)</w:t>
            </w:r>
          </w:p>
        </w:tc>
        <w:tc>
          <w:tcPr>
            <w:tcW w:w="101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A1E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E64448" w14:paraId="2F28C116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F4B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Age (&gt;60 vs. &lt;=60)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540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8072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0.806 (0.567-1.144)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74B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E64448" w14:paraId="482F0051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447B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8EA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2A0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0.922 (0.620-1.369)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4F1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</w:tr>
      <w:tr w:rsidR="00E64448" w14:paraId="0CC50825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10E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T stage (T3&amp;T4 vs. T1&amp;T2)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208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72E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0.817 (0.564-1.182)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5F7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E64448" w14:paraId="37CD0B27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1CB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 stage (N2&amp;N3 vs. N0&amp;N1)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E8A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596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0.746 (0.509-1.090)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FBA5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0.130</w:t>
            </w:r>
          </w:p>
        </w:tc>
      </w:tr>
      <w:tr w:rsidR="00E64448" w14:paraId="061F6E23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A5C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Clinical stage (Stage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III&amp;Stage</w:t>
            </w:r>
            <w:proofErr w:type="spellEnd"/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IV vs. Stage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I&amp;Stage</w:t>
            </w:r>
            <w:proofErr w:type="spellEnd"/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II)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3EC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488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F5D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0.574 (0.372-0.876)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E423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0.011</w:t>
            </w:r>
          </w:p>
        </w:tc>
      </w:tr>
      <w:tr w:rsidR="00E64448" w14:paraId="225A130C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D7A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Radiation therapy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2E0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441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9E9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0.649 (0.436-0.963)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AF9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 w:themeColor="text1"/>
                <w:kern w:val="0"/>
                <w:sz w:val="18"/>
                <w:szCs w:val="18"/>
              </w:rPr>
              <w:t>0.032</w:t>
            </w:r>
          </w:p>
        </w:tc>
      </w:tr>
      <w:tr w:rsidR="00E64448" w14:paraId="706E5E59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743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Histologic grade (G3&amp;G4 vs. G1&amp;G2)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7A4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536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0.843 (0.557-1.272)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61F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 w:rsidR="00E64448" w14:paraId="481EE198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699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Alcohol history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265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392D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1.140 (0.781-1.668)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42C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 w:rsidR="00E64448" w14:paraId="1DFE32E4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6B3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C205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466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0.754 (0.491-1.152)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ED9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E64448" w14:paraId="4763BDAC" w14:textId="77777777"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30C6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Lymphovascular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 invasion (Yes vs. No)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82E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A681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1.363 (0.874-2.133)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8904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0.173</w:t>
            </w:r>
          </w:p>
        </w:tc>
      </w:tr>
    </w:tbl>
    <w:p w14:paraId="58704D12" w14:textId="77777777" w:rsidR="00E64448" w:rsidRDefault="00E64448">
      <w:pPr>
        <w:rPr>
          <w:rFonts w:ascii="Times New Roman" w:hAnsi="Times New Roman" w:cs="Times New Roman"/>
          <w:sz w:val="24"/>
        </w:rPr>
      </w:pPr>
    </w:p>
    <w:p w14:paraId="6749805B" w14:textId="77777777" w:rsidR="00E64448" w:rsidRDefault="00000000">
      <w:pPr>
        <w:spacing w:before="100" w:after="100"/>
        <w:ind w:left="100" w:right="100"/>
        <w:jc w:val="center"/>
        <w:rPr>
          <w:rFonts w:ascii="Times New Roman" w:eastAsia="DejaVu Sans" w:hAnsi="Times New Roman" w:cs="Times New Roman"/>
          <w:color w:val="000000"/>
          <w:sz w:val="18"/>
          <w:szCs w:val="18"/>
        </w:rPr>
      </w:pPr>
      <w:r>
        <w:rPr>
          <w:rFonts w:ascii="Times New Roman" w:eastAsia="DejaVu Sans" w:hAnsi="Times New Roman" w:cs="Times New Roman"/>
          <w:color w:val="000000"/>
          <w:sz w:val="18"/>
          <w:szCs w:val="18"/>
        </w:rPr>
        <w:t>T: topographical distribution; N: lymph node metastases; M: distant metastasis; Bold values are statistically significant (</w:t>
      </w:r>
      <w:r>
        <w:rPr>
          <w:rFonts w:ascii="Times New Roman" w:eastAsia="DejaVu Sans" w:hAnsi="Times New Roman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&lt;</w:t>
      </w:r>
      <w:r>
        <w:rPr>
          <w:rFonts w:ascii="Times New Roman" w:eastAsia="DejaVu Sans" w:hAnsi="Times New Roman" w:cs="Times New Roman"/>
          <w:color w:val="000000"/>
          <w:sz w:val="18"/>
          <w:szCs w:val="18"/>
        </w:rPr>
        <w:t xml:space="preserve"> 0.05).</w:t>
      </w:r>
    </w:p>
    <w:p w14:paraId="09CE1494" w14:textId="6744CA7B" w:rsidR="00077B1B" w:rsidRDefault="00077B1B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68CAA0E8" w14:textId="2FE5163F" w:rsidR="00E64448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S2 </w:t>
      </w:r>
      <w:r>
        <w:rPr>
          <w:rFonts w:ascii="Times New Roman" w:hAnsi="Times New Roman" w:cs="Times New Roman"/>
          <w:sz w:val="24"/>
        </w:rPr>
        <w:t>Cox regression analysis of the clinical variables, and overall survival in TCGA cohorts.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 w:rsidR="00E64448" w14:paraId="3E9A8930" w14:textId="77777777">
        <w:trPr>
          <w:cantSplit/>
          <w:jc w:val="center"/>
        </w:trPr>
        <w:tc>
          <w:tcPr>
            <w:tcW w:w="1440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DC2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A291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Total(N)</w:t>
            </w:r>
          </w:p>
        </w:tc>
        <w:tc>
          <w:tcPr>
            <w:tcW w:w="3162" w:type="dxa"/>
            <w:gridSpan w:val="2"/>
            <w:tcBorders>
              <w:top w:val="single" w:sz="12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945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6CB8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6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59F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E64448" w14:paraId="3363A7FC" w14:textId="77777777">
        <w:trPr>
          <w:cantSplit/>
          <w:jc w:val="center"/>
        </w:trPr>
        <w:tc>
          <w:tcPr>
            <w:tcW w:w="14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8DC736" w14:textId="77777777" w:rsidR="00E64448" w:rsidRDefault="00E64448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20351D" w14:textId="77777777" w:rsidR="00E64448" w:rsidRDefault="00E64448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72D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DC7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E421E16" w14:textId="77777777" w:rsidR="00E64448" w:rsidRDefault="00E64448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2AE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B4C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E64448" w14:paraId="1B8855F6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2DC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5D8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6A26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C58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A2FD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ABE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E7FC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53C7953A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86A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&lt;=60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593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651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4D3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08C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61B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250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53BABDF7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B7A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&gt;60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270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7CA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1.252 (0.956-1.639)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CF2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3B9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13F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5A6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4E42608F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8E7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332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6E0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2D1B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56A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ABA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992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731335BD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1D4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D42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03C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F62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048F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8C1D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F55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3769A332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8EC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EDFD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8DB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0.764 (0.574-1.018)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E30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0C4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163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0.767 (0.499-1.178)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AB1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E64448" w14:paraId="45A3D9F4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946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T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E1B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59C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5D38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081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E63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DA7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62CB39F3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2D7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T1&amp;T2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426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EDB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605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B68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545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063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6CC19DA0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094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T3&amp;T4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0A9A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8A3D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1.245 (0.932-1.661)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350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0.137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59C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7B7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2DBD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2ABFA4B3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8E78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0F2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B86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B10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B46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C37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A223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6528741C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1F2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N0&amp;N1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D08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3E6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F4B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601E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6EB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D84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6B4A2A0A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3F3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N2&amp;N3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53A8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6E0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1.384 (1.040-1.842)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1CD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7E0D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A9C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1.666 (1.089-2.549)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87E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E64448" w14:paraId="022F601E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B74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M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B2C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290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DBF8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A9C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650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862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73BF1B8B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045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423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A5E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776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ECB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B55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BA4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1A89A3BB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96F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31C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C9D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4.745 (1.748-12.883)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6D8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445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D5EF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7.820 (1.045-58.521)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2B0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E64448" w14:paraId="6F1BEEAD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FDE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Clinical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268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48A3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5A2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441D8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EAD6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EE4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71555F29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05E3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I&amp;Stage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 II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53D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8CF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7BC9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C5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9BA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3EE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1DF3603C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A50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III&amp;Stage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 IV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BE3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8C7C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1.217 (0.878-1.688)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E76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266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AF7A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2D5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7D659FAB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8F2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bookmarkStart w:id="0" w:name="_Hlk105335470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Radiation therapy</w:t>
            </w:r>
            <w:bookmarkEnd w:id="0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7FB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B5E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FC5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646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F35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63F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6125540E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521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16A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8D1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5F7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9BCC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97B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CAB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507BD53F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7B1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E2C8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F0FF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0.613 (0.452-0.831)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5015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B1A3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5DA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0.482 (0.312-0.743)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CCA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64448" w14:paraId="63D2A5A1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A84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Lymphovascular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 invasion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4963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2ACF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17CE8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A493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8E0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A26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36DB5CF0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0BA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AF7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9CB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7BA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D25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269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85C3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24873525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278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0C5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EBB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1.699 (1.211-2.384)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FA8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7F96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764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2.018 (1.300-3.131)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8B5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E64448" w14:paraId="36191043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956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Lymphnode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 xml:space="preserve"> neck dissection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726E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321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1D4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2758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47E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BA0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3F3B52A9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1B32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DC3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308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4DAA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233C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A2A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525B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27191913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02E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F64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7DE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0.731 (0.526-1.016)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CF6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883E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FACF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0.693 (0.328-1.464)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055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E64448" w14:paraId="35CFFA9B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BD6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5E78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922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565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B9E5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F56D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547C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0DE4A86D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D2F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G1&amp;G2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329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6AB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3670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1F42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0624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45E1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71C3E7BB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0F5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G3&amp;G4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BA8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784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0.939 (0.688-1.282)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344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0.692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8AB9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B4BF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DF8C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</w:tr>
      <w:tr w:rsidR="00E64448" w14:paraId="31AA46D4" w14:textId="77777777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E40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MYL2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1940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557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1.051 (1.001-1.104)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475C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07C7" w14:textId="77777777" w:rsidR="00E64448" w:rsidRDefault="00E64448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09B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1.068 (1.001-1.139)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F36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MS Mincho" w:hAnsi="Times New Roman" w:cs="Times New Roman"/>
                <w:kern w:val="0"/>
                <w:sz w:val="24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</w:tr>
    </w:tbl>
    <w:p w14:paraId="6C6C0463" w14:textId="77777777" w:rsidR="00E64448" w:rsidRDefault="00E64448">
      <w:pPr>
        <w:rPr>
          <w:rFonts w:ascii="Times New Roman" w:hAnsi="Times New Roman" w:cs="Times New Roman"/>
          <w:sz w:val="24"/>
        </w:rPr>
      </w:pPr>
    </w:p>
    <w:p w14:paraId="06F12DD9" w14:textId="77777777" w:rsidR="00E64448" w:rsidRDefault="00000000">
      <w:pPr>
        <w:spacing w:before="100" w:after="100"/>
        <w:ind w:left="100" w:right="100"/>
        <w:jc w:val="center"/>
        <w:rPr>
          <w:rFonts w:ascii="Times New Roman" w:eastAsia="DejaVu Sans" w:hAnsi="Times New Roman" w:cs="Times New Roman"/>
          <w:color w:val="000000"/>
          <w:sz w:val="18"/>
          <w:szCs w:val="18"/>
        </w:rPr>
      </w:pPr>
      <w:r>
        <w:rPr>
          <w:rFonts w:ascii="Times New Roman" w:eastAsia="DejaVu Sans" w:hAnsi="Times New Roman" w:cs="Times New Roman"/>
          <w:color w:val="000000"/>
          <w:sz w:val="18"/>
          <w:szCs w:val="18"/>
        </w:rPr>
        <w:t>T: topographical distribution; N: lymph node metastases; M: distant metastasis; Bold values are statistically significant (</w:t>
      </w:r>
      <w:r>
        <w:rPr>
          <w:rFonts w:ascii="Times New Roman" w:eastAsia="DejaVu Sans" w:hAnsi="Times New Roman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&lt;</w:t>
      </w:r>
      <w:r>
        <w:rPr>
          <w:rFonts w:ascii="Times New Roman" w:eastAsia="DejaVu Sans" w:hAnsi="Times New Roman" w:cs="Times New Roman"/>
          <w:color w:val="000000"/>
          <w:sz w:val="18"/>
          <w:szCs w:val="18"/>
        </w:rPr>
        <w:t xml:space="preserve"> 0.05).</w:t>
      </w:r>
    </w:p>
    <w:p w14:paraId="6D789640" w14:textId="77777777" w:rsidR="00E64448" w:rsidRDefault="00E64448">
      <w:pPr>
        <w:rPr>
          <w:rFonts w:ascii="Times New Roman" w:hAnsi="Times New Roman" w:cs="Times New Roman"/>
          <w:sz w:val="24"/>
        </w:rPr>
      </w:pPr>
    </w:p>
    <w:p w14:paraId="46290CD6" w14:textId="029346C8" w:rsidR="00077B1B" w:rsidRDefault="00077B1B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71113F8C" w14:textId="77777777" w:rsidR="00E64448" w:rsidRDefault="00000000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Table S3 </w:t>
      </w:r>
      <w:r>
        <w:rPr>
          <w:rFonts w:ascii="Times New Roman" w:hAnsi="Times New Roman" w:cs="Times New Roman"/>
          <w:sz w:val="24"/>
        </w:rPr>
        <w:t xml:space="preserve">The 10 most significant pathways with q-value </w:t>
      </w:r>
    </w:p>
    <w:p w14:paraId="3DBFBF0B" w14:textId="77777777" w:rsidR="00E64448" w:rsidRDefault="00E64448">
      <w:pPr>
        <w:widowControl/>
        <w:jc w:val="center"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tbl>
      <w:tblPr>
        <w:tblW w:w="8260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1667"/>
        <w:gridCol w:w="1818"/>
        <w:gridCol w:w="1147"/>
        <w:gridCol w:w="1050"/>
        <w:gridCol w:w="1085"/>
        <w:gridCol w:w="1493"/>
      </w:tblGrid>
      <w:tr w:rsidR="00E64448" w14:paraId="2830739D" w14:textId="77777777">
        <w:trPr>
          <w:trHeight w:val="927"/>
        </w:trPr>
        <w:tc>
          <w:tcPr>
            <w:tcW w:w="166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010D31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HNSC-MYL2</w:t>
            </w:r>
          </w:p>
        </w:tc>
        <w:tc>
          <w:tcPr>
            <w:tcW w:w="18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7F589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075C7D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NES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1811CD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0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13C166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p.adjust</w:t>
            </w:r>
            <w:proofErr w:type="spellEnd"/>
            <w:proofErr w:type="gramEnd"/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93382D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q </w:t>
            </w:r>
            <w:r>
              <w:rPr>
                <w:rFonts w:ascii="Times New Roman" w:eastAsia="DejaVu San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E64448" w14:paraId="7F79293A" w14:textId="77777777">
        <w:trPr>
          <w:trHeight w:val="280"/>
        </w:trPr>
        <w:tc>
          <w:tcPr>
            <w:tcW w:w="1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0164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hsa04260</w:t>
            </w:r>
          </w:p>
        </w:tc>
        <w:tc>
          <w:tcPr>
            <w:tcW w:w="18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30C6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Cardiac muscle contraction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077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2.406614239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637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1.00E-10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089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9.80E-09</w:t>
            </w:r>
          </w:p>
        </w:tc>
        <w:tc>
          <w:tcPr>
            <w:tcW w:w="14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C825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8.91E-09</w:t>
            </w:r>
          </w:p>
        </w:tc>
      </w:tr>
      <w:tr w:rsidR="00E64448" w14:paraId="7C34B388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849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hsa05410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6BB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Hypertrophic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798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2.393740063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550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1.00E-10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ECF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A54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8.91E-09</w:t>
            </w:r>
          </w:p>
        </w:tc>
      </w:tr>
      <w:tr w:rsidR="00E64448" w14:paraId="6EF6D49C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717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hsa04261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2B2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Adrenergic signaling in cardiomyocytes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8A5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2.3755821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887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1.00E-10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0FC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0BC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8.91E-09</w:t>
            </w:r>
          </w:p>
        </w:tc>
      </w:tr>
      <w:tr w:rsidR="00E64448" w14:paraId="39281142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5B4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hsa05414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C7A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Dilated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A0E9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2.347137913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83E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1.18E-10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6A8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3BB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8.91E-09</w:t>
            </w:r>
          </w:p>
        </w:tc>
      </w:tr>
      <w:tr w:rsidR="00E64448" w14:paraId="5D947BFC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DDC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hsa04510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FC1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Focal adhesion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3F0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2.198534693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967B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1.79E-10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97F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1.18E-08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C4A9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1.08E-08</w:t>
            </w:r>
          </w:p>
        </w:tc>
      </w:tr>
      <w:tr w:rsidR="00E64448" w14:paraId="51DC404B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554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hsa05412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543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Arrhythmogenic right ventricular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D69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2.215597484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59A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3.30E-08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9D6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1.82E-06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F7A8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1.66E-06</w:t>
            </w:r>
          </w:p>
        </w:tc>
      </w:tr>
      <w:tr w:rsidR="00E64448" w14:paraId="373B7C8C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606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hsa04020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28A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Calcium signaling pathway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759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1.871816152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F82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5.82E-06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936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0.000274998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24C6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0.000250117</w:t>
            </w:r>
          </w:p>
        </w:tc>
      </w:tr>
      <w:tr w:rsidR="00E64448" w14:paraId="4368B661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DEA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hsa04022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6831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cGMP-PKG signaling pathway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F55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1.927660712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1002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8.05E-06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F61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0.000332981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AB20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0.000302854</w:t>
            </w:r>
          </w:p>
        </w:tc>
      </w:tr>
      <w:tr w:rsidR="00E64448" w14:paraId="6126069F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733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hsa04512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E5DE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ECM-receptor interaction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23CF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1.980107153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6B7A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5.20E-05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18C3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0.001433124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CAD4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0.001303462</w:t>
            </w:r>
          </w:p>
        </w:tc>
      </w:tr>
      <w:tr w:rsidR="00E64448" w14:paraId="2088D774" w14:textId="77777777">
        <w:trPr>
          <w:trHeight w:val="280"/>
        </w:trPr>
        <w:tc>
          <w:tcPr>
            <w:tcW w:w="16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D8F94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hsa05416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DFC16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Viral myocarditis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0B777D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1.941560841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F3E5E7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5.01E-05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C7B38C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0.001433124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3FD988" w14:textId="77777777" w:rsidR="00E64448" w:rsidRDefault="00000000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kern w:val="0"/>
                <w:sz w:val="18"/>
                <w:szCs w:val="18"/>
              </w:rPr>
              <w:t>0.001303462</w:t>
            </w:r>
          </w:p>
        </w:tc>
      </w:tr>
    </w:tbl>
    <w:p w14:paraId="3CBE3497" w14:textId="77777777" w:rsidR="00E64448" w:rsidRDefault="00E64448"/>
    <w:p w14:paraId="67F44837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21834B23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4E6396F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F36283F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6BB2D951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747EFDD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2DC9B971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2EDBFAD2" w14:textId="77777777" w:rsidR="00E64448" w:rsidRDefault="00E64448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8320ACD" w14:textId="77777777" w:rsidR="00E64448" w:rsidRDefault="00000000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noProof/>
          <w:color w:val="000000"/>
          <w:kern w:val="0"/>
          <w:sz w:val="24"/>
          <w:lang w:bidi="ar"/>
        </w:rPr>
        <w:drawing>
          <wp:inline distT="0" distB="0" distL="114300" distR="114300" wp14:anchorId="0A8678BE" wp14:editId="63D2D3B5">
            <wp:extent cx="5964555" cy="5815965"/>
            <wp:effectExtent l="0" t="0" r="4445" b="635"/>
            <wp:docPr id="1" name="图片 1" descr="AnalysisReport.te6ep8raf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nalysisReport.te6ep8raf_01"/>
                    <pic:cNvPicPr>
                      <a:picLocks noChangeAspect="1"/>
                    </pic:cNvPicPr>
                  </pic:nvPicPr>
                  <pic:blipFill>
                    <a:blip r:embed="rId6"/>
                    <a:srcRect l="22014" t="22339" r="25851" b="2937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581596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2549" w14:textId="77777777" w:rsidR="00067E3C" w:rsidRDefault="00067E3C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42D5435F" w14:textId="11E1AF63" w:rsidR="00E64448" w:rsidRDefault="00000000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Figure S1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Cluster-ID is used to color nodes, and nodes with the same cluster-ID are generally close to one other</w:t>
      </w:r>
      <w:r w:rsidR="00077B1B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(</w:t>
      </w:r>
      <w:proofErr w:type="spellStart"/>
      <w:r>
        <w:rPr>
          <w:rFonts w:ascii="Times New Roman" w:hAnsi="Times New Roman" w:cs="Times New Roman"/>
          <w:sz w:val="24"/>
        </w:rPr>
        <w:t>metascape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).</w:t>
      </w:r>
    </w:p>
    <w:sectPr w:rsidR="00E64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57C9" w14:textId="77777777" w:rsidR="00F95985" w:rsidRDefault="00F95985" w:rsidP="00077B1B">
      <w:r>
        <w:separator/>
      </w:r>
    </w:p>
  </w:endnote>
  <w:endnote w:type="continuationSeparator" w:id="0">
    <w:p w14:paraId="28B0D765" w14:textId="77777777" w:rsidR="00F95985" w:rsidRDefault="00F95985" w:rsidP="0007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Segoe Print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B703" w14:textId="77777777" w:rsidR="00F95985" w:rsidRDefault="00F95985" w:rsidP="00077B1B">
      <w:r>
        <w:separator/>
      </w:r>
    </w:p>
  </w:footnote>
  <w:footnote w:type="continuationSeparator" w:id="0">
    <w:p w14:paraId="789115C3" w14:textId="77777777" w:rsidR="00F95985" w:rsidRDefault="00F95985" w:rsidP="0007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YyMWJhMGUwOTc5NGYyZWY5MmUyODY5OTVkZDA1NWIifQ=="/>
  </w:docVars>
  <w:rsids>
    <w:rsidRoot w:val="00E64448"/>
    <w:rsid w:val="00067E3C"/>
    <w:rsid w:val="00077B1B"/>
    <w:rsid w:val="004D1E6B"/>
    <w:rsid w:val="00E64448"/>
    <w:rsid w:val="00F95985"/>
    <w:rsid w:val="04AC6167"/>
    <w:rsid w:val="19A11767"/>
    <w:rsid w:val="3518758D"/>
    <w:rsid w:val="394003E2"/>
    <w:rsid w:val="47D904F2"/>
    <w:rsid w:val="54B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73829"/>
  <w15:docId w15:val="{BCBA6A93-EA9E-410D-A50A-550CAEBF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77B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77B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77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77B1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62788</dc:creator>
  <cp:lastModifiedBy>wang zhaojun</cp:lastModifiedBy>
  <cp:revision>4</cp:revision>
  <dcterms:created xsi:type="dcterms:W3CDTF">2022-08-31T02:23:00Z</dcterms:created>
  <dcterms:modified xsi:type="dcterms:W3CDTF">2023-08-10T07:41:00Z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7390CE346653478D9CE20C8F939577E7</vt:lpwstr>
  </property>
</Properties>
</file>