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DB9" w:rsidRPr="00000C27" w:rsidRDefault="00CF5548">
      <w:pPr>
        <w:rPr>
          <w:b/>
        </w:rPr>
      </w:pPr>
      <w:r w:rsidRPr="00000C27">
        <w:rPr>
          <w:rFonts w:hint="eastAsia"/>
          <w:b/>
        </w:rPr>
        <w:t>Supplementary</w:t>
      </w:r>
      <w:r w:rsidRPr="00000C27">
        <w:rPr>
          <w:b/>
        </w:rPr>
        <w:t xml:space="preserve"> </w:t>
      </w:r>
      <w:r w:rsidR="004B190A">
        <w:rPr>
          <w:b/>
        </w:rPr>
        <w:t>F</w:t>
      </w:r>
      <w:r w:rsidR="004B190A">
        <w:rPr>
          <w:rFonts w:hint="eastAsia"/>
          <w:b/>
        </w:rPr>
        <w:t>igures</w:t>
      </w:r>
      <w:bookmarkStart w:id="0" w:name="_GoBack"/>
      <w:bookmarkEnd w:id="0"/>
    </w:p>
    <w:p w:rsidR="00CF5548" w:rsidRDefault="00CA02F7">
      <w:r>
        <w:rPr>
          <w:rFonts w:hint="eastAsia"/>
        </w:rPr>
        <w:t>Su</w:t>
      </w:r>
      <w:r>
        <w:t>ppl. Figure1</w:t>
      </w:r>
    </w:p>
    <w:p w:rsidR="00CA02F7" w:rsidRDefault="00CA02F7">
      <w:r>
        <w:rPr>
          <w:noProof/>
        </w:rPr>
        <w:drawing>
          <wp:inline distT="0" distB="0" distL="0" distR="0">
            <wp:extent cx="5274310" cy="3827858"/>
            <wp:effectExtent l="0" t="0" r="2540" b="1270"/>
            <wp:docPr id="1" name="图片 1" descr="C:\Users\zhaoz\AppData\Local\Microsoft\Windows\INetCacheContent.Word\DDR S.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oz\AppData\Local\Microsoft\Windows\INetCacheContent.Word\DDR S.F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82E" w:rsidRDefault="0000182E">
      <w:r>
        <w:rPr>
          <w:rFonts w:hint="eastAsia"/>
        </w:rPr>
        <w:t>(A</w:t>
      </w:r>
      <w:r>
        <w:t>-B</w:t>
      </w:r>
      <w:r>
        <w:rPr>
          <w:rFonts w:hint="eastAsia"/>
        </w:rPr>
        <w:t>)</w:t>
      </w:r>
      <w:r>
        <w:t xml:space="preserve"> Dot plot showing the distribution of SNV levels in HCC patients (A) and deletion-up genes (B).</w:t>
      </w:r>
    </w:p>
    <w:p w:rsidR="0000182E" w:rsidRDefault="0000182E">
      <w:r>
        <w:t>(C) Heatmap showing the DNA levels (the left panel) and mRNA expression levels (the right panel) correlation between DNA damage repair-related genes.</w:t>
      </w:r>
    </w:p>
    <w:p w:rsidR="0000182E" w:rsidRDefault="0000182E">
      <w:r>
        <w:t>(D) Violin plot showing the mutation counts of DDR-related genes in HCC patients.</w:t>
      </w:r>
    </w:p>
    <w:p w:rsidR="0000182E" w:rsidRDefault="0000182E">
      <w:r>
        <w:t>(E-F) Heatmap showing the expression pattern of all DDR genes (E) and deletion-up genes (F) in the TCGA LIHC database.</w:t>
      </w:r>
    </w:p>
    <w:p w:rsidR="0000182E" w:rsidRDefault="0000182E">
      <w:r>
        <w:rPr>
          <w:rFonts w:hint="eastAsia"/>
        </w:rPr>
        <w:t>(</w:t>
      </w:r>
      <w:r>
        <w:t>G) GSEA analysis results showing the enrichment of DDR pathways in patients overexpressing deletion-up genes.</w:t>
      </w:r>
    </w:p>
    <w:p w:rsidR="0000182E" w:rsidRDefault="0000182E">
      <w:r>
        <w:t>(H) Kaplan-Meier analysis showing the unfavorable prognosis of HCC patients with different levels of deletion-up genes.</w:t>
      </w:r>
    </w:p>
    <w:p w:rsidR="00CA02F7" w:rsidRDefault="00CA02F7">
      <w:pPr>
        <w:widowControl/>
        <w:jc w:val="left"/>
      </w:pPr>
      <w:r>
        <w:br w:type="page"/>
      </w:r>
    </w:p>
    <w:p w:rsidR="00CA02F7" w:rsidRDefault="00CA02F7">
      <w:r>
        <w:rPr>
          <w:rFonts w:hint="eastAsia"/>
        </w:rPr>
        <w:lastRenderedPageBreak/>
        <w:t>S</w:t>
      </w:r>
      <w:r>
        <w:t>uppl. Figure2</w:t>
      </w:r>
    </w:p>
    <w:p w:rsidR="00CA02F7" w:rsidRDefault="00CA02F7">
      <w:r>
        <w:rPr>
          <w:noProof/>
        </w:rPr>
        <w:drawing>
          <wp:inline distT="0" distB="0" distL="0" distR="0">
            <wp:extent cx="4523999" cy="6769100"/>
            <wp:effectExtent l="0" t="0" r="2540" b="0"/>
            <wp:docPr id="2" name="图片 2" descr="C:\Users\zhaoz\AppData\Local\Microsoft\Windows\INetCacheContent.Word\DDR S.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aoz\AppData\Local\Microsoft\Windows\INetCacheContent.Word\DDR S.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909" cy="662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82E" w:rsidRDefault="0000182E">
      <w:r>
        <w:rPr>
          <w:rFonts w:hint="eastAsia"/>
        </w:rPr>
        <w:t>(A</w:t>
      </w:r>
      <w:r>
        <w:t xml:space="preserve">-B) Top mutual motifs found with the MEME website in deletion-up/amplification genes (A) or amplification-down (B) genes. </w:t>
      </w:r>
    </w:p>
    <w:p w:rsidR="0000182E" w:rsidRDefault="0000182E">
      <w:r>
        <w:t>(C) Binding motifs of ZNF708, TFAP2A, and ZNF460.</w:t>
      </w:r>
    </w:p>
    <w:p w:rsidR="0000182E" w:rsidRDefault="0000182E">
      <w:r>
        <w:t>(D) Expression levels of different transcription factors in the TCGA LIHC database.</w:t>
      </w:r>
    </w:p>
    <w:p w:rsidR="0000182E" w:rsidRDefault="0000182E">
      <w:r>
        <w:t>(E)</w:t>
      </w:r>
      <w:r w:rsidRPr="0000182E">
        <w:t xml:space="preserve"> </w:t>
      </w:r>
      <w:r>
        <w:t>Kaplan-Meier analysis comparing the prognosis of</w:t>
      </w:r>
      <w:r w:rsidRPr="0000182E">
        <w:t xml:space="preserve"> </w:t>
      </w:r>
      <w:r>
        <w:t>patients with different ZNF708, TFAP2A, and ZNF460 levels.</w:t>
      </w:r>
    </w:p>
    <w:p w:rsidR="0000182E" w:rsidRDefault="0000182E">
      <w:r>
        <w:t>(F) Dot plot showing the expression levels of ZNF708, TFAP2A and ZNF460 in HCC patients with different CNV levels.</w:t>
      </w:r>
    </w:p>
    <w:p w:rsidR="0000182E" w:rsidRDefault="0000182E">
      <w:r>
        <w:lastRenderedPageBreak/>
        <w:t>(G) Pie chart showing th</w:t>
      </w:r>
      <w:r w:rsidR="00481BA3">
        <w:t>e percent of genes whose expression correlated with ZNF708, TFAP2A, and ZNF460 in the TCGA LIHC database.</w:t>
      </w:r>
    </w:p>
    <w:p w:rsidR="00481BA3" w:rsidRDefault="00481BA3">
      <w:r>
        <w:t>(H) Pie chart showing the TFAP2A binding prediction results on the promoter regions of deletion-up genes or amplification-down genes.</w:t>
      </w:r>
    </w:p>
    <w:p w:rsidR="00CA02F7" w:rsidRDefault="00CA02F7">
      <w:pPr>
        <w:widowControl/>
        <w:jc w:val="left"/>
      </w:pPr>
      <w:r>
        <w:br w:type="page"/>
      </w:r>
    </w:p>
    <w:p w:rsidR="00CA02F7" w:rsidRDefault="00CA02F7">
      <w:r>
        <w:rPr>
          <w:rFonts w:hint="eastAsia"/>
        </w:rPr>
        <w:lastRenderedPageBreak/>
        <w:t>S</w:t>
      </w:r>
      <w:r>
        <w:t>uppl. Figure 3</w:t>
      </w:r>
    </w:p>
    <w:p w:rsidR="00CA02F7" w:rsidRDefault="00CA02F7">
      <w:r>
        <w:rPr>
          <w:noProof/>
        </w:rPr>
        <w:drawing>
          <wp:inline distT="0" distB="0" distL="0" distR="0">
            <wp:extent cx="3765550" cy="5607132"/>
            <wp:effectExtent l="0" t="0" r="6350" b="0"/>
            <wp:docPr id="3" name="图片 3" descr="C:\Users\zhaoz\AppData\Local\Microsoft\Windows\INetCacheContent.Word\DDR S.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aoz\AppData\Local\Microsoft\Windows\INetCacheContent.Word\DDR S.F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765786" cy="560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A3" w:rsidRDefault="00481BA3"/>
    <w:p w:rsidR="00481BA3" w:rsidRDefault="00481BA3">
      <w:r>
        <w:rPr>
          <w:rFonts w:hint="eastAsia"/>
        </w:rPr>
        <w:t>(</w:t>
      </w:r>
      <w:r>
        <w:t>A-B) Pie chart(A) and dot plot (B) showing the expression peaks of deletion-up/amplification-down genes at different cell phases.</w:t>
      </w:r>
    </w:p>
    <w:p w:rsidR="00481BA3" w:rsidRDefault="00481BA3">
      <w:r>
        <w:rPr>
          <w:rFonts w:hint="eastAsia"/>
        </w:rPr>
        <w:t>(C)</w:t>
      </w:r>
      <w:r>
        <w:t xml:space="preserve"> GSEA assay results showing the enrichment of G2/M phases in patients expressing high levels of deletion-up genes.</w:t>
      </w:r>
    </w:p>
    <w:p w:rsidR="00CA02F7" w:rsidRDefault="00CA02F7">
      <w:pPr>
        <w:widowControl/>
        <w:jc w:val="left"/>
      </w:pPr>
      <w:r>
        <w:br w:type="page"/>
      </w:r>
    </w:p>
    <w:p w:rsidR="00CA02F7" w:rsidRDefault="00CA02F7">
      <w:r>
        <w:rPr>
          <w:rFonts w:hint="eastAsia"/>
        </w:rPr>
        <w:lastRenderedPageBreak/>
        <w:t>S</w:t>
      </w:r>
      <w:r>
        <w:t>uppl. Figure 4</w:t>
      </w:r>
    </w:p>
    <w:p w:rsidR="00CA02F7" w:rsidRDefault="00E71990">
      <w:r>
        <w:rPr>
          <w:noProof/>
        </w:rPr>
        <w:drawing>
          <wp:inline distT="0" distB="0" distL="0" distR="0">
            <wp:extent cx="5274310" cy="3205531"/>
            <wp:effectExtent l="0" t="0" r="2540" b="0"/>
            <wp:docPr id="4" name="图片 4" descr="C:\Users\zhaoz\AppData\Local\Microsoft\Windows\INetCacheContent.Word\DDR S.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oz\AppData\Local\Microsoft\Windows\INetCacheContent.Word\DDR S.F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A3" w:rsidRDefault="00481BA3">
      <w:r>
        <w:rPr>
          <w:rFonts w:hint="eastAsia"/>
        </w:rPr>
        <w:t>(A)</w:t>
      </w:r>
      <w:r>
        <w:t xml:space="preserve"> Quantification of </w:t>
      </w:r>
      <w:proofErr w:type="spellStart"/>
      <w:r>
        <w:t>ChIP</w:t>
      </w:r>
      <w:proofErr w:type="spellEnd"/>
      <w:r>
        <w:t>-qPCR results, showing the binding of TFAP2A on the promoter regions of TOP2A, PARP1, POLD1 and NUDT1 in Huh7 cells.</w:t>
      </w:r>
    </w:p>
    <w:p w:rsidR="00481BA3" w:rsidRDefault="00481BA3">
      <w:r>
        <w:t xml:space="preserve">(B) Dual luciferase assay results showing the suppressed transcription activity after mutation of the TFAP2A binding domains in Huh7 cells. </w:t>
      </w:r>
    </w:p>
    <w:p w:rsidR="00E71990" w:rsidRDefault="00E71990" w:rsidP="00E71990">
      <w:pPr>
        <w:widowControl/>
        <w:jc w:val="left"/>
      </w:pPr>
      <w:r>
        <w:rPr>
          <w:rFonts w:hint="eastAsia"/>
        </w:rPr>
        <w:t>(C)</w:t>
      </w:r>
      <w:r>
        <w:t xml:space="preserve"> Immunoblots showing the siTFAP2A efficacy in HEP3B and Huh7 cells. </w:t>
      </w:r>
    </w:p>
    <w:p w:rsidR="00481BA3" w:rsidRDefault="00E71990" w:rsidP="00E71990">
      <w:r>
        <w:t>(</w:t>
      </w:r>
      <w:r w:rsidR="004D09F7">
        <w:rPr>
          <w:rFonts w:hint="eastAsia"/>
        </w:rPr>
        <w:t>D</w:t>
      </w:r>
      <w:r w:rsidR="00481BA3">
        <w:t xml:space="preserve">) </w:t>
      </w:r>
      <w:r w:rsidR="004D09F7">
        <w:t>Q</w:t>
      </w:r>
      <w:r w:rsidR="00481BA3">
        <w:t xml:space="preserve">uantification of immunofluorescence results in TFAP2A-depleted Huh7 cells. </w:t>
      </w:r>
      <w:r w:rsidRPr="00E71990">
        <w:rPr>
          <w:rFonts w:ascii="Symbol" w:hAnsi="Symbol"/>
        </w:rPr>
        <w:t></w:t>
      </w:r>
      <w:r>
        <w:t>H2AX-EdU colocalization</w:t>
      </w:r>
      <w:r w:rsidR="00481BA3">
        <w:t xml:space="preserve"> was quantified with </w:t>
      </w:r>
      <w:proofErr w:type="spellStart"/>
      <w:r w:rsidR="00481BA3">
        <w:t>Cellprofiler</w:t>
      </w:r>
      <w:proofErr w:type="spellEnd"/>
      <w:r w:rsidR="00481BA3">
        <w:t>.</w:t>
      </w:r>
    </w:p>
    <w:p w:rsidR="00CA02F7" w:rsidRDefault="00CA02F7">
      <w:pPr>
        <w:widowControl/>
        <w:jc w:val="left"/>
      </w:pPr>
      <w:r>
        <w:br w:type="page"/>
      </w:r>
    </w:p>
    <w:p w:rsidR="00CA02F7" w:rsidRDefault="00CA02F7">
      <w:r>
        <w:rPr>
          <w:rFonts w:hint="eastAsia"/>
        </w:rPr>
        <w:lastRenderedPageBreak/>
        <w:t>S</w:t>
      </w:r>
      <w:r>
        <w:t>uppl. Figure 5</w:t>
      </w:r>
    </w:p>
    <w:p w:rsidR="00CA02F7" w:rsidRDefault="001C1651">
      <w:r>
        <w:rPr>
          <w:noProof/>
        </w:rPr>
        <w:drawing>
          <wp:inline distT="0" distB="0" distL="0" distR="0">
            <wp:extent cx="5274310" cy="3132356"/>
            <wp:effectExtent l="0" t="0" r="2540" b="0"/>
            <wp:docPr id="8" name="图片 8" descr="C:\Users\zhaoz\AppData\Local\Microsoft\Windows\INetCacheContent.Word\DDR S.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aoz\AppData\Local\Microsoft\Windows\INetCacheContent.Word\DDR S.F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61" w:rsidRDefault="00446961">
      <w:r>
        <w:rPr>
          <w:rFonts w:hint="eastAsia"/>
        </w:rPr>
        <w:t>(</w:t>
      </w:r>
      <w:r>
        <w:t>A) Docking results of LEI110 and its analogs with TFAP2A in Schrodinger.</w:t>
      </w:r>
    </w:p>
    <w:p w:rsidR="00446961" w:rsidRDefault="00446961">
      <w:r>
        <w:t>(B-C) Molecular dynamic simulation results showing the stabilization of TFAP2A with LEI110.</w:t>
      </w:r>
    </w:p>
    <w:p w:rsidR="00446961" w:rsidRDefault="00446961">
      <w:r>
        <w:t>(D) Quantification of interaction types between LEI110 and TFAP2A in the molecular dynamics simulations.</w:t>
      </w:r>
    </w:p>
    <w:p w:rsidR="00446961" w:rsidRDefault="00446961">
      <w:r>
        <w:t>(E-F) Molecular dynamic simulation results showing very weak stabilization of HRASLS by LEI110.</w:t>
      </w:r>
    </w:p>
    <w:p w:rsidR="005F3624" w:rsidRDefault="005F3624" w:rsidP="005F3624">
      <w:r>
        <w:t xml:space="preserve">(G) Quantification of Glide score showing the binding affinity (kcal/mol) between HRSLS-LEI110 and TFAP2A-LEI110. </w:t>
      </w:r>
      <w:r w:rsidR="001C1651">
        <w:t>The top</w:t>
      </w:r>
      <w:r>
        <w:t xml:space="preserve"> 20 poses were included for each group.</w:t>
      </w:r>
    </w:p>
    <w:p w:rsidR="005F3624" w:rsidRDefault="005F3624"/>
    <w:p w:rsidR="00446961" w:rsidRDefault="00446961">
      <w:pPr>
        <w:widowControl/>
        <w:jc w:val="left"/>
      </w:pPr>
      <w:r>
        <w:br w:type="page"/>
      </w:r>
    </w:p>
    <w:p w:rsidR="00446961" w:rsidRDefault="00446961">
      <w:r>
        <w:rPr>
          <w:rFonts w:hint="eastAsia"/>
        </w:rPr>
        <w:lastRenderedPageBreak/>
        <w:t>S</w:t>
      </w:r>
      <w:r>
        <w:t>uppl. Figure 6</w:t>
      </w:r>
    </w:p>
    <w:p w:rsidR="00446961" w:rsidRDefault="00AA60B1">
      <w:r>
        <w:rPr>
          <w:noProof/>
        </w:rPr>
        <w:drawing>
          <wp:inline distT="0" distB="0" distL="0" distR="0">
            <wp:extent cx="4741163" cy="5861050"/>
            <wp:effectExtent l="0" t="0" r="2540" b="6350"/>
            <wp:docPr id="6" name="图片 6" descr="C:\Users\zhaoz\AppData\Local\Microsoft\Windows\INetCacheContent.Word\DDR S.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oz\AppData\Local\Microsoft\Windows\INetCacheContent.Word\DDR S.F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445" cy="58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0B1" w:rsidRDefault="00AA60B1">
      <w:r>
        <w:rPr>
          <w:rFonts w:hint="eastAsia"/>
        </w:rPr>
        <w:t>(A)</w:t>
      </w:r>
      <w:r>
        <w:t xml:space="preserve"> Dot plot showing the suppressed proliferation of Huh7 cells by LEI110.</w:t>
      </w:r>
    </w:p>
    <w:p w:rsidR="00AA60B1" w:rsidRDefault="00AA60B1">
      <w:r>
        <w:t xml:space="preserve">(B) Quantification of the </w:t>
      </w:r>
      <w:proofErr w:type="spellStart"/>
      <w:r>
        <w:t>clonogenic</w:t>
      </w:r>
      <w:proofErr w:type="spellEnd"/>
      <w:r>
        <w:t xml:space="preserve"> ability of Huh7 cells after LEI110 treatment (20</w:t>
      </w:r>
      <w:r w:rsidRPr="00AA60B1">
        <w:rPr>
          <w:rFonts w:ascii="Symbol" w:hAnsi="Symbol"/>
        </w:rPr>
        <w:t></w:t>
      </w:r>
      <w:r>
        <w:t>M).</w:t>
      </w:r>
    </w:p>
    <w:p w:rsidR="00AB2416" w:rsidRPr="00000C27" w:rsidRDefault="00AA60B1" w:rsidP="00A97423">
      <w:pPr>
        <w:rPr>
          <w:rFonts w:hint="eastAsia"/>
        </w:rPr>
      </w:pPr>
      <w:r>
        <w:t>(C-H) Synergy plot (C, E, G) and viability assay results (D, F, H) showing the sensitization of HCC cells towards different DNA damage-inducing reagents.</w:t>
      </w:r>
    </w:p>
    <w:sectPr w:rsidR="00AB2416" w:rsidRPr="00000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D88" w:rsidRDefault="00CA7D88" w:rsidP="003B165F">
      <w:r>
        <w:separator/>
      </w:r>
    </w:p>
  </w:endnote>
  <w:endnote w:type="continuationSeparator" w:id="0">
    <w:p w:rsidR="00CA7D88" w:rsidRDefault="00CA7D88" w:rsidP="003B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D88" w:rsidRDefault="00CA7D88" w:rsidP="003B165F">
      <w:r>
        <w:separator/>
      </w:r>
    </w:p>
  </w:footnote>
  <w:footnote w:type="continuationSeparator" w:id="0">
    <w:p w:rsidR="00CA7D88" w:rsidRDefault="00CA7D88" w:rsidP="003B1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wNTMwNDQ1NTY2NjVV0lEKTi0uzszPAykwNKgFAL52Zx8tAAAA"/>
  </w:docVars>
  <w:rsids>
    <w:rsidRoot w:val="00655F1F"/>
    <w:rsid w:val="00000C27"/>
    <w:rsid w:val="0000182E"/>
    <w:rsid w:val="0010186A"/>
    <w:rsid w:val="00143E71"/>
    <w:rsid w:val="001C1651"/>
    <w:rsid w:val="003B165F"/>
    <w:rsid w:val="00446961"/>
    <w:rsid w:val="00481BA3"/>
    <w:rsid w:val="004B190A"/>
    <w:rsid w:val="004D09F7"/>
    <w:rsid w:val="005245BA"/>
    <w:rsid w:val="005F3624"/>
    <w:rsid w:val="00655F1F"/>
    <w:rsid w:val="00677FD2"/>
    <w:rsid w:val="007C0E9A"/>
    <w:rsid w:val="007F6763"/>
    <w:rsid w:val="00853DB9"/>
    <w:rsid w:val="00A97423"/>
    <w:rsid w:val="00AA60B1"/>
    <w:rsid w:val="00AB2416"/>
    <w:rsid w:val="00CA02F7"/>
    <w:rsid w:val="00CA7D88"/>
    <w:rsid w:val="00CD5133"/>
    <w:rsid w:val="00CF5548"/>
    <w:rsid w:val="00DD6AB1"/>
    <w:rsid w:val="00E230EE"/>
    <w:rsid w:val="00E71990"/>
    <w:rsid w:val="00E9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458EC"/>
  <w15:chartTrackingRefBased/>
  <w15:docId w15:val="{8ABE6DDC-3BB6-4AA8-9062-2D4F8B14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6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65F"/>
    <w:rPr>
      <w:sz w:val="18"/>
      <w:szCs w:val="18"/>
    </w:rPr>
  </w:style>
  <w:style w:type="character" w:styleId="a7">
    <w:name w:val="Hyperlink"/>
    <w:uiPriority w:val="99"/>
    <w:unhideWhenUsed/>
    <w:rsid w:val="00000C27"/>
    <w:rPr>
      <w:color w:val="0563C1"/>
      <w:u w:val="single"/>
    </w:rPr>
  </w:style>
  <w:style w:type="paragraph" w:customStyle="1" w:styleId="EndNoteBibliography">
    <w:name w:val="EndNote Bibliography"/>
    <w:basedOn w:val="a"/>
    <w:link w:val="EndNoteBibliography0"/>
    <w:rsid w:val="00AB2416"/>
    <w:rPr>
      <w:rFonts w:ascii="等线" w:eastAsia="等线" w:hAnsi="等线" w:cs="Times New Roman"/>
      <w:noProof/>
      <w:sz w:val="20"/>
    </w:rPr>
  </w:style>
  <w:style w:type="character" w:customStyle="1" w:styleId="EndNoteBibliography0">
    <w:name w:val="EndNote Bibliography 字符"/>
    <w:link w:val="EndNoteBibliography"/>
    <w:rsid w:val="00AB2416"/>
    <w:rPr>
      <w:rFonts w:ascii="等线" w:eastAsia="等线" w:hAnsi="等线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zhenjun</dc:creator>
  <cp:keywords/>
  <dc:description/>
  <cp:lastModifiedBy>Chenchen Wang</cp:lastModifiedBy>
  <cp:revision>17</cp:revision>
  <dcterms:created xsi:type="dcterms:W3CDTF">2023-04-27T08:00:00Z</dcterms:created>
  <dcterms:modified xsi:type="dcterms:W3CDTF">2023-09-04T11:51:00Z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f04ddae58fef5616b3a91103dc49793dfb704555bf4eb5f1d7aac8d0a6bb3ff1</vt:lpwstr>
  </property>
</Properties>
</file>