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3F7EFC9" w14:textId="77777777" w:rsidR="00B3338B" w:rsidRPr="00DA719A" w:rsidRDefault="00DA719A">
      <w:pPr>
        <w:rPr>
          <w:lang w:val="en-US"/>
        </w:rPr>
      </w:pPr>
      <w:r w:rsidRPr="00DA719A">
        <w:rPr>
          <w:lang w:val="en-US"/>
        </w:rPr>
        <w:t>Supplementary Materials</w:t>
      </w:r>
    </w:p>
    <w:p w14:paraId="69B6DA8B" w14:textId="77777777" w:rsidR="00DA719A" w:rsidRPr="00DA719A" w:rsidRDefault="00DA719A">
      <w:pPr>
        <w:rPr>
          <w:lang w:val="en-US"/>
        </w:rPr>
      </w:pPr>
      <w:proofErr w:type="spellStart"/>
      <w:r w:rsidRPr="00DA719A">
        <w:rPr>
          <w:lang w:val="en-US"/>
        </w:rPr>
        <w:t>Connectomic</w:t>
      </w:r>
      <w:proofErr w:type="spellEnd"/>
      <w:r w:rsidRPr="00DA719A">
        <w:rPr>
          <w:lang w:val="en-US"/>
        </w:rPr>
        <w:t xml:space="preserve"> Analysis</w:t>
      </w:r>
    </w:p>
    <w:p w14:paraId="26EAEF3F" w14:textId="66D898B9" w:rsidR="00DA719A" w:rsidRDefault="00DA719A" w:rsidP="00DA719A">
      <w:pPr>
        <w:jc w:val="both"/>
        <w:rPr>
          <w:lang w:val="en-US"/>
        </w:rPr>
      </w:pPr>
      <w:r w:rsidRPr="00DA719A">
        <w:rPr>
          <w:lang w:val="en-US"/>
        </w:rPr>
        <w:t xml:space="preserve">The </w:t>
      </w:r>
      <w:proofErr w:type="spellStart"/>
      <w:r w:rsidRPr="00DA719A">
        <w:rPr>
          <w:lang w:val="en-US"/>
        </w:rPr>
        <w:t>connectomic</w:t>
      </w:r>
      <w:proofErr w:type="spellEnd"/>
      <w:r w:rsidRPr="00DA719A">
        <w:rPr>
          <w:lang w:val="en-US"/>
        </w:rPr>
        <w:t xml:space="preserve"> analysis involved a three-step process. Firstly,</w:t>
      </w:r>
      <w:r>
        <w:rPr>
          <w:lang w:val="en-US"/>
        </w:rPr>
        <w:t xml:space="preserve"> from the striatal recording contacts, </w:t>
      </w:r>
      <w:r w:rsidRPr="00DA719A">
        <w:rPr>
          <w:lang w:val="en-US"/>
        </w:rPr>
        <w:t xml:space="preserve"> volumes </w:t>
      </w:r>
      <w:r>
        <w:rPr>
          <w:lang w:val="en-US"/>
        </w:rPr>
        <w:t>of 2 mm diameter</w:t>
      </w:r>
      <w:r w:rsidR="007A1EB3">
        <w:rPr>
          <w:lang w:val="en-US"/>
        </w:rPr>
        <w:fldChar w:fldCharType="begin" w:fldLock="1"/>
      </w:r>
      <w:r w:rsidR="007A1EB3">
        <w:rPr>
          <w:lang w:val="en-US"/>
        </w:rPr>
        <w:instrText>ADDIN CSL_CITATION {"citationItems":[{"id":"ITEM-1","itemData":{"DOI":"10.1093/brain/awy206","ISSN":"1460-2156 (Electronic)","PMID":"30084974","abstract":"Dopamine exerts modulatory signals on cortex-basal ganglia circuits to enable flexible motor control. Parkinson's disease is characterized by a loss of dopaminergic innervation in the basal ganglia leading to complex motor and non-motor symptoms. Clinical symptom alleviation through dopaminergic medication and deep brain stimulation in the subthalamic nucleus likely depends on a complex interplay between converging basal ganglia pathways. As a unique translational research platform, deep brain stimulation allows instantaneous investigation of functional effects of subthalamic neuromodulation in human patients with Parkinson's disease. The present study aims at disentangling the role of the inhibitory basal ganglia pathways in cognitive and kinematic aspects of automatic and controlled movements in healthy and parkinsonian states by combining behavioural experiments, clinical observations, whole-brain deep brain stimulation fibre connectivity mapping and computational modelling. Twenty patients with Parkinson's disease undergoing subthalamic deep brain stimulation and 20 age-matched healthy controls participated in a visuomotor tracking task requiring normal (automatic) and inverted (controlled) reach movements. Parkinsonian patients on and off deep brain stimulation presented complex patterns of reaction time and kinematic changes, when compared to healthy controls. Stimulation of cortico-subthalamic fibres was correlated with reduced reaction time adaptation to task demand, but not kinematic aspects of motor control or alleviation of Parkinson's disease motor signs. By using clinically, behaviourally and fibre tracking informed computational models, our study reveals that loss of cognitive adaptation can be attributed to modulation of the hyperdirect pathway, while kinematic depends on suppression of indirect pathway activity. Our findings suggest that hyperdirect and indirect pathways, converging in the subthalamic nucleus, are differentially involved in cognitive aspects of cautious motor preparation and kinematic gain control during motor performance. Subthalamic deep brain stimulation modulates but does not restore these functions. Intelligent stimulation algorithms could re-enable flexible motor control in Parkinson's disease when adapted to instantaneous environmental demand. Our results may inspire new innovative pathway-specific approaches to reduce side effects and increase therapeutic efficacy of neuromodulation in patients with Parkinson's d…","author":[{"dropping-particle":"","family":"Neumann","given":"Wolf-Julian","non-dropping-particle":"","parse-names":false,"suffix":""},{"dropping-particle":"","family":"Schroll","given":"Henning","non-dropping-particle":"","parse-names":false,"suffix":""},{"dropping-particle":"","family":"Almeida Marcelino","given":"Ana Luisa","non-dropping-particle":"de","parse-names":false,"suffix":""},{"dropping-particle":"","family":"Horn","given":"Andreas","non-dropping-particle":"","parse-names":false,"suffix":""},{"dropping-particle":"","family":"Ewert","given":"Siobhan","non-dropping-particle":"","parse-names":false,"suffix":""},{"dropping-particle":"","family":"Irmen","given":"Friederike","non-dropping-particle":"","parse-names":false,"suffix":""},{"dropping-particle":"","family":"Krause","given":"Patricia","non-dropping-particle":"","parse-names":false,"suffix":""},{"dropping-particle":"","family":"Schneider","given":"Gerd-Helge","non-dropping-particle":"","parse-names":false,"suffix":""},{"dropping-particle":"","family":"Hamker","given":"Fred","non-dropping-particle":"","parse-names":false,"suffix":""},{"dropping-particle":"","family":"Kuhn","given":"Andrea A","non-dropping-particle":"","parse-names":false,"suffix":""}],"container-title":"Brain : a journal of neurology","id":"ITEM-1","issue":"9","issued":{"date-parts":[["2018","9"]]},"language":"eng","page":"2655-2669","publisher-place":"England","title":"Functional segregation of basal ganglia pathways in Parkinson's disease.","type":"article-journal","volume":"141"},"uris":["http://www.mendeley.com/documents/?uuid=5d6dfed0-654f-4d91-8939-1baeaa137b96"]}],"mendeley":{"formattedCitation":"&lt;sup&gt;1&lt;/sup&gt;","plainTextFormattedCitation":"1","previouslyFormattedCitation":"&lt;sup&gt;1&lt;/sup&gt;"},"properties":{"noteIndex":0},"schema":"https://github.com/citation-style-language/schema/raw/master/csl-citation.json"}</w:instrText>
      </w:r>
      <w:r w:rsidR="007A1EB3">
        <w:rPr>
          <w:lang w:val="en-US"/>
        </w:rPr>
        <w:fldChar w:fldCharType="separate"/>
      </w:r>
      <w:r w:rsidR="007A1EB3" w:rsidRPr="007A1EB3">
        <w:rPr>
          <w:noProof/>
          <w:vertAlign w:val="superscript"/>
          <w:lang w:val="en-US"/>
        </w:rPr>
        <w:t>1</w:t>
      </w:r>
      <w:r w:rsidR="007A1EB3">
        <w:rPr>
          <w:lang w:val="en-US"/>
        </w:rPr>
        <w:fldChar w:fldCharType="end"/>
      </w:r>
      <w:r>
        <w:rPr>
          <w:lang w:val="en-US"/>
        </w:rPr>
        <w:t xml:space="preserve"> </w:t>
      </w:r>
      <w:r w:rsidRPr="00DA719A">
        <w:rPr>
          <w:lang w:val="en-US"/>
        </w:rPr>
        <w:t xml:space="preserve">were projected as seed regions into an openly available group connectome based on </w:t>
      </w:r>
      <w:r>
        <w:rPr>
          <w:lang w:val="en-US"/>
        </w:rPr>
        <w:t>fMRI</w:t>
      </w:r>
      <w:r w:rsidRPr="00DA719A">
        <w:rPr>
          <w:lang w:val="en-US"/>
        </w:rPr>
        <w:t xml:space="preserve"> images of </w:t>
      </w:r>
      <w:r>
        <w:rPr>
          <w:lang w:val="en-US"/>
        </w:rPr>
        <w:t>1000 healthy subjects from the Human Connectome Project</w:t>
      </w:r>
      <w:r w:rsidR="007A1EB3">
        <w:rPr>
          <w:lang w:val="en-US"/>
        </w:rPr>
        <w:fldChar w:fldCharType="begin" w:fldLock="1"/>
      </w:r>
      <w:r w:rsidR="007A1EB3">
        <w:rPr>
          <w:lang w:val="en-US"/>
        </w:rPr>
        <w:instrText>ADDIN CSL_CITATION {"citationItems":[{"id":"ITEM-1","itemData":{"DOI":"10.1016/j.neuroimage.2012.02.018","ISSN":"1095-9572 (Electronic)","PMID":"22366334","abstract":"The Human Connectome Project (HCP) is an ambitious 5-year effort to characterize  brain connectivity and function and their variability in healthy adults. This review summarizes the data acquisition plans being implemented by a consortium of HCP investigators who will study a population of 1200 subjects (twins and their non-twin siblings) using multiple imaging modalities along with extensive behavioral and genetic data. The imaging modalities will include diffusion imaging (dMRI), resting-state fMRI (R-fMRI), task-evoked fMRI (T-fMRI), T1- and T2-weighted MRI for structural and myelin mapping, plus combined magnetoencephalography and electroencephalography (MEG/EEG). Given the importance of obtaining the best possible data quality, we discuss the efforts underway during the first two years of the grant (Phase I) to refine and optimize many aspects of HCP data acquisition, including a new 7T scanner, a customized 3T scanner, and improved MR pulse sequences.","author":[{"dropping-particle":"","family":"Essen","given":"D C","non-dropping-particle":"Van","parse-names":false,"suffix":""},{"dropping-particle":"","family":"Ugurbil","given":"K","non-dropping-particle":"","parse-names":false,"suffix":""},{"dropping-particle":"","family":"Auerbach","given":"E","non-dropping-particle":"","parse-names":false,"suffix":""},{"dropping-particle":"","family":"Barch","given":"D","non-dropping-particle":"","parse-names":false,"suffix":""},{"dropping-particle":"","family":"Behrens","given":"T E J","non-dropping-particle":"","parse-names":false,"suffix":""},{"dropping-particle":"","family":"Bucholz","given":"R","non-dropping-particle":"","parse-names":false,"suffix":""},{"dropping-particle":"","family":"Chang","given":"A","non-dropping-particle":"","parse-names":false,"suffix":""},{"dropping-particle":"","family":"Chen","given":"L","non-dropping-particle":"","parse-names":false,"suffix":""},{"dropping-particle":"","family":"Corbetta","given":"M","non-dropping-particle":"","parse-names":false,"suffix":""},{"dropping-particle":"","family":"Curtiss","given":"S W","non-dropping-particle":"","parse-names":false,"suffix":""},{"dropping-particle":"","family":"Penna","given":"S","non-dropping-particle":"Della","parse-names":false,"suffix":""},{"dropping-particle":"","family":"Feinberg","given":"D","non-dropping-particle":"","parse-names":false,"suffix":""},{"dropping-particle":"","family":"Glasser","given":"M F","non-dropping-particle":"","parse-names":false,"suffix":""},{"dropping-particle":"","family":"Harel","given":"N","non-dropping-particle":"","parse-names":false,"suffix":""},{"dropping-particle":"","family":"Heath","given":"A C","non-dropping-particle":"","parse-names":false,"suffix":""},{"dropping-particle":"","family":"Larson-Prior","given":"L","non-dropping-particle":"","parse-names":false,"suffix":""},{"dropping-particle":"","family":"Marcus","given":"D","non-dropping-particle":"","parse-names":false,"suffix":""},{"dropping-particle":"","family":"Michalareas","given":"G","non-dropping-particle":"","parse-names":false,"suffix":""},{"dropping-particle":"","family":"Moeller","given":"S","non-dropping-particle":"","parse-names":false,"suffix":""},{"dropping-particle":"","family":"Oostenveld","given":"R","non-dropping-particle":"","parse-names":false,"suffix":""},{"dropping-particle":"","family":"Petersen","given":"S E","non-dropping-particle":"","parse-names":false,"suffix":""},{"dropping-particle":"","family":"Prior","given":"F","non-dropping-particle":"","parse-names":false,"suffix":""},{"dropping-particle":"","family":"Schlaggar","given":"B L","non-dropping-particle":"","parse-names":false,"suffix":""},{"dropping-particle":"","family":"Smith","given":"S M","non-dropping-particle":"","parse-names":false,"suffix":""},{"dropping-particle":"","family":"Snyder","given":"A Z","non-dropping-particle":"","parse-names":false,"suffix":""},{"dropping-particle":"","family":"Xu","given":"J","non-dropping-particle":"","parse-names":false,"suffix":""},{"dropping-particle":"","family":"Yacoub","given":"E","non-dropping-particle":"","parse-names":false,"suffix":""}],"container-title":"NeuroImage","id":"ITEM-1","issue":"4","issued":{"date-parts":[["2012","10"]]},"language":"eng","page":"2222-2231","publisher-place":"United States","title":"The Human Connectome Project: a data acquisition perspective.","type":"article-journal","volume":"62"},"uris":["http://www.mendeley.com/documents/?uuid=8f5814e7-0f7c-49b9-9d21-ff5aa1bf6e3b"]}],"mendeley":{"formattedCitation":"&lt;sup&gt;2&lt;/sup&gt;","plainTextFormattedCitation":"2"},"properties":{"noteIndex":0},"schema":"https://github.com/citation-style-language/schema/raw/master/csl-citation.json"}</w:instrText>
      </w:r>
      <w:r w:rsidR="007A1EB3">
        <w:rPr>
          <w:lang w:val="en-US"/>
        </w:rPr>
        <w:fldChar w:fldCharType="separate"/>
      </w:r>
      <w:r w:rsidR="007A1EB3" w:rsidRPr="007A1EB3">
        <w:rPr>
          <w:noProof/>
          <w:vertAlign w:val="superscript"/>
          <w:lang w:val="en-US"/>
        </w:rPr>
        <w:t>2</w:t>
      </w:r>
      <w:r w:rsidR="007A1EB3">
        <w:rPr>
          <w:lang w:val="en-US"/>
        </w:rPr>
        <w:fldChar w:fldCharType="end"/>
      </w:r>
      <w:r w:rsidRPr="00DA719A">
        <w:rPr>
          <w:lang w:val="en-US"/>
        </w:rPr>
        <w:t xml:space="preserve">. This projection resulted in the creation of whole-brain </w:t>
      </w:r>
      <w:r>
        <w:rPr>
          <w:lang w:val="en-US"/>
        </w:rPr>
        <w:t>functional</w:t>
      </w:r>
      <w:r w:rsidRPr="00DA719A">
        <w:rPr>
          <w:lang w:val="en-US"/>
        </w:rPr>
        <w:t xml:space="preserve"> connectivity maps for each patient.</w:t>
      </w:r>
      <w:r>
        <w:rPr>
          <w:lang w:val="en-US"/>
        </w:rPr>
        <w:t xml:space="preserve"> These maps were averaged across patients to visualize the mean functional connectivity of all </w:t>
      </w:r>
      <w:proofErr w:type="gramStart"/>
      <w:r>
        <w:rPr>
          <w:lang w:val="en-US"/>
        </w:rPr>
        <w:t>striatal recording</w:t>
      </w:r>
      <w:proofErr w:type="gramEnd"/>
      <w:r>
        <w:rPr>
          <w:lang w:val="en-US"/>
        </w:rPr>
        <w:t xml:space="preserve"> sites. A similar approach </w:t>
      </w:r>
      <w:proofErr w:type="gramStart"/>
      <w:r>
        <w:rPr>
          <w:lang w:val="en-US"/>
        </w:rPr>
        <w:t>has been used</w:t>
      </w:r>
      <w:proofErr w:type="gramEnd"/>
      <w:r>
        <w:rPr>
          <w:lang w:val="en-US"/>
        </w:rPr>
        <w:t xml:space="preserve"> across several other publications.</w:t>
      </w:r>
    </w:p>
    <w:p w14:paraId="7044955B" w14:textId="1222B80D" w:rsidR="007A1EB3" w:rsidRDefault="007A1EB3" w:rsidP="00DA719A">
      <w:pPr>
        <w:jc w:val="both"/>
        <w:rPr>
          <w:lang w:val="en-US"/>
        </w:rPr>
      </w:pPr>
    </w:p>
    <w:p w14:paraId="77E001A6" w14:textId="24DC676E" w:rsidR="007A1EB3" w:rsidRPr="007A1EB3" w:rsidRDefault="007A1EB3" w:rsidP="007A1EB3">
      <w:pPr>
        <w:widowControl w:val="0"/>
        <w:autoSpaceDE w:val="0"/>
        <w:autoSpaceDN w:val="0"/>
        <w:adjustRightInd w:val="0"/>
        <w:spacing w:line="240" w:lineRule="auto"/>
        <w:ind w:left="640" w:hanging="640"/>
        <w:rPr>
          <w:rFonts w:ascii="Calibri" w:hAnsi="Calibri" w:cs="Calibri"/>
          <w:noProof/>
          <w:szCs w:val="24"/>
        </w:rPr>
      </w:pPr>
      <w:r>
        <w:rPr>
          <w:lang w:val="en-US"/>
        </w:rPr>
        <w:fldChar w:fldCharType="begin" w:fldLock="1"/>
      </w:r>
      <w:r>
        <w:rPr>
          <w:lang w:val="en-US"/>
        </w:rPr>
        <w:instrText xml:space="preserve">ADDIN Mendeley Bibliography CSL_BIBLIOGRAPHY </w:instrText>
      </w:r>
      <w:r>
        <w:rPr>
          <w:lang w:val="en-US"/>
        </w:rPr>
        <w:fldChar w:fldCharType="separate"/>
      </w:r>
      <w:r w:rsidRPr="007A1EB3">
        <w:rPr>
          <w:rFonts w:ascii="Calibri" w:hAnsi="Calibri" w:cs="Calibri"/>
          <w:noProof/>
          <w:szCs w:val="24"/>
        </w:rPr>
        <w:t>1.</w:t>
      </w:r>
      <w:r w:rsidRPr="007A1EB3">
        <w:rPr>
          <w:rFonts w:ascii="Calibri" w:hAnsi="Calibri" w:cs="Calibri"/>
          <w:noProof/>
          <w:szCs w:val="24"/>
        </w:rPr>
        <w:tab/>
        <w:t xml:space="preserve">Neumann, W.-J. </w:t>
      </w:r>
      <w:r w:rsidRPr="007A1EB3">
        <w:rPr>
          <w:rFonts w:ascii="Calibri" w:hAnsi="Calibri" w:cs="Calibri"/>
          <w:i/>
          <w:iCs/>
          <w:noProof/>
          <w:szCs w:val="24"/>
        </w:rPr>
        <w:t>et al.</w:t>
      </w:r>
      <w:r w:rsidRPr="007A1EB3">
        <w:rPr>
          <w:rFonts w:ascii="Calibri" w:hAnsi="Calibri" w:cs="Calibri"/>
          <w:noProof/>
          <w:szCs w:val="24"/>
        </w:rPr>
        <w:t xml:space="preserve"> Functional segregation of basal ganglia pathways in Parkinson’s disease. </w:t>
      </w:r>
      <w:r w:rsidRPr="007A1EB3">
        <w:rPr>
          <w:rFonts w:ascii="Calibri" w:hAnsi="Calibri" w:cs="Calibri"/>
          <w:i/>
          <w:iCs/>
          <w:noProof/>
          <w:szCs w:val="24"/>
        </w:rPr>
        <w:t>Brain</w:t>
      </w:r>
      <w:r w:rsidRPr="007A1EB3">
        <w:rPr>
          <w:rFonts w:ascii="Calibri" w:hAnsi="Calibri" w:cs="Calibri"/>
          <w:noProof/>
          <w:szCs w:val="24"/>
        </w:rPr>
        <w:t xml:space="preserve"> </w:t>
      </w:r>
      <w:r w:rsidRPr="007A1EB3">
        <w:rPr>
          <w:rFonts w:ascii="Calibri" w:hAnsi="Calibri" w:cs="Calibri"/>
          <w:b/>
          <w:bCs/>
          <w:noProof/>
          <w:szCs w:val="24"/>
        </w:rPr>
        <w:t>141</w:t>
      </w:r>
      <w:r w:rsidRPr="007A1EB3">
        <w:rPr>
          <w:rFonts w:ascii="Calibri" w:hAnsi="Calibri" w:cs="Calibri"/>
          <w:noProof/>
          <w:szCs w:val="24"/>
        </w:rPr>
        <w:t>, 2655–2669 (2018).</w:t>
      </w:r>
    </w:p>
    <w:p w14:paraId="67AC23BB" w14:textId="77777777" w:rsidR="007A1EB3" w:rsidRPr="007A1EB3" w:rsidRDefault="007A1EB3" w:rsidP="007A1EB3">
      <w:pPr>
        <w:widowControl w:val="0"/>
        <w:autoSpaceDE w:val="0"/>
        <w:autoSpaceDN w:val="0"/>
        <w:adjustRightInd w:val="0"/>
        <w:spacing w:line="240" w:lineRule="auto"/>
        <w:ind w:left="640" w:hanging="640"/>
        <w:rPr>
          <w:rFonts w:ascii="Calibri" w:hAnsi="Calibri" w:cs="Calibri"/>
          <w:noProof/>
        </w:rPr>
      </w:pPr>
      <w:r w:rsidRPr="007A1EB3">
        <w:rPr>
          <w:rFonts w:ascii="Calibri" w:hAnsi="Calibri" w:cs="Calibri"/>
          <w:noProof/>
          <w:szCs w:val="24"/>
        </w:rPr>
        <w:t>2.</w:t>
      </w:r>
      <w:r w:rsidRPr="007A1EB3">
        <w:rPr>
          <w:rFonts w:ascii="Calibri" w:hAnsi="Calibri" w:cs="Calibri"/>
          <w:noProof/>
          <w:szCs w:val="24"/>
        </w:rPr>
        <w:tab/>
        <w:t xml:space="preserve">Van Essen, D. C. </w:t>
      </w:r>
      <w:r w:rsidRPr="007A1EB3">
        <w:rPr>
          <w:rFonts w:ascii="Calibri" w:hAnsi="Calibri" w:cs="Calibri"/>
          <w:i/>
          <w:iCs/>
          <w:noProof/>
          <w:szCs w:val="24"/>
        </w:rPr>
        <w:t>et al.</w:t>
      </w:r>
      <w:r w:rsidRPr="007A1EB3">
        <w:rPr>
          <w:rFonts w:ascii="Calibri" w:hAnsi="Calibri" w:cs="Calibri"/>
          <w:noProof/>
          <w:szCs w:val="24"/>
        </w:rPr>
        <w:t xml:space="preserve"> The Human Connectome Project: a data acquisition perspective. </w:t>
      </w:r>
      <w:r w:rsidRPr="007A1EB3">
        <w:rPr>
          <w:rFonts w:ascii="Calibri" w:hAnsi="Calibri" w:cs="Calibri"/>
          <w:i/>
          <w:iCs/>
          <w:noProof/>
          <w:szCs w:val="24"/>
        </w:rPr>
        <w:t>Neuroimage</w:t>
      </w:r>
      <w:r w:rsidRPr="007A1EB3">
        <w:rPr>
          <w:rFonts w:ascii="Calibri" w:hAnsi="Calibri" w:cs="Calibri"/>
          <w:noProof/>
          <w:szCs w:val="24"/>
        </w:rPr>
        <w:t xml:space="preserve"> </w:t>
      </w:r>
      <w:r w:rsidRPr="007A1EB3">
        <w:rPr>
          <w:rFonts w:ascii="Calibri" w:hAnsi="Calibri" w:cs="Calibri"/>
          <w:b/>
          <w:bCs/>
          <w:noProof/>
          <w:szCs w:val="24"/>
        </w:rPr>
        <w:t>62</w:t>
      </w:r>
      <w:r w:rsidRPr="007A1EB3">
        <w:rPr>
          <w:rFonts w:ascii="Calibri" w:hAnsi="Calibri" w:cs="Calibri"/>
          <w:noProof/>
          <w:szCs w:val="24"/>
        </w:rPr>
        <w:t>, 2222–2231 (2012).</w:t>
      </w:r>
    </w:p>
    <w:p w14:paraId="58FB8517" w14:textId="41F68409" w:rsidR="007A1EB3" w:rsidRPr="00DA719A" w:rsidRDefault="007A1EB3" w:rsidP="00DA719A">
      <w:pPr>
        <w:jc w:val="both"/>
        <w:rPr>
          <w:lang w:val="en-US"/>
        </w:rPr>
      </w:pPr>
      <w:r>
        <w:rPr>
          <w:lang w:val="en-US"/>
        </w:rPr>
        <w:fldChar w:fldCharType="end"/>
      </w:r>
      <w:bookmarkStart w:id="0" w:name="_GoBack"/>
      <w:bookmarkEnd w:id="0"/>
    </w:p>
    <w:p w14:paraId="1DE91B2E" w14:textId="77777777" w:rsidR="00DA719A" w:rsidRPr="007A1EB3" w:rsidRDefault="00DA719A" w:rsidP="00DA719A">
      <w:pPr>
        <w:jc w:val="both"/>
        <w:rPr>
          <w:lang w:val="en-US"/>
        </w:rPr>
      </w:pPr>
    </w:p>
    <w:sectPr w:rsidR="00DA719A" w:rsidRPr="007A1EB3">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719A"/>
    <w:rsid w:val="00054809"/>
    <w:rsid w:val="002C4634"/>
    <w:rsid w:val="006163FC"/>
    <w:rsid w:val="00640A14"/>
    <w:rsid w:val="007A1EB3"/>
    <w:rsid w:val="007E1C09"/>
    <w:rsid w:val="00B3338B"/>
    <w:rsid w:val="00BE1233"/>
    <w:rsid w:val="00DA719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8B2601"/>
  <w15:chartTrackingRefBased/>
  <w15:docId w15:val="{551B49B2-8136-484F-90A4-65CE391A4F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1275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72FD66-B493-4521-A7A8-E6DFC4607C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1410</Words>
  <Characters>8889</Characters>
  <Application>Microsoft Office Word</Application>
  <DocSecurity>0</DocSecurity>
  <Lines>74</Lines>
  <Paragraphs>20</Paragraphs>
  <ScaleCrop>false</ScaleCrop>
  <HeadingPairs>
    <vt:vector size="2" baseType="variant">
      <vt:variant>
        <vt:lpstr>Titel</vt:lpstr>
      </vt:variant>
      <vt:variant>
        <vt:i4>1</vt:i4>
      </vt:variant>
    </vt:vector>
  </HeadingPairs>
  <TitlesOfParts>
    <vt:vector size="1" baseType="lpstr">
      <vt:lpstr/>
    </vt:vector>
  </TitlesOfParts>
  <Company>Charité Universitaetsmedizin Berlin</Company>
  <LinksUpToDate>false</LinksUpToDate>
  <CharactersWithSpaces>10279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Lofredi, Roxanne</dc:creator>
  <cp:keywords/>
  <dc:description/>
  <cp:lastModifiedBy>Lofredi, Roxanne</cp:lastModifiedBy>
  <cp:revision>2</cp:revision>
  <dcterms:created xsi:type="dcterms:W3CDTF">2023-07-23T13:12:00Z</dcterms:created>
  <dcterms:modified xsi:type="dcterms:W3CDTF">2023-08-07T09:31:00Z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http://www.zotero.org/styles/brain</vt:lpwstr>
  </property>
  <property fmtid="{D5CDD505-2E9C-101B-9397-08002B2CF9AE}" pid="9" name="Mendeley Recent Style Name 3_1">
    <vt:lpwstr>Brain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be93a903-fb1b-3df0-9f4b-7edc7adf0937</vt:lpwstr>
  </property>
  <property fmtid="{D5CDD505-2E9C-101B-9397-08002B2CF9AE}" pid="24" name="Mendeley Citation Style_1">
    <vt:lpwstr>http://www.zotero.org/styles/nature</vt:lpwstr>
  </property>
</Properties>
</file>