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5266690" cy="6436995"/>
            <wp:effectExtent l="0" t="0" r="0" b="0"/>
            <wp:docPr id="1" name="图片 1" descr="s-Figure 1. c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-Figure 1. cor"/>
                    <pic:cNvPicPr>
                      <a:picLocks noChangeAspect="1"/>
                    </pic:cNvPicPr>
                  </pic:nvPicPr>
                  <pic:blipFill>
                    <a:blip r:embed="rId4"/>
                    <a:srcRect b="833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6436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b/>
          <w:bCs/>
          <w:color w:val="000000"/>
          <w:sz w:val="24"/>
        </w:rPr>
        <w:t>Supplementary -</w:t>
      </w: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  <w:t xml:space="preserve">Figure </w:t>
      </w:r>
      <w:r>
        <w:rPr>
          <w:rFonts w:hint="eastAsia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 xml:space="preserve"> Calibration curves of the nomogram for predicting renal survival at 3, and 5 years. The nomogram-predicted probability of cardiovascular survival is plotted on the x-axis, and the actual cardiovascular survival is plotted on the y-axis. (A)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>Calibration curves at 3 years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 xml:space="preserve">, 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>(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>B</w:t>
      </w:r>
      <w:r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>) Calibration curves at 5 years.</w:t>
      </w: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jc w:val="both"/>
        <w:rPr>
          <w:rFonts w:hint="default" w:ascii="Times New Roman" w:hAnsi="Times New Roman" w:eastAsia="STIX-Regular" w:cs="Times New Roman"/>
          <w:color w:val="000000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Supplementary -table 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Definitions/criteria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of some diagnoses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63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Variables</w:t>
            </w:r>
          </w:p>
        </w:tc>
        <w:tc>
          <w:tcPr>
            <w:tcW w:w="6391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Helvetica" w:cs="Times New Roman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Definitions/criteria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STIX-Regular" w:cs="Times New Roman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S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>moker</w:t>
            </w:r>
          </w:p>
        </w:tc>
        <w:tc>
          <w:tcPr>
            <w:tcW w:w="639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STIX-Regular" w:cs="Times New Roman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S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>moking more than 100 cigarettes in previous and now.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A</w:t>
            </w:r>
            <w:r>
              <w:rPr>
                <w:rFonts w:hint="default" w:ascii="Times New Roman" w:hAnsi="Times New Roman" w:eastAsia="Cambria" w:cs="Times New Roman"/>
                <w:color w:val="212121"/>
                <w:sz w:val="24"/>
                <w:szCs w:val="24"/>
                <w:shd w:val="clear" w:color="auto" w:fill="FFFFFF"/>
              </w:rPr>
              <w:t>lcohol use</w:t>
            </w:r>
            <w:r>
              <w:rPr>
                <w:rFonts w:hint="default"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r</w:t>
            </w:r>
            <w:r>
              <w:rPr>
                <w:rFonts w:hint="default"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Cambria" w:cs="Times New Roman"/>
                <w:color w:val="212121"/>
                <w:sz w:val="24"/>
                <w:szCs w:val="24"/>
                <w:shd w:val="clear" w:color="auto" w:fill="FFFFFF"/>
              </w:rPr>
              <w:fldChar w:fldCharType="begin">
                <w:fldData xml:space="preserve">PEVuZE5vdGU+PENpdGU+PEF1dGhvcj5SYXR0YW48L0F1dGhvcj48WWVhcj4yMDIyPC9ZZWFyPjxS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</w:fldData>
              </w:fldChar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eastAsia="zh-CN"/>
              </w:rPr>
              <w:instrText xml:space="preserve"> ADDIN EN.CITE </w:instrText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eastAsia="zh-CN"/>
              </w:rPr>
              <w:fldChar w:fldCharType="begin">
                <w:fldData xml:space="preserve">PEVuZE5vdGU+PENpdGU+PEF1dGhvcj5SYXR0YW48L0F1dGhvcj48WWVhcj4yMDIyPC9ZZWFyPjxS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=
</w:fldData>
              </w:fldChar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eastAsia="zh-CN"/>
              </w:rPr>
              <w:instrText xml:space="preserve"> ADDIN EN.CITE.DATA </w:instrText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Cambria" w:cs="Times New Roman"/>
                <w:color w:val="212121"/>
                <w:sz w:val="24"/>
                <w:szCs w:val="24"/>
                <w:shd w:val="clear" w:color="auto" w:fill="FFFFFF"/>
              </w:rPr>
              <w:fldChar w:fldCharType="separate"/>
            </w:r>
            <w:r>
              <w:rPr>
                <w:rFonts w:hint="default" w:ascii="Times New Roman" w:hAnsi="Times New Roman" w:eastAsia="Cambria" w:cs="Times New Roman"/>
                <w:color w:val="212121"/>
                <w:kern w:val="2"/>
                <w:sz w:val="24"/>
                <w:szCs w:val="24"/>
                <w:shd w:val="clear" w:color="auto" w:fill="FFFFFF"/>
                <w:vertAlign w:val="superscript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Cambria" w:cs="Times New Roman"/>
                <w:color w:val="212121"/>
                <w:sz w:val="24"/>
                <w:szCs w:val="24"/>
                <w:shd w:val="clear" w:color="auto" w:fill="FFFFFF"/>
              </w:rPr>
              <w:fldChar w:fldCharType="end"/>
            </w: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Cambria" w:cs="Times New Roman"/>
                <w:color w:val="212121"/>
                <w:sz w:val="24"/>
                <w:szCs w:val="24"/>
                <w:shd w:val="clear" w:color="auto" w:fill="FFFFFF"/>
              </w:rPr>
              <w:t>≥2 drinks per day for females, ≥3 drinks per day for males, or binge drinking ≥2 days per month</w:t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>B</w:t>
            </w:r>
            <w:r>
              <w:rPr>
                <w:rFonts w:hint="default" w:ascii="Times New Roman" w:hAnsi="Times New Roman" w:eastAsia="Cambria" w:cs="Times New Roman"/>
                <w:color w:val="212121"/>
                <w:sz w:val="24"/>
                <w:szCs w:val="24"/>
                <w:shd w:val="clear" w:color="auto" w:fill="FFFFFF"/>
              </w:rPr>
              <w:t>inge drinking</w:t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 xml:space="preserve"> (</w:t>
            </w:r>
            <w:r>
              <w:rPr>
                <w:rFonts w:hint="default" w:ascii="Times New Roman" w:hAnsi="Times New Roman" w:eastAsia="Cambria" w:cs="Times New Roman"/>
                <w:color w:val="212121"/>
                <w:sz w:val="24"/>
                <w:szCs w:val="24"/>
                <w:shd w:val="clear" w:color="auto" w:fill="FFFFFF"/>
              </w:rPr>
              <w:t>≥4 drinks on the same occasion for females, ≥5 drinks on the same occasion for males</w:t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>)</w:t>
            </w:r>
            <w:r>
              <w:rPr>
                <w:rFonts w:hint="default" w:ascii="Times New Roman" w:hAnsi="Times New Roman" w:eastAsia="Cambria" w:cs="Times New Roman"/>
                <w:color w:val="212121"/>
                <w:sz w:val="24"/>
                <w:szCs w:val="24"/>
                <w:shd w:val="clear" w:color="auto" w:fill="FFFFFF"/>
              </w:rPr>
              <w:t xml:space="preserve"> on 5 or more days per month</w:t>
            </w:r>
            <w:r>
              <w:rPr>
                <w:rFonts w:hint="default" w:ascii="Times New Roman" w:hAnsi="Times New Roman" w:eastAsia="宋体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H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>ypertension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fldChar w:fldCharType="begin">
                <w:fldData xml:space="preserve">PEVuZE5vdGU+PENpdGU+PEF1dGhvcj5XaGVsdG9uPC9BdXRob3I+PFllYXI+MjAxODwvWWVhcj48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</w:fldData>
              </w:fldChar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eastAsia="zh-CN"/>
              </w:rPr>
              <w:instrText xml:space="preserve"> ADDIN EN.CITE </w:instrTex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eastAsia="zh-CN"/>
              </w:rPr>
              <w:fldChar w:fldCharType="begin">
                <w:fldData xml:space="preserve">PEVuZE5vdGU+PENpdGU+PEF1dGhvcj5XaGVsdG9uPC9BdXRob3I+PFllYXI+MjAxODwvWWVhcj48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</w:fldData>
              </w:fldChar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eastAsia="zh-CN"/>
              </w:rPr>
              <w:instrText xml:space="preserve"> ADDIN EN.CITE.DATA </w:instrTex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eastAsia="zh-CN"/>
              </w:rPr>
              <w:fldChar w:fldCharType="separate"/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eastAsia="STIX-Regular" w:cs="Times New Roman"/>
                <w:color w:val="000000"/>
                <w:kern w:val="2"/>
                <w:sz w:val="24"/>
                <w:szCs w:val="24"/>
                <w:vertAlign w:val="superscript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jc w:val="both"/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S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elf-reported hypertension diagnosis,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(2) U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se of anti-hypertensive medication,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(3) A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verage systolic blood pressure (SBP) &gt; 140 mmHg,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(4) A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>verage diastolic blood pressure (DBP) &gt; 90 mmHg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meet any of the above conditions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Anemia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eastAsia="zh-CN"/>
              </w:rPr>
              <w:instrText xml:space="preserve"> ADDIN EN.CITE &lt;EndNote&gt;&lt;Cite&gt;&lt;RecNum&gt;137&lt;/RecNum&gt;&lt;DisplayText&gt;&lt;style face="superscript"&gt;3&lt;/style&gt;&lt;/DisplayText&gt;&lt;record&gt;&lt;rec-number&gt;137&lt;/rec-number&gt;&lt;foreign-keys&gt;&lt;key app="EN" db-id="v5f0fpe0aex5aee9rf5xxvxbswvrfpwzp22e" timestamp="1678617918"&gt;137&lt;/key&gt;&lt;/foreign-keys&gt;&lt;ref-type name="Journal Article"&gt;17&lt;/ref-type&gt;&lt;contributors&gt;&lt;/contributors&gt;&lt;titles&gt;&lt;title&gt;WHO. Haemoglobin concentrations for the diagnosis of anaemia and assessment of severity. Vitamin and Mineral Nutrition Information System. Geneva, World Health Organization, 2011 (WHO/NMH/NHD/MNM/11.1)&lt;/title&gt;&lt;/titles&gt;&lt;dates&gt;&lt;/dates&gt;&lt;urls&gt;&lt;/urls&gt;&lt;/record&gt;&lt;/Cite&gt;&lt;/EndNote&gt;</w:instrTex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vertAlign w:val="superscript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≥120g/L for w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omen (15 years of age and above)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 xml:space="preserve">, ≥130g/L for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men (15 years of age and above)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  <w:vertAlign w:val="baseline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  <w:t>Hyperlipidemia</w:t>
            </w: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(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T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>riglyceridemia ≥ 150 mg/dl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;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(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H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ypercholesterolemia: a) total cholesterol ≥ 200 mg/dl, b) low-density lipoprotein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 130 mg/dl),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</w:rPr>
              <w:t>c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)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>. high-density lipoprotein (&lt; 40 mg/dl, male; &lt; 50 mg/dl, female)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,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meet any of the above conditions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;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(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 xml:space="preserve">3) 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>U</w:t>
            </w:r>
            <w:r>
              <w:rPr>
                <w:rFonts w:hint="default" w:ascii="Times New Roman" w:hAnsi="Times New Roman" w:eastAsia="STIX-Regular" w:cs="Times New Roman"/>
                <w:color w:val="000000"/>
                <w:sz w:val="24"/>
                <w:szCs w:val="24"/>
              </w:rPr>
              <w:t>se of lipid-lowering drugs</w:t>
            </w:r>
            <w:r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  <w:t xml:space="preserve">;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meet any of the above conditions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Calibri" w:cs="Times New Roman"/>
                <w:color w:val="000000"/>
                <w:sz w:val="24"/>
                <w:szCs w:val="24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ow-carbohydrate diet</w:t>
            </w: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>L</w:t>
            </w:r>
            <w:r>
              <w:rPr>
                <w:rFonts w:hint="default"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ess than 26%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of the calories come from carbohydrate or carbohydrate intake </w:t>
            </w:r>
            <w:r>
              <w:rPr>
                <w:rFonts w:hint="default"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less than 130 g/day</w:t>
            </w:r>
            <w:r>
              <w:rPr>
                <w:rFonts w:hint="default" w:ascii="Times New Roman" w:hAnsi="Times New Roman" w:cs="Times New Roman"/>
                <w:color w:val="242021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242021"/>
                <w:sz w:val="24"/>
                <w:szCs w:val="24"/>
              </w:rPr>
              <w:fldChar w:fldCharType="begin"/>
            </w:r>
            <w:r>
              <w:rPr>
                <w:rFonts w:hint="eastAsia" w:ascii="Times New Roman" w:hAnsi="Times New Roman" w:cs="Times New Roman"/>
                <w:color w:val="242021"/>
                <w:sz w:val="24"/>
                <w:szCs w:val="24"/>
                <w:lang w:eastAsia="zh-CN"/>
              </w:rPr>
              <w:instrText xml:space="preserve"> ADDIN EN.CITE </w:instrText>
            </w:r>
            <w:r>
              <w:rPr>
                <w:rFonts w:hint="eastAsia" w:ascii="Times New Roman" w:hAnsi="Times New Roman" w:cs="Times New Roman"/>
                <w:color w:val="242021"/>
                <w:sz w:val="24"/>
                <w:szCs w:val="24"/>
                <w:lang w:eastAsia="zh-CN"/>
              </w:rPr>
              <w:fldChar w:fldCharType="begin">
                <w:fldData xml:space="preserve">PEVuZE5vdGU+PENpdGU+PEF1dGhvcj5XYW5nPC9BdXRob3I+PFllYXI+MjAyMTwvWWVhcj48UmVj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</w:fldData>
              </w:fldChar>
            </w:r>
            <w:r>
              <w:rPr>
                <w:rFonts w:hint="eastAsia" w:ascii="Times New Roman" w:hAnsi="Times New Roman" w:cs="Times New Roman"/>
                <w:color w:val="242021"/>
                <w:sz w:val="24"/>
                <w:szCs w:val="24"/>
                <w:lang w:eastAsia="zh-CN"/>
              </w:rPr>
              <w:instrText xml:space="preserve"> ADDIN EN.CITE.DATA </w:instrText>
            </w:r>
            <w:r>
              <w:rPr>
                <w:rFonts w:hint="eastAsia" w:ascii="Times New Roman" w:hAnsi="Times New Roman" w:cs="Times New Roman"/>
                <w:color w:val="242021"/>
                <w:sz w:val="24"/>
                <w:szCs w:val="24"/>
                <w:lang w:eastAsia="zh-CN"/>
              </w:rPr>
              <w:fldChar w:fldCharType="separate"/>
            </w:r>
            <w:r>
              <w:rPr>
                <w:rFonts w:hint="eastAsia" w:ascii="Times New Roman" w:hAnsi="Times New Roman" w:cs="Times New Roman"/>
                <w:color w:val="242021"/>
                <w:sz w:val="24"/>
                <w:szCs w:val="24"/>
                <w:lang w:eastAsia="zh-CN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242021"/>
                <w:sz w:val="24"/>
                <w:szCs w:val="24"/>
              </w:rPr>
              <w:fldChar w:fldCharType="separate"/>
            </w:r>
            <w:r>
              <w:rPr>
                <w:rFonts w:hint="eastAsia" w:ascii="Times New Roman" w:hAnsi="Times New Roman" w:cs="Times New Roman" w:eastAsiaTheme="minorEastAsia"/>
                <w:color w:val="242021"/>
                <w:kern w:val="2"/>
                <w:sz w:val="24"/>
                <w:szCs w:val="24"/>
                <w:vertAlign w:val="superscript"/>
                <w:lang w:val="en-US" w:eastAsia="zh-CN" w:bidi="ar-SA"/>
              </w:rPr>
              <w:t>4</w:t>
            </w:r>
            <w:r>
              <w:rPr>
                <w:rFonts w:hint="default" w:ascii="Times New Roman" w:hAnsi="Times New Roman" w:cs="Times New Roman"/>
                <w:color w:val="242021"/>
                <w:sz w:val="24"/>
                <w:szCs w:val="24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242021"/>
                <w:sz w:val="24"/>
                <w:szCs w:val="24"/>
              </w:rPr>
              <w:t xml:space="preserve">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both"/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Low-fat diets</w:t>
            </w: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both"/>
              <w:rPr>
                <w:rFonts w:hint="eastAsia" w:ascii="Times New Roman" w:hAnsi="Times New Roman" w:cs="Times New Roman" w:eastAsiaTheme="minorEastAsia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F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ood where </w:t>
            </w:r>
            <w:r>
              <w:rPr>
                <w:rFonts w:hint="default"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less than 26%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of the calories come from carbohydrate or carbohydrate intake </w:t>
            </w:r>
            <w:r>
              <w:rPr>
                <w:rFonts w:hint="default"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  <w:t>less than 130 g/day</w:t>
            </w:r>
            <w:r>
              <w:rPr>
                <w:rFonts w:hint="eastAsia"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begin"/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instrText xml:space="preserve"> ADDIN EN.CITE </w:instrTex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fldChar w:fldCharType="begin">
                <w:fldData xml:space="preserve">PEVuZE5vdGU+PENpdGU+PEF1dGhvcj5IdTwvQXV0aG9yPjxZZWFyPjIwMjE8L1llYXI+PFJlY051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</w:fldData>
              </w:fldChar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instrText xml:space="preserve"> ADDIN EN.CITE.DATA </w:instrText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fldChar w:fldCharType="separate"/>
            </w: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zh-CN"/>
              </w:rPr>
              <w:fldChar w:fldCharType="end"/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separate"/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4"/>
                <w:szCs w:val="24"/>
                <w:shd w:val="clear" w:color="auto" w:fill="FFFFFF"/>
                <w:vertAlign w:val="superscript"/>
                <w:lang w:val="en-US" w:eastAsia="zh-CN" w:bidi="ar-SA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fldChar w:fldCharType="end"/>
            </w:r>
            <w:r>
              <w:rPr>
                <w:rFonts w:hint="eastAsia" w:ascii="Times New Roman" w:hAnsi="Times New Roman" w:cs="Times New Roman"/>
                <w:color w:val="212121"/>
                <w:sz w:val="24"/>
                <w:szCs w:val="24"/>
                <w:shd w:val="clear" w:color="auto" w:fill="FFFFFF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  <w:t>C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ardiovascular disease</w:t>
            </w:r>
          </w:p>
        </w:tc>
        <w:tc>
          <w:tcPr>
            <w:tcW w:w="639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360" w:lineRule="auto"/>
              <w:jc w:val="both"/>
              <w:rPr>
                <w:rFonts w:hint="default" w:ascii="Times New Roman" w:hAnsi="Times New Roman" w:cs="Times New Roman" w:eastAsiaTheme="minorEastAsia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1) coronary heart disease, 2) congestive heart failure, 3) heart attack, 4) stroke, 5) angina</w:t>
            </w:r>
            <w:r>
              <w:rPr>
                <w:rFonts w:hint="eastAsia" w:ascii="Times New Roman" w:hAnsi="Times New Roman" w:cs="Times New Roman"/>
                <w:sz w:val="24"/>
                <w:szCs w:val="24"/>
                <w:lang w:val="en-US" w:eastAsia="zh-CN"/>
              </w:rPr>
              <w:t xml:space="preserve">;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</w:rPr>
              <w:t>meet any of the above conditions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eastAsia" w:ascii="Times New Roman" w:hAnsi="Times New Roman" w:eastAsia="等线" w:cs="Times New Roman"/>
                <w:color w:val="00000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val="en-US" w:eastAsia="zh-CN"/>
              </w:rPr>
              <w:t>D</w:t>
            </w: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t>iabetes</w:t>
            </w:r>
            <w:r>
              <w:rPr>
                <w:rFonts w:hint="default" w:ascii="Times New Roman" w:hAnsi="Times New Roman" w:cs="Times New Roman"/>
                <w:color w:val="242021"/>
                <w:sz w:val="24"/>
                <w:szCs w:val="24"/>
              </w:rPr>
              <w:t xml:space="preserve"> mellitus</w:t>
            </w:r>
          </w:p>
        </w:tc>
        <w:tc>
          <w:tcPr>
            <w:tcW w:w="6391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</w:tcPr>
          <w:p>
            <w:pPr>
              <w:spacing w:line="360" w:lineRule="auto"/>
              <w:jc w:val="both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t xml:space="preserve">1) a doctor has told you that you have diabetes, 2) HbA1c (%) &gt; 6.5, 3) fasting blood glucose (mmol/l) ≥ 7.0, 4) random blood glucose (mmol/l) ≥ 11.1, and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5) two-hour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o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ral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g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lucose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olerance 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est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(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OGTT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blood glucose (mmol/l) &gt;= 11.1</w:t>
            </w: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t xml:space="preserve"> </w:t>
            </w: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fldChar w:fldCharType="begin">
                <w:fldData xml:space="preserve">PEVuZE5vdGU+PENpdGU+PEF1dGhvcj5DaGl0dGthPC9BdXRob3I+PFllYXI+MjAxODwvWWVhcj48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</w:fldData>
              </w:fldChar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eastAsia="zh-CN"/>
              </w:rPr>
              <w:instrText xml:space="preserve"> ADDIN EN.CITE </w:instrText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eastAsia="zh-CN"/>
              </w:rPr>
              <w:fldChar w:fldCharType="begin">
                <w:fldData xml:space="preserve">PEVuZE5vdGU+PENpdGU+PEF1dGhvcj5DaGl0dGthPC9BdXRob3I+PFllYXI+MjAxODwvWWVhcj48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=
</w:fldData>
              </w:fldChar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eastAsia="zh-CN"/>
              </w:rPr>
              <w:instrText xml:space="preserve"> ADDIN EN.CITE.DATA </w:instrText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eastAsia="zh-CN"/>
              </w:rPr>
              <w:fldChar w:fldCharType="separate"/>
            </w:r>
            <w:r>
              <w:rPr>
                <w:rFonts w:hint="eastAsia" w:ascii="Times New Roman" w:hAnsi="Times New Roman" w:eastAsia="等线" w:cs="Times New Roman"/>
                <w:sz w:val="24"/>
                <w:szCs w:val="24"/>
                <w:lang w:eastAsia="zh-CN"/>
              </w:rPr>
              <w:fldChar w:fldCharType="end"/>
            </w: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fldChar w:fldCharType="separate"/>
            </w:r>
            <w:r>
              <w:rPr>
                <w:rFonts w:hint="eastAsia" w:ascii="Times New Roman" w:hAnsi="Times New Roman" w:eastAsia="等线" w:cs="Times New Roman"/>
                <w:kern w:val="2"/>
                <w:sz w:val="24"/>
                <w:szCs w:val="24"/>
                <w:vertAlign w:val="superscript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fldChar w:fldCharType="end"/>
            </w:r>
            <w:r>
              <w:rPr>
                <w:rFonts w:hint="default" w:ascii="Times New Roman" w:hAnsi="Times New Roman" w:eastAsia="等线" w:cs="Times New Roman"/>
                <w:sz w:val="24"/>
                <w:szCs w:val="24"/>
              </w:rPr>
              <w:t>.</w:t>
            </w:r>
          </w:p>
        </w:tc>
      </w:tr>
    </w:tbl>
    <w:p>
      <w:pPr>
        <w:shd w:val="clear" w:fill="FFFFFF" w:themeFill="background1"/>
        <w:tabs>
          <w:tab w:val="left" w:pos="702"/>
        </w:tabs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</w:p>
    <w:p>
      <w:pPr>
        <w:shd w:val="clear" w:fill="FFFFFF" w:themeFill="background1"/>
        <w:tabs>
          <w:tab w:val="left" w:pos="702"/>
        </w:tabs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hd w:val="clear" w:fill="FFFFFF" w:themeFill="background1"/>
        <w:tabs>
          <w:tab w:val="left" w:pos="702"/>
        </w:tabs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Supplementary -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t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able 2. </w:t>
      </w:r>
      <w:r>
        <w:rPr>
          <w:rFonts w:hint="default" w:ascii="Times New Roman" w:hAnsi="Times New Roman" w:cs="Times New Roman"/>
          <w:b/>
          <w:bCs/>
          <w:color w:val="0D0D0D" w:themeColor="text1" w:themeTint="F2"/>
          <w:sz w:val="21"/>
          <w:szCs w:val="21"/>
          <w14:textFill>
            <w14:solidFill>
              <w14:schemeClr w14:val="tx1">
                <w14:lumMod w14:val="95000"/>
                <w14:lumOff w14:val="5000"/>
              </w14:schemeClr>
            </w14:solidFill>
          </w14:textFill>
        </w:rPr>
        <w:t>Status of nutritional intake in CKD patients with changes over the years</w:t>
      </w:r>
    </w:p>
    <w:tbl>
      <w:tblPr>
        <w:tblStyle w:val="3"/>
        <w:tblW w:w="0" w:type="auto"/>
        <w:tblInd w:w="9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5"/>
        <w:gridCol w:w="1243"/>
        <w:gridCol w:w="1256"/>
        <w:gridCol w:w="1256"/>
        <w:gridCol w:w="1256"/>
        <w:gridCol w:w="1256"/>
        <w:gridCol w:w="1256"/>
        <w:gridCol w:w="9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90" w:hRule="atLeast"/>
        </w:trPr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Variable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628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Year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P-value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Total</w:t>
            </w: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2009-2010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2011-2012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2013-2014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2015-2016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2017-2018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Energy intake (kcal/kg/d)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24.09(0.26)</w:t>
            </w:r>
          </w:p>
        </w:tc>
        <w:tc>
          <w:tcPr>
            <w:tcW w:w="125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23.59(0.66)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24.21(0.51)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24.07(0.61)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24.68(0.73)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23.82(0.36)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Protein intake (g/kg/d)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0.92(0.01)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0.92(0.02)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0.92(0.03)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0.93(0.03)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0.92(0.02)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0.90(0.03)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Carbohydrate (g/kg/d)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2.90(0.03)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2.90(0.09)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3.00(0.06)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2.87(0.06)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2.93(0.07)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2.83(0.06)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Fat (g/kg/d)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0.93(0.01)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0.90(0.03)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0.90(0.03)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0.92(0.03)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0.96(0.03)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0.96(0.02)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0.14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Energy intake (kcal/kg/d)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&lt;25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61.60(0.02)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65.35(2.09)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59.57(2.42)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61.77(1.62)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59.51(3.19)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62.49(2.86)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25-35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23.94(0.01)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21.95(1.58)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24.70(2.60)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22.86(1.79)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25.94(2.59)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23.85(2.73)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420" w:firstLineChars="200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≥35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14.46(0.01)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12.70(1.55)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15.73(2.32)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15.37(1.86)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14.55(1.77)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13.66(1.47)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Energy intake greater than  the equation-based REE (%)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No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31.57(0.01)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31.44(1.98)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32.55(1.95)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32.53(2.28)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29.01(2.58)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32.39(2.66)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Yes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68.43(0.02)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68.56(1.98)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67.45(1.95)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67.47(2.28)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70.99(2.58)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67.61(2.66)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LPD (%)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No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53.57(0.02)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53.96(1.75)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51.92(2.24)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50.97(1.46)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55.53(2.79)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55.37(3.10)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Yes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46.43(0.02)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46.04(1.75)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48.08(2.24)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49.03(1.46)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44.47(2.79)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44.63(3.10)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Very low protein diet (%)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No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73.47(0.03)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74.24(2.24)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73.19(2.30)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71.18(2.36)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75.97(2.73)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72.96(3.17)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Yes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26.53(0.01)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25.76(2.24)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26.81(2.30)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28.82(2.36)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24.03(2.73)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27.04(3.17)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Low carbohydrate diet (%)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No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97.72(0.03)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99.04(0.42)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98.85(0.44)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97.66(0.65)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96.47(1.14)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97.01(0.93)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Yes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2.28(0.00)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0.96(0.42)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1.15(0.44)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2.34(0.65)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3.53(1.14)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2.99(0.93)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Low fat diet (%)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No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69.22(0.02)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67.22(2.88)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61.85(2.28)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68.80(2.28)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71.89(2.62)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75.03(1.87)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Yes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30.78(0.01)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32.78(2.88)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38.15(2.28)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31.20(2.28)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28.11(2.62)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24.97(1.87)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Low fat and carbohydrate diet (%)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No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99.72(0.03)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99.94(0.05)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99.95(0.06)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99.21(0.55)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99.82(0.11)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99.76(0.18)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Yes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0.28(0.00)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0.06(0.05)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0.05(0.06)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0.79(0.55)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0.18(0.11)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0.24(0.18)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Low LPD and fat and carbohydrate diet (%)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 0.001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No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99.77(0.03)</w:t>
            </w: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99.98(0.02)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99.95(0.06)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99.21(0.55)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99.86(0.10)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99.93(0.07)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 xml:space="preserve">    Yes</w:t>
            </w:r>
          </w:p>
        </w:tc>
        <w:tc>
          <w:tcPr>
            <w:tcW w:w="124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0.23(0.00)</w:t>
            </w:r>
          </w:p>
        </w:tc>
        <w:tc>
          <w:tcPr>
            <w:tcW w:w="125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0.02(0.02)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0.05(0.06)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0.79(0.55)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0.14(0.10)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0.07(0.07)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LPD, </w:t>
      </w:r>
      <w:r>
        <w:rPr>
          <w:rStyle w:val="8"/>
          <w:rFonts w:hint="eastAsia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l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ow protein diet; </w:t>
      </w:r>
      <w:r>
        <w:rPr>
          <w:rStyle w:val="8"/>
          <w:rFonts w:hint="eastAsia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REE, resting energy expenditure; </w:t>
      </w:r>
      <w:r>
        <w:rPr>
          <w:rStyle w:val="8"/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CKD, chronic kidney disease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. </w:t>
      </w:r>
    </w:p>
    <w:p>
      <w:pPr>
        <w:shd w:val="clear" w:fill="FFFFFF" w:themeFill="background1"/>
        <w:tabs>
          <w:tab w:val="left" w:pos="702"/>
        </w:tabs>
        <w:spacing w:line="360" w:lineRule="auto"/>
        <w:jc w:val="both"/>
        <w:rPr>
          <w:rFonts w:hint="default" w:ascii="Times New Roman" w:hAnsi="Times New Roman" w:eastAsia="宋体" w:cs="Times New Roman"/>
          <w:b/>
          <w:bCs/>
          <w:color w:val="000000"/>
          <w:sz w:val="24"/>
          <w:lang w:val="en-US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Supplementary -table 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lang w:val="en-US" w:eastAsia="zh-CN"/>
        </w:rPr>
        <w:t>3</w:t>
      </w: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. Cox-regression analysis of risk factors for 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cardiovascular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mortality in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>CKD</w:t>
      </w:r>
      <w:r>
        <w:rPr>
          <w:rFonts w:hint="eastAsia" w:ascii="Times New Roman" w:hAnsi="Times New Roman" w:cs="Times New Roman"/>
          <w:b/>
          <w:bCs/>
          <w:color w:val="000000"/>
          <w:sz w:val="24"/>
          <w:szCs w:val="24"/>
          <w:lang w:val="en-US" w:eastAsia="zh-CN"/>
        </w:rPr>
        <w:t xml:space="preserve"> on a LPD</w:t>
      </w:r>
    </w:p>
    <w:tbl>
      <w:tblPr>
        <w:tblStyle w:val="4"/>
        <w:tblW w:w="4996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9"/>
        <w:gridCol w:w="1178"/>
        <w:gridCol w:w="1842"/>
        <w:gridCol w:w="1618"/>
        <w:gridCol w:w="1595"/>
        <w:gridCol w:w="1757"/>
        <w:gridCol w:w="1414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Merge w:val="restart"/>
            <w:tcBorders>
              <w:top w:val="single" w:color="auto" w:sz="4" w:space="0"/>
              <w:bottom w:val="nil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Variables</w:t>
            </w:r>
          </w:p>
        </w:tc>
        <w:tc>
          <w:tcPr>
            <w:tcW w:w="1637" w:type="pct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Unadjusted</w:t>
            </w:r>
          </w:p>
        </w:tc>
        <w:tc>
          <w:tcPr>
            <w:tcW w:w="1682" w:type="pct"/>
            <w:gridSpan w:val="3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Model 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Merge w:val="continue"/>
            <w:tcBorders>
              <w:top w:val="nil"/>
              <w:bottom w:val="single" w:color="auto" w:sz="4" w:space="0"/>
            </w:tcBorders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16" w:type="pct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R </w:t>
            </w:r>
          </w:p>
        </w:tc>
        <w:tc>
          <w:tcPr>
            <w:tcW w:w="650" w:type="pct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95%CI</w:t>
            </w:r>
          </w:p>
        </w:tc>
        <w:tc>
          <w:tcPr>
            <w:tcW w:w="570" w:type="pct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Calibri" w:cs="Times New Roman"/>
                <w:b w:val="0"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P-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value</w:t>
            </w:r>
          </w:p>
        </w:tc>
        <w:tc>
          <w:tcPr>
            <w:tcW w:w="563" w:type="pct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R </w:t>
            </w:r>
          </w:p>
        </w:tc>
        <w:tc>
          <w:tcPr>
            <w:tcW w:w="620" w:type="pct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(95%CI)</w:t>
            </w:r>
          </w:p>
        </w:tc>
        <w:tc>
          <w:tcPr>
            <w:tcW w:w="499" w:type="pct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kern w:val="0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-value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tcBorders>
              <w:top w:val="single" w:color="auto" w:sz="4" w:space="0"/>
            </w:tcBorders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Energy intake</w:t>
            </w:r>
          </w:p>
        </w:tc>
        <w:tc>
          <w:tcPr>
            <w:tcW w:w="416" w:type="pct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tcBorders>
              <w:top w:val="single" w:color="auto" w:sz="4" w:space="0"/>
            </w:tcBorders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Tertile 3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Tertile 2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2.54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(1.45,4.45)</w:t>
            </w:r>
            <w:bookmarkStart w:id="1" w:name="_GoBack"/>
            <w:bookmarkEnd w:id="1"/>
          </w:p>
        </w:tc>
        <w:tc>
          <w:tcPr>
            <w:tcW w:w="5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0.001</w:t>
            </w: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1.97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(1.10, 3.52)</w:t>
            </w:r>
          </w:p>
        </w:tc>
        <w:tc>
          <w:tcPr>
            <w:tcW w:w="4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Tertile 1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2.48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(1.38,4.44)</w:t>
            </w:r>
          </w:p>
        </w:tc>
        <w:tc>
          <w:tcPr>
            <w:tcW w:w="5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2.37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(1.38, 4.06)</w:t>
            </w:r>
          </w:p>
        </w:tc>
        <w:tc>
          <w:tcPr>
            <w:tcW w:w="4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Age 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1.09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(1.06,1.13)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1.09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(1.05, 1.12)</w:t>
            </w:r>
          </w:p>
        </w:tc>
        <w:tc>
          <w:tcPr>
            <w:tcW w:w="499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Sex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Female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Male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1.26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(0.79,2.02)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0.33</w:t>
            </w: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0.98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(0.54, 1.78)</w:t>
            </w: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BMI (kg/m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&lt;30</w:t>
            </w:r>
          </w:p>
        </w:tc>
        <w:tc>
          <w:tcPr>
            <w:tcW w:w="416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≥30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0.69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(0.39,1.22)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0.20</w:t>
            </w: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0.61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(0.35, 1.04)</w:t>
            </w:r>
          </w:p>
        </w:tc>
        <w:tc>
          <w:tcPr>
            <w:tcW w:w="499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Ethnicity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Mexican American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Non-Hispanic Black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1.28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(0.60,2.74)</w:t>
            </w:r>
          </w:p>
        </w:tc>
        <w:tc>
          <w:tcPr>
            <w:tcW w:w="5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0.52</w:t>
            </w: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0.58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(0.23, 1.48)</w:t>
            </w:r>
          </w:p>
        </w:tc>
        <w:tc>
          <w:tcPr>
            <w:tcW w:w="4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Non-Hispanic White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2.03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(1.21,3.43)</w:t>
            </w:r>
          </w:p>
        </w:tc>
        <w:tc>
          <w:tcPr>
            <w:tcW w:w="5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0.01</w:t>
            </w: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1.07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(0.58, 2.01)</w:t>
            </w:r>
          </w:p>
        </w:tc>
        <w:tc>
          <w:tcPr>
            <w:tcW w:w="4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0.82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Other Hispanic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0.80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(0.31,2.02)</w:t>
            </w:r>
          </w:p>
        </w:tc>
        <w:tc>
          <w:tcPr>
            <w:tcW w:w="57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0.63</w:t>
            </w: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0.51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(0.20, 1.32)</w:t>
            </w:r>
          </w:p>
        </w:tc>
        <w:tc>
          <w:tcPr>
            <w:tcW w:w="4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Other 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ethnicity</w:t>
            </w: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- Including Multi-Racial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1.10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(0.20,6.10)</w:t>
            </w:r>
          </w:p>
        </w:tc>
        <w:tc>
          <w:tcPr>
            <w:tcW w:w="57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0.92</w:t>
            </w: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0.77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(0.14, 4.22)</w:t>
            </w:r>
          </w:p>
        </w:tc>
        <w:tc>
          <w:tcPr>
            <w:tcW w:w="499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0.76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Alcohol use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No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Yes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0.88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0.88(0.53,1.46)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0.62</w:t>
            </w: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1.20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(0.71, 2.02)</w:t>
            </w:r>
          </w:p>
        </w:tc>
        <w:tc>
          <w:tcPr>
            <w:tcW w:w="499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0.50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Smoke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No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Yes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1.16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1.16(0.67,2.01)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0.60</w:t>
            </w: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1.10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(0.64, 1.89)</w:t>
            </w: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0.73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e-GFR (ml/min/1.73m2)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≥90</w:t>
            </w:r>
          </w:p>
        </w:tc>
        <w:tc>
          <w:tcPr>
            <w:tcW w:w="416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60≤e-GFR&lt;90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8.87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(3.59, 21.93)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1.99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(0.76, 5.22)</w:t>
            </w:r>
          </w:p>
        </w:tc>
        <w:tc>
          <w:tcPr>
            <w:tcW w:w="499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30≤e-GFR&lt;60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10.93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(4.63, 25.81)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2.61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(0.87, 7.77)</w:t>
            </w:r>
          </w:p>
        </w:tc>
        <w:tc>
          <w:tcPr>
            <w:tcW w:w="499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15≤e-GFR&lt;30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16.75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(5.89, 47.64)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2.21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(0.68, 7.20)</w:t>
            </w:r>
          </w:p>
        </w:tc>
        <w:tc>
          <w:tcPr>
            <w:tcW w:w="499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0.19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&lt;15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39.41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(9.37,165.73)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7.21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(1.65,31.42)</w:t>
            </w:r>
          </w:p>
        </w:tc>
        <w:tc>
          <w:tcPr>
            <w:tcW w:w="499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Serum albumin (g/L)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&lt;35</w:t>
            </w:r>
          </w:p>
        </w:tc>
        <w:tc>
          <w:tcPr>
            <w:tcW w:w="416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≥35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3.22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(1.33,7.80)</w:t>
            </w:r>
          </w:p>
        </w:tc>
        <w:tc>
          <w:tcPr>
            <w:tcW w:w="57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0.01</w:t>
            </w: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2.61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(0.93, 7.37)</w:t>
            </w: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ACR (mg/g)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   &lt;30</w:t>
            </w:r>
          </w:p>
        </w:tc>
        <w:tc>
          <w:tcPr>
            <w:tcW w:w="416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30≤acr&lt;300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0.83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(0.52,1.32)</w:t>
            </w:r>
          </w:p>
        </w:tc>
        <w:tc>
          <w:tcPr>
            <w:tcW w:w="57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0.43</w:t>
            </w: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1.86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(1.00, 3.45)</w:t>
            </w:r>
          </w:p>
        </w:tc>
        <w:tc>
          <w:tcPr>
            <w:tcW w:w="499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0.05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≥300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0.93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(0.44,1.96)</w:t>
            </w:r>
          </w:p>
        </w:tc>
        <w:tc>
          <w:tcPr>
            <w:tcW w:w="57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0.84</w:t>
            </w:r>
          </w:p>
        </w:tc>
        <w:tc>
          <w:tcPr>
            <w:tcW w:w="563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1.27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(0.55, 2.92)</w:t>
            </w:r>
          </w:p>
        </w:tc>
        <w:tc>
          <w:tcPr>
            <w:tcW w:w="499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0.57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Diabetes mellitus 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No</w:t>
            </w:r>
          </w:p>
        </w:tc>
        <w:tc>
          <w:tcPr>
            <w:tcW w:w="416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Yes</w:t>
            </w:r>
          </w:p>
        </w:tc>
        <w:tc>
          <w:tcPr>
            <w:tcW w:w="416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1.92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(1.36,2.70)</w:t>
            </w:r>
          </w:p>
        </w:tc>
        <w:tc>
          <w:tcPr>
            <w:tcW w:w="570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563" w:type="pct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1.82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(1.26, 2.62)</w:t>
            </w:r>
          </w:p>
        </w:tc>
        <w:tc>
          <w:tcPr>
            <w:tcW w:w="499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Hyperlipidemia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No</w:t>
            </w:r>
          </w:p>
        </w:tc>
        <w:tc>
          <w:tcPr>
            <w:tcW w:w="416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Yes</w:t>
            </w:r>
          </w:p>
        </w:tc>
        <w:tc>
          <w:tcPr>
            <w:tcW w:w="416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1.00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(0.63,1.59)</w:t>
            </w:r>
          </w:p>
        </w:tc>
        <w:tc>
          <w:tcPr>
            <w:tcW w:w="570" w:type="pct"/>
            <w:shd w:val="clear" w:color="auto" w:fill="C5E0B3" w:themeFill="accent6" w:themeFillTint="66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0.99</w:t>
            </w: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(0.45, 1.24)</w:t>
            </w:r>
          </w:p>
        </w:tc>
        <w:tc>
          <w:tcPr>
            <w:tcW w:w="499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0.26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Hypertension</w:t>
            </w:r>
          </w:p>
        </w:tc>
        <w:tc>
          <w:tcPr>
            <w:tcW w:w="416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No</w:t>
            </w:r>
          </w:p>
        </w:tc>
        <w:tc>
          <w:tcPr>
            <w:tcW w:w="416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Yes</w:t>
            </w:r>
          </w:p>
        </w:tc>
        <w:tc>
          <w:tcPr>
            <w:tcW w:w="416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1.83</w:t>
            </w:r>
          </w:p>
        </w:tc>
        <w:tc>
          <w:tcPr>
            <w:tcW w:w="65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(1.12,2.98)</w:t>
            </w:r>
          </w:p>
        </w:tc>
        <w:tc>
          <w:tcPr>
            <w:tcW w:w="570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0.01</w:t>
            </w:r>
          </w:p>
        </w:tc>
        <w:tc>
          <w:tcPr>
            <w:tcW w:w="563" w:type="pct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0.82</w:t>
            </w:r>
          </w:p>
        </w:tc>
        <w:tc>
          <w:tcPr>
            <w:tcW w:w="620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(0.52, 1.31)</w:t>
            </w:r>
          </w:p>
        </w:tc>
        <w:tc>
          <w:tcPr>
            <w:tcW w:w="499" w:type="pct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0.41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Anemia</w:t>
            </w:r>
          </w:p>
        </w:tc>
        <w:tc>
          <w:tcPr>
            <w:tcW w:w="416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 w:firstLine="210" w:firstLineChars="10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No</w:t>
            </w:r>
          </w:p>
        </w:tc>
        <w:tc>
          <w:tcPr>
            <w:tcW w:w="416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Yes</w:t>
            </w:r>
          </w:p>
        </w:tc>
        <w:tc>
          <w:tcPr>
            <w:tcW w:w="416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3.73</w:t>
            </w:r>
          </w:p>
        </w:tc>
        <w:tc>
          <w:tcPr>
            <w:tcW w:w="65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(2.12,6.57)</w:t>
            </w:r>
          </w:p>
        </w:tc>
        <w:tc>
          <w:tcPr>
            <w:tcW w:w="570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563" w:type="pct"/>
            <w:shd w:val="clear" w:color="auto" w:fill="C5E0B3" w:themeFill="accent6" w:themeFillTint="66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2.89</w:t>
            </w:r>
          </w:p>
        </w:tc>
        <w:tc>
          <w:tcPr>
            <w:tcW w:w="620" w:type="pct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2"/>
                <w:sz w:val="21"/>
                <w:szCs w:val="21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(1.63, 5.09)</w:t>
            </w:r>
          </w:p>
        </w:tc>
        <w:tc>
          <w:tcPr>
            <w:tcW w:w="499" w:type="pct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RAASi</w:t>
            </w:r>
          </w:p>
        </w:tc>
        <w:tc>
          <w:tcPr>
            <w:tcW w:w="416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70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0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9" w:type="pct"/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No</w:t>
            </w:r>
          </w:p>
        </w:tc>
        <w:tc>
          <w:tcPr>
            <w:tcW w:w="416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50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570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63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620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499" w:type="pct"/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 Yes</w:t>
            </w:r>
          </w:p>
        </w:tc>
        <w:tc>
          <w:tcPr>
            <w:tcW w:w="416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1.00</w:t>
            </w:r>
          </w:p>
        </w:tc>
        <w:tc>
          <w:tcPr>
            <w:tcW w:w="65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(0.64,1.59)</w:t>
            </w:r>
          </w:p>
        </w:tc>
        <w:tc>
          <w:tcPr>
            <w:tcW w:w="570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0.99</w:t>
            </w:r>
          </w:p>
        </w:tc>
        <w:tc>
          <w:tcPr>
            <w:tcW w:w="563" w:type="pct"/>
            <w:shd w:val="clear" w:color="auto" w:fill="auto"/>
            <w:vAlign w:val="top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0.51</w:t>
            </w:r>
          </w:p>
        </w:tc>
        <w:tc>
          <w:tcPr>
            <w:tcW w:w="620" w:type="pct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(0.25, 1.01)</w:t>
            </w:r>
          </w:p>
        </w:tc>
        <w:tc>
          <w:tcPr>
            <w:tcW w:w="499" w:type="pct"/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autoSpaceDE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0.05</w:t>
            </w:r>
          </w:p>
        </w:tc>
      </w:tr>
    </w:tbl>
    <w:p>
      <w:pPr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</w:pPr>
      <w:r>
        <w:rPr>
          <w:rStyle w:val="8"/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HR</w:t>
      </w:r>
      <w:r>
        <w:rPr>
          <w:rStyle w:val="8"/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, </w:t>
      </w:r>
      <w:r>
        <w:rPr>
          <w:rStyle w:val="8"/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h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 xml:space="preserve">azard </w:t>
      </w:r>
      <w:r>
        <w:rPr>
          <w:rFonts w:hint="eastAsia" w:ascii="Times New Roman" w:hAnsi="Times New Roman" w:cs="Times New Roman"/>
          <w:bCs/>
          <w:kern w:val="0"/>
          <w:sz w:val="24"/>
          <w:szCs w:val="24"/>
          <w:lang w:val="en-US" w:eastAsia="zh-CN"/>
        </w:rPr>
        <w:t>r</w:t>
      </w:r>
      <w:r>
        <w:rPr>
          <w:rFonts w:hint="default" w:ascii="Times New Roman" w:hAnsi="Times New Roman" w:cs="Times New Roman"/>
          <w:bCs/>
          <w:kern w:val="0"/>
          <w:sz w:val="24"/>
          <w:szCs w:val="24"/>
        </w:rPr>
        <w:t>atio</w:t>
      </w:r>
      <w:r>
        <w:rPr>
          <w:rStyle w:val="8"/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; CI, </w:t>
      </w:r>
      <w:r>
        <w:rPr>
          <w:rStyle w:val="8"/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c</w:t>
      </w:r>
      <w:r>
        <w:rPr>
          <w:rStyle w:val="8"/>
          <w:rFonts w:hint="default" w:ascii="Times New Roman" w:hAnsi="Times New Roman" w:eastAsia="宋体" w:cs="Times New Roman"/>
          <w:color w:val="000000"/>
          <w:sz w:val="24"/>
          <w:szCs w:val="24"/>
        </w:rPr>
        <w:t>onfidence interval</w:t>
      </w:r>
      <w:r>
        <w:rPr>
          <w:rStyle w:val="8"/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; BMI, </w:t>
      </w:r>
      <w:r>
        <w:rPr>
          <w:rStyle w:val="8"/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b</w:t>
      </w:r>
      <w:r>
        <w:rPr>
          <w:rStyle w:val="8"/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ody </w:t>
      </w:r>
      <w:r>
        <w:rPr>
          <w:rStyle w:val="8"/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m</w:t>
      </w:r>
      <w:r>
        <w:rPr>
          <w:rStyle w:val="8"/>
          <w:rFonts w:hint="default" w:ascii="Times New Roman" w:hAnsi="Times New Roman" w:eastAsia="宋体" w:cs="Times New Roman"/>
          <w:color w:val="000000"/>
          <w:sz w:val="24"/>
          <w:szCs w:val="24"/>
        </w:rPr>
        <w:t xml:space="preserve">ass </w:t>
      </w:r>
      <w:r>
        <w:rPr>
          <w:rStyle w:val="8"/>
          <w:rFonts w:hint="eastAsia" w:ascii="Times New Roman" w:hAnsi="Times New Roman" w:eastAsia="宋体" w:cs="Times New Roman"/>
          <w:color w:val="000000"/>
          <w:sz w:val="24"/>
          <w:szCs w:val="24"/>
          <w:lang w:val="en-US" w:eastAsia="zh-CN"/>
        </w:rPr>
        <w:t>i</w:t>
      </w:r>
      <w:r>
        <w:rPr>
          <w:rStyle w:val="8"/>
          <w:rFonts w:hint="default" w:ascii="Times New Roman" w:hAnsi="Times New Roman" w:eastAsia="宋体" w:cs="Times New Roman"/>
          <w:color w:val="000000"/>
          <w:sz w:val="24"/>
          <w:szCs w:val="24"/>
        </w:rPr>
        <w:t>ndex</w:t>
      </w:r>
      <w:r>
        <w:rPr>
          <w:rStyle w:val="8"/>
          <w:rFonts w:hint="default" w:ascii="Times New Roman" w:hAnsi="Times New Roman" w:eastAsia="宋体" w:cs="Times New Roman"/>
          <w:color w:val="000000"/>
          <w:sz w:val="24"/>
          <w:szCs w:val="24"/>
          <w:lang w:val="en-US" w:eastAsia="zh-CN"/>
        </w:rPr>
        <w:t xml:space="preserve">; ACR, albumin-creatinine ratio; e-GFR, estimated glomerular filtration rate; </w:t>
      </w:r>
      <w:r>
        <w:rPr>
          <w:rStyle w:val="8"/>
          <w:rFonts w:hint="default" w:ascii="Times New Roman" w:hAnsi="Times New Roman" w:cs="Times New Roman"/>
          <w:color w:val="000000"/>
          <w:sz w:val="24"/>
          <w:szCs w:val="24"/>
          <w:lang w:val="en-US" w:eastAsia="zh-CN"/>
        </w:rPr>
        <w:t>CKD, chronic kidney disease</w:t>
      </w:r>
      <w:r>
        <w:rPr>
          <w:rStyle w:val="8"/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 xml:space="preserve">; 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LPD, </w:t>
      </w:r>
      <w:r>
        <w:rPr>
          <w:rStyle w:val="8"/>
          <w:rFonts w:hint="eastAsia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l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ow protein diet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RAASi, </w:t>
      </w:r>
      <w:r>
        <w:rPr>
          <w:rFonts w:hint="eastAsia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enin-angiotensin-aldosterone system inhibitor;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</w:pPr>
    </w:p>
    <w:p>
      <w:pPr>
        <w:spacing w:line="360" w:lineRule="auto"/>
        <w:jc w:val="both"/>
        <w:rPr>
          <w:rFonts w:hint="default" w:ascii="Times New Roman" w:hAnsi="Times New Roman" w:cs="Times New Roman"/>
          <w:b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Supplementary -table </w:t>
      </w:r>
      <w:r>
        <w:rPr>
          <w:rFonts w:hint="eastAsia" w:ascii="Times New Roman" w:hAnsi="Times New Roman" w:cs="Times New Roman"/>
          <w:b/>
          <w:bCs/>
          <w:color w:val="000000"/>
          <w:sz w:val="24"/>
          <w:lang w:val="en-US" w:eastAsia="zh-CN"/>
        </w:rPr>
        <w:t>4</w:t>
      </w:r>
      <w:r>
        <w:rPr>
          <w:rFonts w:hint="default" w:ascii="Times New Roman" w:hAnsi="Times New Roman" w:cs="Times New Roman"/>
          <w:b w:val="0"/>
          <w:bCs/>
          <w:color w:val="0C0C0C"/>
          <w:sz w:val="21"/>
          <w:szCs w:val="21"/>
        </w:rPr>
        <w:t xml:space="preserve">. </w:t>
      </w:r>
      <w:r>
        <w:rPr>
          <w:rFonts w:hint="default" w:ascii="Times New Roman" w:hAnsi="Times New Roman" w:cs="Times New Roman"/>
          <w:b/>
          <w:bCs w:val="0"/>
          <w:color w:val="000000"/>
          <w:sz w:val="21"/>
          <w:szCs w:val="21"/>
        </w:rPr>
        <w:t xml:space="preserve">Associations between </w:t>
      </w:r>
      <w:r>
        <w:rPr>
          <w:rFonts w:hint="default" w:ascii="Times New Roman" w:hAnsi="Times New Roman" w:cs="Times New Roman"/>
          <w:b/>
          <w:bCs w:val="0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energy intake </w:t>
      </w:r>
      <w:r>
        <w:rPr>
          <w:rFonts w:hint="default" w:ascii="Times New Roman" w:hAnsi="Times New Roman" w:cs="Times New Roman"/>
          <w:b/>
          <w:bCs w:val="0"/>
          <w:color w:val="000000"/>
          <w:sz w:val="21"/>
          <w:szCs w:val="21"/>
        </w:rPr>
        <w:t xml:space="preserve">and 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cardiovascular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color w:val="000000"/>
          <w:sz w:val="21"/>
          <w:szCs w:val="21"/>
          <w:lang w:val="en-US" w:eastAsia="zh-CN"/>
        </w:rPr>
        <w:t>mortality in</w:t>
      </w:r>
      <w:r>
        <w:rPr>
          <w:rFonts w:hint="default" w:ascii="Times New Roman" w:hAnsi="Times New Roman" w:cs="Times New Roman"/>
          <w:b/>
          <w:bCs w:val="0"/>
          <w:color w:val="000000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/>
          <w:bCs w:val="0"/>
          <w:color w:val="000000"/>
          <w:sz w:val="21"/>
          <w:szCs w:val="21"/>
          <w:lang w:val="en-US" w:eastAsia="zh-CN"/>
        </w:rPr>
        <w:t xml:space="preserve">CKD </w:t>
      </w:r>
      <w:r>
        <w:rPr>
          <w:rFonts w:hint="eastAsia" w:ascii="Times New Roman" w:hAnsi="Times New Roman" w:cs="Times New Roman"/>
          <w:b/>
          <w:bCs w:val="0"/>
          <w:color w:val="000000"/>
          <w:sz w:val="21"/>
          <w:szCs w:val="21"/>
          <w:lang w:val="en-US" w:eastAsia="zh-CN"/>
        </w:rPr>
        <w:t>on a LPD</w:t>
      </w:r>
    </w:p>
    <w:tbl>
      <w:tblPr>
        <w:tblStyle w:val="3"/>
        <w:tblW w:w="13889" w:type="dxa"/>
        <w:tblInd w:w="-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3"/>
        <w:gridCol w:w="1696"/>
        <w:gridCol w:w="892"/>
        <w:gridCol w:w="1696"/>
        <w:gridCol w:w="892"/>
        <w:gridCol w:w="1756"/>
        <w:gridCol w:w="892"/>
        <w:gridCol w:w="1756"/>
        <w:gridCol w:w="7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Variables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Unadjusted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Model 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</w:rPr>
              <w:t>a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Model 2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</w:rPr>
              <w:t>b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Model 3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Tertile 3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Tertile 2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2.54(1.45,4.45)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0.001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2.35(1.39,3.99)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0.001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2.38(1.36, 4.18)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0.002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1.97(1.10, 3.52)</w:t>
            </w:r>
          </w:p>
        </w:tc>
        <w:tc>
          <w:tcPr>
            <w:tcW w:w="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Tertile 1</w:t>
            </w: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2.48(1.38,4.44)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0.002</w:t>
            </w: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2.77(1.59,4.84)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7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2.76(1.60, 4.77)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7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2.37(1.38, 4.06)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0.002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P for trend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0.002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0.003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  <w:t>Per-SD increment of energy intake</w:t>
            </w:r>
          </w:p>
        </w:tc>
        <w:tc>
          <w:tcPr>
            <w:tcW w:w="1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1.41(1.13,1.76)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0.002</w:t>
            </w:r>
          </w:p>
        </w:tc>
        <w:tc>
          <w:tcPr>
            <w:tcW w:w="1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1.49(1.17,1.92)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0.002</w:t>
            </w:r>
          </w:p>
        </w:tc>
        <w:tc>
          <w:tcPr>
            <w:tcW w:w="1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1.48(1.18, 1.87)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FF0000"/>
                <w:kern w:val="0"/>
                <w:sz w:val="21"/>
                <w:szCs w:val="21"/>
                <w:u w:val="none"/>
                <w:lang w:val="en-US" w:eastAsia="zh-CN" w:bidi="ar"/>
              </w:rPr>
              <w:t>&lt;0.001</w:t>
            </w:r>
          </w:p>
        </w:tc>
        <w:tc>
          <w:tcPr>
            <w:tcW w:w="1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 w:val="0"/>
                <w:bCs/>
                <w:sz w:val="21"/>
                <w:szCs w:val="21"/>
                <w:lang w:val="en-US" w:eastAsia="zh-CN" w:bidi="ar"/>
              </w:rPr>
              <w:t>1.41(1.12, 1.77)</w:t>
            </w:r>
          </w:p>
        </w:tc>
        <w:tc>
          <w:tcPr>
            <w:tcW w:w="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/>
                <w:spacing w:val="0"/>
                <w:sz w:val="21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0.004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left="0" w:right="0" w:firstLine="0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1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a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adjusted for baseline age, 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eastAsia="zh-CN"/>
        </w:rPr>
        <w:t>ex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 (‘Male’, ‘Female’)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e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thnic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, BMI (‘&lt;30’, ‘≥30’), alcohol use (‘No’, ‘Yes’), smoke (‘No’, ‘’Yes)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2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b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adjusted for covariates in model 1 plus </w:t>
      </w:r>
      <w:r>
        <w:rPr>
          <w:rStyle w:val="8"/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e-GFR, ACR (‘&lt;30’, ‘30-300’, ‘≥30’)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;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3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c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adjusted for covariates in model 2 plus 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</w:rPr>
        <w:t>erum albumin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 (‘&lt;35’, ‘≥35’), hypertension (‘Yes’ or ‘No’), anemia (‘Yes’ or ‘No’), diabetes (‘Yes’ or ‘No’), hyperlipidemia (‘Yes’ or ‘No’), RASSi use (‘Yes’ or ‘No’); 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HR, h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</w:rPr>
        <w:t xml:space="preserve">azard 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</w:rPr>
        <w:t>atio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CI, </w:t>
      </w:r>
      <w:r>
        <w:rPr>
          <w:rStyle w:val="8"/>
          <w:rFonts w:hint="eastAsia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c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>onfidence interval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BMI, </w:t>
      </w:r>
      <w:r>
        <w:rPr>
          <w:rStyle w:val="8"/>
          <w:rFonts w:hint="eastAsia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b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 xml:space="preserve">ody </w:t>
      </w:r>
      <w:r>
        <w:rPr>
          <w:rStyle w:val="8"/>
          <w:rFonts w:hint="eastAsia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m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 xml:space="preserve">ass </w:t>
      </w:r>
      <w:r>
        <w:rPr>
          <w:rStyle w:val="8"/>
          <w:rFonts w:hint="eastAsia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i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>ndex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; ACR, albumin-creatinine ratio; e-GFR, estimated glomerular filtration rat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e; RAASi, </w:t>
      </w:r>
      <w:r>
        <w:rPr>
          <w:rFonts w:hint="eastAsia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enin-angiotensin-aldosterone system inhibitor; CKD, chr</w:t>
      </w:r>
      <w:r>
        <w:rPr>
          <w:rStyle w:val="8"/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onic kidney disease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Supplementary -table 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lang w:val="en-US" w:eastAsia="zh-CN"/>
        </w:rPr>
        <w:t>5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b/>
          <w:bCs w:val="0"/>
          <w:sz w:val="21"/>
          <w:szCs w:val="21"/>
          <w:lang w:val="en-US" w:eastAsia="zh-CN"/>
        </w:rPr>
        <w:t>Stratified analysis of the effect of energy intake and the cardiovascular</w:t>
      </w:r>
      <w:r>
        <w:rPr>
          <w:rFonts w:hint="eastAsia" w:ascii="Times New Roman" w:hAnsi="Times New Roman" w:cs="Times New Roman"/>
          <w:b/>
          <w:bCs w:val="0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 w:val="0"/>
          <w:sz w:val="21"/>
          <w:szCs w:val="21"/>
          <w:lang w:val="en-US" w:eastAsia="zh-CN"/>
        </w:rPr>
        <w:t xml:space="preserve">mortality in patients with CKD on </w:t>
      </w:r>
      <w:r>
        <w:rPr>
          <w:rFonts w:hint="eastAsia" w:ascii="Times New Roman" w:hAnsi="Times New Roman" w:cs="Times New Roman"/>
          <w:b/>
          <w:bCs w:val="0"/>
          <w:sz w:val="21"/>
          <w:szCs w:val="21"/>
          <w:lang w:val="en-US" w:eastAsia="zh-CN"/>
        </w:rPr>
        <w:t>a LPD</w:t>
      </w:r>
    </w:p>
    <w:tbl>
      <w:tblPr>
        <w:tblStyle w:val="3"/>
        <w:tblW w:w="9055" w:type="dxa"/>
        <w:tblInd w:w="-27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5"/>
        <w:gridCol w:w="960"/>
        <w:gridCol w:w="1680"/>
        <w:gridCol w:w="1940"/>
        <w:gridCol w:w="1157"/>
        <w:gridCol w:w="177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Variables</w:t>
            </w:r>
          </w:p>
        </w:tc>
        <w:tc>
          <w:tcPr>
            <w:tcW w:w="458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HR (95% CI)</w:t>
            </w:r>
          </w:p>
        </w:tc>
        <w:tc>
          <w:tcPr>
            <w:tcW w:w="115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 for trend</w:t>
            </w:r>
          </w:p>
        </w:tc>
        <w:tc>
          <w:tcPr>
            <w:tcW w:w="1773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 for interaction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Tertile 3</w:t>
            </w: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Tertile 2</w:t>
            </w: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Tertile 1</w:t>
            </w:r>
          </w:p>
        </w:tc>
        <w:tc>
          <w:tcPr>
            <w:tcW w:w="115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3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Age (years)</w:t>
            </w:r>
          </w:p>
        </w:tc>
        <w:tc>
          <w:tcPr>
            <w:tcW w:w="96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OLE_LINK1" w:colFirst="2" w:colLast="3"/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&lt;60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0.38(0.06, 2.19)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3.12(0.53, 18.55)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0.17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bookmarkEnd w:id="0"/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≥60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2.22(1.24,3.99)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1.85(1.05,3.26)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Sex (%)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Female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2.03(0.91,4.52)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2.45(1.13,5.32)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Male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1.90(0.86,4.21)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1.75(0.70,4.38)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BMI (kg/m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0.91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&lt;30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2.09( 0.79, 5.55)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1.84( 0.55, 6.17)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2.54(1.26,5.12)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2.74(1.44,5.21)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ACR (mg/g)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&lt;30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3.30(1.51,7.18)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1.82(0.64,5.17)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30-300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1.73(0.80,3.73)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2.28(0.78,6.67)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0.14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≥300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0.32(0.04,2.35)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1.09(0.26,4.61)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0.57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e-GFR (ml/min/1.73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vertAlign w:val="superscript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&lt;0.001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&lt;60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0.53(0.21,1.36)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1.57(0.75,3.31)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≥60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3.79(1.99,7.21)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3.14(1.38,7.13)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0.02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Diabetes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No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1.20(0.44,3.27)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1.69(0.83,3.44)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0.08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Yes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3.04(1.56, 5.89)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1.72(0.64, 4.59)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0.19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CVD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 w:eastAsiaTheme="minorEastAsia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0.32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1.44(0.63,3.30)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2.39(1.28,4.49)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0.01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Yes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68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2.64(1.23,5.69)</w:t>
            </w:r>
          </w:p>
        </w:tc>
        <w:tc>
          <w:tcPr>
            <w:tcW w:w="19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2.50(1.06,5.89)</w:t>
            </w:r>
          </w:p>
        </w:tc>
        <w:tc>
          <w:tcPr>
            <w:tcW w:w="115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0.05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line="360" w:lineRule="auto"/>
        <w:jc w:val="both"/>
        <w:textAlignment w:val="bottom"/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 xml:space="preserve">Adjusted for baseline age, sex, </w:t>
      </w:r>
      <w:r>
        <w:rPr>
          <w:rFonts w:hint="eastAsia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ethnicity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,BMI, e-GFR, ACR, e-GFR; HR, hazard ratio; CI, confidence interval; ACR, albumin-creatinine ratio; e-GFR, estimated glomerular filtration rate; CKD, chronic kidney disease; CVD, Cardiovascular Disease</w:t>
      </w:r>
    </w:p>
    <w:p>
      <w:pPr>
        <w:keepNext w:val="0"/>
        <w:keepLines w:val="0"/>
        <w:widowControl/>
        <w:suppressLineNumbers w:val="0"/>
        <w:spacing w:line="360" w:lineRule="auto"/>
        <w:jc w:val="both"/>
        <w:textAlignment w:val="bottom"/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both"/>
        <w:textAlignment w:val="bottom"/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pacing w:line="360" w:lineRule="auto"/>
        <w:jc w:val="both"/>
        <w:textAlignment w:val="bottom"/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p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Supplementary -table 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lang w:val="en-US" w:eastAsia="zh-CN"/>
        </w:rPr>
        <w:t>6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>. Subgroup analysis of the effect of energy intake and the cardiovascular mortality in patients with CKD on a LPD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</w:p>
    <w:tbl>
      <w:tblPr>
        <w:tblStyle w:val="3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9"/>
        <w:gridCol w:w="1202"/>
        <w:gridCol w:w="1752"/>
        <w:gridCol w:w="861"/>
        <w:gridCol w:w="1785"/>
        <w:gridCol w:w="106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vMerge w:val="restar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Variables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Tertile 3</w:t>
            </w:r>
          </w:p>
        </w:tc>
        <w:tc>
          <w:tcPr>
            <w:tcW w:w="153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Tertile 2</w:t>
            </w:r>
          </w:p>
        </w:tc>
        <w:tc>
          <w:tcPr>
            <w:tcW w:w="1669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Tertile 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vMerge w:val="continue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28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HR (95% CI)</w:t>
            </w:r>
          </w:p>
        </w:tc>
        <w:tc>
          <w:tcPr>
            <w:tcW w:w="505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</w:t>
            </w:r>
          </w:p>
        </w:tc>
        <w:tc>
          <w:tcPr>
            <w:tcW w:w="1047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HR (95% CI)</w:t>
            </w:r>
          </w:p>
        </w:tc>
        <w:tc>
          <w:tcPr>
            <w:tcW w:w="622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Age (years)</w:t>
            </w:r>
          </w:p>
        </w:tc>
        <w:tc>
          <w:tcPr>
            <w:tcW w:w="70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28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5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47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2" w:type="pct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&lt;60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2.97(1.69, 5.23)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&lt;0.001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2.89(1.79, 4.65)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&lt;0.001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≥60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1.04(0.77, 1.41)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0"/>
                <w:sz w:val="21"/>
                <w:szCs w:val="21"/>
                <w:u w:val="none"/>
                <w:lang w:val="en-US" w:eastAsia="zh-CN" w:bidi="ar"/>
              </w:rPr>
              <w:t>0.8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333333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1.01(0.71, 1.42)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0.96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e-GFR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&lt;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1.46(1.01,2.11)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0.04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1.73(1.21,2.47)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≥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0.97(0.79, 1.19)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0.94(0.74, 1.19)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</w:t>
            </w:r>
            <w:r>
              <w:rPr>
                <w:rFonts w:hint="eastAsia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Diabetes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No</w:t>
            </w:r>
          </w:p>
        </w:tc>
        <w:tc>
          <w:tcPr>
            <w:tcW w:w="7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0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1.07(0.77,1.47)</w:t>
            </w:r>
          </w:p>
        </w:tc>
        <w:tc>
          <w:tcPr>
            <w:tcW w:w="5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0.69</w:t>
            </w:r>
          </w:p>
        </w:tc>
        <w:tc>
          <w:tcPr>
            <w:tcW w:w="10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1.36(0.95,1.94)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0.09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091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   Yes</w:t>
            </w:r>
          </w:p>
        </w:tc>
        <w:tc>
          <w:tcPr>
            <w:tcW w:w="70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leftChars="0" w:right="0" w:rightChars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ref</w:t>
            </w:r>
          </w:p>
        </w:tc>
        <w:tc>
          <w:tcPr>
            <w:tcW w:w="1028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1.78(1.22,2.59)</w:t>
            </w:r>
          </w:p>
        </w:tc>
        <w:tc>
          <w:tcPr>
            <w:tcW w:w="50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0.003</w:t>
            </w:r>
          </w:p>
        </w:tc>
        <w:tc>
          <w:tcPr>
            <w:tcW w:w="1047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default" w:ascii="Times New Roman" w:hAnsi="Times New Roman" w:eastAsia="Calibri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1.89(1.29,2.78)</w:t>
            </w:r>
          </w:p>
        </w:tc>
        <w:tc>
          <w:tcPr>
            <w:tcW w:w="62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textAlignment w:val="bottom"/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  <w:lang w:val="en-US" w:eastAsia="zh-CN"/>
              </w:rPr>
              <w:t>0.001</w:t>
            </w:r>
          </w:p>
        </w:tc>
      </w:tr>
    </w:tbl>
    <w:p>
      <w:pPr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1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a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adjusted for baseline age, 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eastAsia="zh-CN"/>
        </w:rPr>
        <w:t>ex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 (‘Male’, ‘Female’)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e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thnic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, BMI (‘&lt;30’, ‘≥30’), alcohol use (‘No’, ‘Yes’), smoke (‘No’, ‘’Yes)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, </w:t>
      </w:r>
      <w:r>
        <w:rPr>
          <w:rStyle w:val="8"/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e-GFR, ACR (‘&lt;30’, ‘30-300’, ‘≥30’)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, 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</w:rPr>
        <w:t>albumin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 (‘&lt;35’, ‘≥35’), hypertension (‘Yes’ or ‘No’), anemia (‘Yes’ or ‘No’), diabetes (‘Yes’ or ‘No’), hyperlipidemia (‘Yes’ or ‘No’), RASSi use (‘Yes’ or ‘No’); 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HR, h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</w:rPr>
        <w:t xml:space="preserve">azard 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</w:rPr>
        <w:t>atio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CI, 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>Confidence interval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BMI,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b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 xml:space="preserve">ody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m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 xml:space="preserve">ass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i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>ndex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; ACR, albumin-creatinine ratio; e-GFR, estimated glomerular filtration rat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e; RAASi, </w:t>
      </w:r>
      <w:r>
        <w:rPr>
          <w:rFonts w:hint="eastAsia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enin-angiotensin-aldosterone system inhibitor; CKD, chr</w:t>
      </w:r>
      <w:r>
        <w:rPr>
          <w:rStyle w:val="8"/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onic kidney disease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. 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Supplementary -table 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lang w:val="en-US" w:eastAsia="zh-CN"/>
        </w:rPr>
        <w:t>7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. Relationship between energy intake and cardiovascular mortality in CKD patients on 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LPD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based on data from deleted outliers</w:t>
      </w:r>
    </w:p>
    <w:tbl>
      <w:tblPr>
        <w:tblStyle w:val="3"/>
        <w:tblW w:w="13889" w:type="dxa"/>
        <w:tblInd w:w="-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3"/>
        <w:gridCol w:w="1696"/>
        <w:gridCol w:w="892"/>
        <w:gridCol w:w="1696"/>
        <w:gridCol w:w="892"/>
        <w:gridCol w:w="1756"/>
        <w:gridCol w:w="892"/>
        <w:gridCol w:w="1756"/>
        <w:gridCol w:w="7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</w:tblPrEx>
        <w:trPr>
          <w:trHeight w:val="325" w:hRule="atLeast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Variables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Unadjusted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Model 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Model 2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Model 3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Tertile 3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0" w:type="auto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Tertile 2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2.53(1.36,4.70)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0.003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2.31(1.32,4.04)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0.003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2.46(1.36, 4.44)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0.003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2.19(1.21, 3.95)</w:t>
            </w:r>
          </w:p>
        </w:tc>
        <w:tc>
          <w:tcPr>
            <w:tcW w:w="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Tertile 1</w:t>
            </w: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1.92(1.18,3.13)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0.01</w:t>
            </w: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2.07(1.26,3.42)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0.004</w:t>
            </w:r>
          </w:p>
        </w:tc>
        <w:tc>
          <w:tcPr>
            <w:tcW w:w="17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2.14(1.29, 3.55)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0.003</w:t>
            </w:r>
          </w:p>
        </w:tc>
        <w:tc>
          <w:tcPr>
            <w:tcW w:w="17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1.81(1.08, 3.04)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 for trend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0.01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0.004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kern w:val="2"/>
                <w:sz w:val="21"/>
                <w:szCs w:val="21"/>
                <w:shd w:val="clear" w:color="auto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Per-SD increment of energy intake</w:t>
            </w:r>
          </w:p>
        </w:tc>
        <w:tc>
          <w:tcPr>
            <w:tcW w:w="1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rFonts w:hint="default" w:ascii="Times New Roman" w:hAnsi="Times New Roman" w:cs="Times New Roman"/>
                <w:b w:val="0"/>
                <w:bCs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1.36(1.14,1.63)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1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1.41(1.16,1.72)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1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1.43(1.18, 1.74)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0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&lt;0.001</w:t>
            </w:r>
          </w:p>
        </w:tc>
        <w:tc>
          <w:tcPr>
            <w:tcW w:w="1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rFonts w:hint="default" w:ascii="Times New Roman" w:hAnsi="Times New Roman" w:eastAsia="宋体" w:cs="Times New Roman"/>
                <w:b w:val="0"/>
                <w:bCs/>
                <w:color w:val="000000" w:themeColor="text1"/>
                <w:sz w:val="21"/>
                <w:szCs w:val="2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1.33(1.09, 1.63)</w:t>
            </w:r>
          </w:p>
        </w:tc>
        <w:tc>
          <w:tcPr>
            <w:tcW w:w="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0.005</w:t>
            </w:r>
          </w:p>
        </w:tc>
      </w:tr>
    </w:tbl>
    <w:p>
      <w:pPr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1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a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adjusted for baseline age, 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eastAsia="zh-CN"/>
        </w:rPr>
        <w:t>ex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 (‘Male’, ‘Female’)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e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thnic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, BMI (‘&lt;30’, ‘≥30’), alcohol use (‘No’, ‘Yes’), smoke (‘No’, ‘’Yes)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2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b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adjusted for covariates in model 1 plus </w:t>
      </w:r>
      <w:r>
        <w:rPr>
          <w:rStyle w:val="8"/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e-GFR, ACR (‘&lt;30’, ‘30-300’, ‘≥30’)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;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3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c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adjusted for covariates in model 2 plus 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</w:rPr>
        <w:t>erum albumin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 (‘&lt;35’, ‘≥35’), hypertension (‘Yes’ or ‘No’), anemia (‘Yes’ or ‘No’), diabetes (‘Yes’ or ‘No’), hyperlipidemia (‘Yes’ or ‘No’), RASSi use (‘Yes’ or ‘No’); 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HR, h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</w:rPr>
        <w:t xml:space="preserve">azard 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</w:rPr>
        <w:t>atio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CI,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c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>onfidence interval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BMI,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b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 xml:space="preserve">ody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m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 xml:space="preserve">ass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i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>ndex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; ACR, albumin-creatinine ratio; e-GFR, estimated glomerular filtration rat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e; RAASi, </w:t>
      </w:r>
      <w:r>
        <w:rPr>
          <w:rFonts w:hint="eastAsia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enin-angiotensin-aldosterone system inhibitor; CKD, chr</w:t>
      </w:r>
      <w:r>
        <w:rPr>
          <w:rStyle w:val="8"/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onic kidney disease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. 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</w:p>
    <w:p>
      <w:pPr>
        <w:spacing w:line="360" w:lineRule="auto"/>
        <w:jc w:val="both"/>
        <w:rPr>
          <w:rFonts w:ascii="Times New Roman" w:hAnsi="Times New Roman" w:eastAsia="宋体" w:cs="Times New Roman"/>
          <w:b/>
          <w:bCs/>
          <w:color w:val="000000"/>
          <w:sz w:val="24"/>
        </w:rPr>
      </w:pPr>
    </w:p>
    <w:p>
      <w:pPr>
        <w:spacing w:line="360" w:lineRule="auto"/>
        <w:jc w:val="both"/>
        <w:rPr>
          <w:rFonts w:ascii="Times New Roman" w:hAnsi="Times New Roman" w:eastAsia="宋体" w:cs="Times New Roman"/>
          <w:b/>
          <w:bCs/>
          <w:color w:val="000000"/>
          <w:sz w:val="24"/>
        </w:rPr>
      </w:pPr>
    </w:p>
    <w:p>
      <w:pPr>
        <w:spacing w:line="360" w:lineRule="auto"/>
        <w:jc w:val="both"/>
        <w:rPr>
          <w:rFonts w:ascii="Times New Roman" w:hAnsi="Times New Roman" w:eastAsia="宋体" w:cs="Times New Roman"/>
          <w:b/>
          <w:bCs/>
          <w:color w:val="000000"/>
          <w:sz w:val="24"/>
        </w:rPr>
      </w:pPr>
    </w:p>
    <w:p>
      <w:pPr>
        <w:spacing w:line="360" w:lineRule="auto"/>
        <w:jc w:val="both"/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color w:val="000000"/>
          <w:sz w:val="24"/>
        </w:rPr>
        <w:t xml:space="preserve">Supplementary -table </w:t>
      </w:r>
      <w:r>
        <w:rPr>
          <w:rFonts w:hint="eastAsia" w:ascii="Times New Roman" w:hAnsi="Times New Roman" w:eastAsia="宋体" w:cs="Times New Roman"/>
          <w:b/>
          <w:bCs/>
          <w:color w:val="000000"/>
          <w:sz w:val="24"/>
          <w:lang w:val="en-US" w:eastAsia="zh-CN"/>
        </w:rPr>
        <w:t>8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. Relationship between energy intake and cardiovascular mortality in CKD patients on 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LPD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 based on </w:t>
      </w:r>
      <w:r>
        <w:rPr>
          <w:rFonts w:hint="eastAsia" w:ascii="Times New Roman" w:hAnsi="Times New Roman" w:cs="Times New Roman"/>
          <w:b/>
          <w:bCs/>
          <w:sz w:val="21"/>
          <w:szCs w:val="21"/>
          <w:lang w:val="en-US" w:eastAsia="zh-CN"/>
        </w:rPr>
        <w:t>data m</w:t>
      </w:r>
      <w:r>
        <w:rPr>
          <w:rFonts w:hint="default" w:ascii="Times New Roman" w:hAnsi="Times New Roman" w:cs="Times New Roman"/>
          <w:b/>
          <w:bCs/>
          <w:sz w:val="21"/>
          <w:szCs w:val="21"/>
          <w:lang w:val="en-US" w:eastAsia="zh-CN"/>
        </w:rPr>
        <w:t xml:space="preserve">issing values deleted 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</w:p>
    <w:tbl>
      <w:tblPr>
        <w:tblStyle w:val="3"/>
        <w:tblW w:w="13889" w:type="dxa"/>
        <w:tblInd w:w="-6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53"/>
        <w:gridCol w:w="1696"/>
        <w:gridCol w:w="892"/>
        <w:gridCol w:w="1696"/>
        <w:gridCol w:w="892"/>
        <w:gridCol w:w="1756"/>
        <w:gridCol w:w="892"/>
        <w:gridCol w:w="1756"/>
        <w:gridCol w:w="75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Variables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Unadjusted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Model 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a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Model 2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b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Model 3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c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HR (95%CI)</w:t>
            </w:r>
          </w:p>
        </w:tc>
        <w:tc>
          <w:tcPr>
            <w:tcW w:w="0" w:type="auto"/>
            <w:tcBorders>
              <w:top w:val="single" w:color="auto" w:sz="4" w:space="0"/>
              <w:bottom w:val="single" w:color="auto" w:sz="4" w:space="0"/>
            </w:tcBorders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Tertile 3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ref</w:t>
            </w:r>
          </w:p>
        </w:tc>
        <w:tc>
          <w:tcPr>
            <w:tcW w:w="0" w:type="auto"/>
            <w:tcBorders>
              <w:top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0" w:type="auto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Tertile 2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2.54(1.45,4.45)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4.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4.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02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3.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86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0" w:type="auto"/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Tertile 1</w:t>
            </w: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2.48(1.38,4.44)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1696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(1.5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5.05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1756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83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9, 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5.0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5)</w:t>
            </w:r>
          </w:p>
        </w:tc>
        <w:tc>
          <w:tcPr>
            <w:tcW w:w="892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1756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2.25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33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3.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756" w:type="dxa"/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0" w:type="auto"/>
            <w:shd w:val="clear" w:color="auto" w:fill="C5E0B3" w:themeFill="accent6" w:themeFillTint="66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 for trend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169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92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&lt;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01</w:t>
            </w:r>
          </w:p>
        </w:tc>
        <w:tc>
          <w:tcPr>
            <w:tcW w:w="1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shd w:val="clear" w:color="auto" w:fill="C5E0B3" w:themeFill="accent6" w:themeFillTint="66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0" w:type="auto"/>
            <w:tcBorders>
              <w:bottom w:val="single" w:color="auto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Per-SD increment of energy intake</w:t>
            </w:r>
          </w:p>
        </w:tc>
        <w:tc>
          <w:tcPr>
            <w:tcW w:w="1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(1.1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76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  <w:tc>
          <w:tcPr>
            <w:tcW w:w="169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1(1.1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96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  <w:tc>
          <w:tcPr>
            <w:tcW w:w="1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(1.1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4)</w:t>
            </w:r>
          </w:p>
        </w:tc>
        <w:tc>
          <w:tcPr>
            <w:tcW w:w="89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0.002</w:t>
            </w:r>
          </w:p>
        </w:tc>
        <w:tc>
          <w:tcPr>
            <w:tcW w:w="1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42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(1.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, 1.</w:t>
            </w:r>
            <w:r>
              <w:rPr>
                <w:rFonts w:hint="eastAsia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81</w:t>
            </w: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)</w:t>
            </w:r>
          </w:p>
        </w:tc>
        <w:tc>
          <w:tcPr>
            <w:tcW w:w="75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1"/>
                <w:szCs w:val="21"/>
                <w:shd w:val="clear" w:color="auto" w:fill="FFFFFF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0.005</w:t>
            </w:r>
          </w:p>
        </w:tc>
      </w:tr>
    </w:tbl>
    <w:p>
      <w:pPr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1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a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adjusted for baseline age, 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eastAsia="zh-CN"/>
        </w:rPr>
        <w:t>ex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 (‘Male’, ‘Female’)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, 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e</w:t>
      </w:r>
      <w:r>
        <w:rPr>
          <w:rFonts w:hint="default" w:ascii="Times New Roman" w:hAnsi="Times New Roman" w:eastAsia="宋体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thnic</w:t>
      </w:r>
      <w:r>
        <w:rPr>
          <w:rFonts w:hint="default" w:ascii="Times New Roman" w:hAnsi="Times New Roman" w:cs="Times New Roman"/>
          <w:b w:val="0"/>
          <w:bCs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  <w:t>, BMI (‘&lt;30’, ‘≥30’), alcohol use (‘No’, ‘Yes’), smoke (‘No’, ‘’Yes)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; 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2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b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adjusted for covariates in model 1 plus </w:t>
      </w:r>
      <w:r>
        <w:rPr>
          <w:rStyle w:val="8"/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>e-GFR, ACR (‘&lt;30’, ‘30-300’, ‘≥30’)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;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</w:t>
      </w:r>
      <w:r>
        <w:rPr>
          <w:rFonts w:hint="default" w:ascii="Times New Roman" w:hAnsi="Times New Roman" w:cs="Times New Roman"/>
          <w:b w:val="0"/>
          <w:bCs/>
          <w:sz w:val="21"/>
          <w:szCs w:val="21"/>
        </w:rPr>
        <w:t>Model 3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vertAlign w:val="superscript"/>
        </w:rPr>
        <w:t>c</w:t>
      </w: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</w:rPr>
        <w:t xml:space="preserve"> adjusted for covariates in model 2 plus 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s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</w:rPr>
        <w:t>erum albumin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 (‘&lt;35’, ‘≥35’), hypertension (‘Yes’ or ‘No’), anemia (‘Yes’ or ‘No’), diabetes (‘Yes’ or ‘No’), hyperlipidemia (‘Yes’ or ‘No’), RASSi use (‘Yes’ or ‘No’); 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HR, h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</w:rPr>
        <w:t xml:space="preserve">azard 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kern w:val="0"/>
          <w:sz w:val="21"/>
          <w:szCs w:val="21"/>
        </w:rPr>
        <w:t>atio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CI,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c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>onfidence interval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 xml:space="preserve">; BMI,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b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 xml:space="preserve">ody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m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 xml:space="preserve">ass </w:t>
      </w:r>
      <w:r>
        <w:rPr>
          <w:rStyle w:val="8"/>
          <w:rFonts w:hint="eastAsia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i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</w:rPr>
        <w:t>ndex</w:t>
      </w:r>
      <w:r>
        <w:rPr>
          <w:rStyle w:val="8"/>
          <w:rFonts w:hint="default" w:ascii="Times New Roman" w:hAnsi="Times New Roman" w:eastAsia="宋体" w:cs="Times New Roman"/>
          <w:b w:val="0"/>
          <w:bCs/>
          <w:color w:val="000000"/>
          <w:sz w:val="21"/>
          <w:szCs w:val="21"/>
          <w:lang w:val="en-US" w:eastAsia="zh-CN"/>
        </w:rPr>
        <w:t>; ACR, albumin-creatinine ratio; e-GFR, estimated glomerular filtration rat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 xml:space="preserve">e; RAASi, </w:t>
      </w:r>
      <w:r>
        <w:rPr>
          <w:rFonts w:hint="eastAsia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r</w:t>
      </w:r>
      <w:r>
        <w:rPr>
          <w:rFonts w:hint="default" w:ascii="Times New Roman" w:hAnsi="Times New Roman" w:cs="Times New Roman"/>
          <w:b w:val="0"/>
          <w:bCs/>
          <w:color w:val="000000"/>
          <w:kern w:val="0"/>
          <w:sz w:val="21"/>
          <w:szCs w:val="21"/>
          <w:lang w:val="en-US" w:eastAsia="zh-CN"/>
        </w:rPr>
        <w:t>enin-angiotensin-aldosterone system inhibitor; CKD, chr</w:t>
      </w:r>
      <w:r>
        <w:rPr>
          <w:rStyle w:val="8"/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onic kidney disease</w:t>
      </w:r>
      <w:r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t xml:space="preserve">. </w:t>
      </w:r>
    </w:p>
    <w:p>
      <w:pPr>
        <w:spacing w:line="360" w:lineRule="auto"/>
        <w:jc w:val="both"/>
        <w:rPr>
          <w:rFonts w:hint="default" w:ascii="Times New Roman" w:hAnsi="Times New Roman" w:cs="Times New Roman"/>
          <w:b w:val="0"/>
          <w:bCs/>
          <w:sz w:val="21"/>
          <w:szCs w:val="21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both"/>
        <w:rPr>
          <w:rFonts w:hint="default" w:ascii="Times New Roman" w:hAnsi="Times New Roman" w:cs="Times New Roman" w:eastAsiaTheme="minorEastAsia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 w:eastAsiaTheme="minorEastAsia"/>
          <w:b/>
          <w:bCs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References</w:t>
      </w:r>
    </w:p>
    <w:p>
      <w:pPr>
        <w:pStyle w:val="6"/>
        <w:bidi w:val="0"/>
        <w:spacing w:line="360" w:lineRule="auto"/>
        <w:ind w:left="720" w:hanging="720"/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</w:pPr>
      <w:r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instrText xml:space="preserve"> ADDIN EN.REFLIST </w:instrText>
      </w:r>
      <w:r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Calibri" w:hAnsi="Calibri" w:cs="Calibri" w:eastAsiaTheme="minorEastAsia"/>
          <w:b/>
          <w:kern w:val="2"/>
          <w:sz w:val="20"/>
          <w:szCs w:val="24"/>
          <w:lang w:val="en-US" w:eastAsia="zh-CN" w:bidi="ar-SA"/>
        </w:rPr>
        <w:t>1.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ab/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 xml:space="preserve">Rattan P, Penrice DD, Ahn JC, et al. Inverse Association of Telomere Length With Liver Disease and Mortality in the US Population. </w:t>
      </w:r>
      <w:r>
        <w:rPr>
          <w:rFonts w:ascii="Calibri" w:hAnsi="Calibri" w:cs="Calibri" w:eastAsiaTheme="minorEastAsia"/>
          <w:i/>
          <w:kern w:val="2"/>
          <w:sz w:val="20"/>
          <w:szCs w:val="24"/>
          <w:lang w:val="en-US" w:eastAsia="zh-CN" w:bidi="ar-SA"/>
        </w:rPr>
        <w:t xml:space="preserve">Hepatol Commun. 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>Feb 2022;6(2):399-410.</w:t>
      </w:r>
    </w:p>
    <w:p>
      <w:pPr>
        <w:pStyle w:val="6"/>
        <w:bidi w:val="0"/>
        <w:spacing w:line="360" w:lineRule="auto"/>
        <w:ind w:left="720" w:hanging="720"/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</w:pPr>
      <w:r>
        <w:rPr>
          <w:rFonts w:ascii="Calibri" w:hAnsi="Calibri" w:cs="Calibri" w:eastAsiaTheme="minorEastAsia"/>
          <w:b/>
          <w:kern w:val="2"/>
          <w:sz w:val="20"/>
          <w:szCs w:val="24"/>
          <w:lang w:val="en-US" w:eastAsia="zh-CN" w:bidi="ar-SA"/>
        </w:rPr>
        <w:t>2.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ab/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 xml:space="preserve">Whelton PK, Carey RM, Aronow WS, et al. 2017 ACC/AHA/AAPA/ABC/ACPM/AGS/APhA/ASH/ASPC/NMA/PCNA Guideline for the Prevention, Detection, Evaluation, and Management of High Blood Pressure in Adults: A Report of the American College of Cardiology/American Heart Association Task Force on Clinical Practice Guidelines. </w:t>
      </w:r>
      <w:r>
        <w:rPr>
          <w:rFonts w:ascii="Calibri" w:hAnsi="Calibri" w:cs="Calibri" w:eastAsiaTheme="minorEastAsia"/>
          <w:i/>
          <w:kern w:val="2"/>
          <w:sz w:val="20"/>
          <w:szCs w:val="24"/>
          <w:lang w:val="en-US" w:eastAsia="zh-CN" w:bidi="ar-SA"/>
        </w:rPr>
        <w:t xml:space="preserve">J Am Coll Cardiol. 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>May 15 2018;71(19):e127-e248.</w:t>
      </w:r>
    </w:p>
    <w:p>
      <w:pPr>
        <w:pStyle w:val="6"/>
        <w:bidi w:val="0"/>
        <w:spacing w:line="360" w:lineRule="auto"/>
        <w:ind w:left="720" w:hanging="720"/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</w:pPr>
      <w:r>
        <w:rPr>
          <w:rFonts w:ascii="Calibri" w:hAnsi="Calibri" w:cs="Calibri" w:eastAsiaTheme="minorEastAsia"/>
          <w:b/>
          <w:kern w:val="2"/>
          <w:sz w:val="20"/>
          <w:szCs w:val="24"/>
          <w:lang w:val="en-US" w:eastAsia="zh-CN" w:bidi="ar-SA"/>
        </w:rPr>
        <w:t>3.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ab/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>WHO. Haemoglobin concentrations for the diagnosis of anaemia and assessment of severity. Vitamin and Mineral Nutrition Information System. Geneva, World Health Organization, 2011 (WHO/NMH/NHD/MNM/11.1).</w:t>
      </w:r>
    </w:p>
    <w:p>
      <w:pPr>
        <w:pStyle w:val="6"/>
        <w:bidi w:val="0"/>
        <w:spacing w:line="360" w:lineRule="auto"/>
        <w:ind w:left="720" w:hanging="720"/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</w:pPr>
      <w:r>
        <w:rPr>
          <w:rFonts w:ascii="Calibri" w:hAnsi="Calibri" w:cs="Calibri" w:eastAsiaTheme="minorEastAsia"/>
          <w:b/>
          <w:kern w:val="2"/>
          <w:sz w:val="20"/>
          <w:szCs w:val="24"/>
          <w:lang w:val="en-US" w:eastAsia="zh-CN" w:bidi="ar-SA"/>
        </w:rPr>
        <w:t>4.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ab/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 xml:space="preserve">Wang J, Zhang J, Lin X, et al. DCA-TGR5 signaling activation alleviates inflammatory response and improves cardiac function in myocardial infarction. </w:t>
      </w:r>
      <w:r>
        <w:rPr>
          <w:rFonts w:ascii="Calibri" w:hAnsi="Calibri" w:cs="Calibri" w:eastAsiaTheme="minorEastAsia"/>
          <w:i/>
          <w:kern w:val="2"/>
          <w:sz w:val="20"/>
          <w:szCs w:val="24"/>
          <w:lang w:val="en-US" w:eastAsia="zh-CN" w:bidi="ar-SA"/>
        </w:rPr>
        <w:t xml:space="preserve">J Mol Cell Cardiol. 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>Feb 2021;151:3-14.</w:t>
      </w:r>
    </w:p>
    <w:p>
      <w:pPr>
        <w:pStyle w:val="6"/>
        <w:bidi w:val="0"/>
        <w:spacing w:line="360" w:lineRule="auto"/>
        <w:ind w:left="720" w:hanging="720"/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</w:pPr>
      <w:r>
        <w:rPr>
          <w:rFonts w:ascii="Calibri" w:hAnsi="Calibri" w:cs="Calibri" w:eastAsiaTheme="minorEastAsia"/>
          <w:b/>
          <w:kern w:val="2"/>
          <w:sz w:val="20"/>
          <w:szCs w:val="24"/>
          <w:lang w:val="en-US" w:eastAsia="zh-CN" w:bidi="ar-SA"/>
        </w:rPr>
        <w:t>5.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ab/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 xml:space="preserve">Hu X, Yan J, Huang L, et al. INT-777 attenuates NLRP3-ASC inflammasome-mediated neuroinflammation via TGR5/cAMP/PKA signaling pathway after subarachnoid hemorrhage in rats. </w:t>
      </w:r>
      <w:r>
        <w:rPr>
          <w:rFonts w:ascii="Calibri" w:hAnsi="Calibri" w:cs="Calibri" w:eastAsiaTheme="minorEastAsia"/>
          <w:i/>
          <w:kern w:val="2"/>
          <w:sz w:val="20"/>
          <w:szCs w:val="24"/>
          <w:lang w:val="en-US" w:eastAsia="zh-CN" w:bidi="ar-SA"/>
        </w:rPr>
        <w:t xml:space="preserve">Brain Behav Immun. 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>Jan 2021;91:587-600.</w:t>
      </w:r>
    </w:p>
    <w:p>
      <w:pPr>
        <w:pStyle w:val="6"/>
        <w:bidi w:val="0"/>
        <w:spacing w:line="360" w:lineRule="auto"/>
        <w:ind w:left="720" w:hanging="720"/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</w:pPr>
      <w:r>
        <w:rPr>
          <w:rFonts w:ascii="Calibri" w:hAnsi="Calibri" w:cs="Calibri" w:eastAsiaTheme="minorEastAsia"/>
          <w:b/>
          <w:kern w:val="2"/>
          <w:sz w:val="20"/>
          <w:szCs w:val="24"/>
          <w:lang w:val="en-US" w:eastAsia="zh-CN" w:bidi="ar-SA"/>
        </w:rPr>
        <w:t>6.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ab/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 xml:space="preserve">Chittka D, Banas B, Lennartz L, et al. Long-term expression of glomerular genes in diabetic nephropathy. </w:t>
      </w:r>
      <w:r>
        <w:rPr>
          <w:rFonts w:ascii="Calibri" w:hAnsi="Calibri" w:cs="Calibri" w:eastAsiaTheme="minorEastAsia"/>
          <w:i/>
          <w:kern w:val="2"/>
          <w:sz w:val="20"/>
          <w:szCs w:val="24"/>
          <w:lang w:val="en-US" w:eastAsia="zh-CN" w:bidi="ar-SA"/>
        </w:rPr>
        <w:t xml:space="preserve">Nephrol Dial Transplant. </w:t>
      </w:r>
      <w:r>
        <w:rPr>
          <w:rFonts w:ascii="Calibri" w:hAnsi="Calibri" w:cs="Calibri" w:eastAsiaTheme="minorEastAsia"/>
          <w:kern w:val="2"/>
          <w:sz w:val="20"/>
          <w:szCs w:val="24"/>
          <w:lang w:val="en-US" w:eastAsia="zh-CN" w:bidi="ar-SA"/>
        </w:rPr>
        <w:t>Sep 1 2018;33(9):1533-1544.</w:t>
      </w:r>
    </w:p>
    <w:p>
      <w:pPr>
        <w:spacing w:line="360" w:lineRule="auto"/>
        <w:jc w:val="both"/>
      </w:pPr>
      <w:r>
        <w:rPr>
          <w:rFonts w:hint="default" w:ascii="Times New Roman" w:hAnsi="Times New Roman" w:cs="Times New Roman" w:eastAsiaTheme="minorEastAsia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dvCAECI-R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TIX-Regular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14E305"/>
    <w:multiLevelType w:val="singleLevel"/>
    <w:tmpl w:val="4D14E305"/>
    <w:lvl w:ilvl="0" w:tentative="0">
      <w:start w:val="1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MxZTc0NDkzNTU0MmFjZWEyOWI4NmM1MjEzMTI4ODMifQ=="/>
    <w:docVar w:name="EN.Layout" w:val="&lt;ENLayout&gt;&lt;Style&gt;Amer J Health Promotion&lt;/Style&gt;&lt;LeftDelim&gt;{&lt;/LeftDelim&gt;&lt;RightDelim&gt;}&lt;/RightDelim&gt;&lt;FontName&gt;Calibri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0x0zp5p0m0pseeezfr25ewp30tzzax99fp02&quot;&gt;能量与CKD&lt;record-ids&gt;&lt;item&gt;28&lt;/item&gt;&lt;item&gt;29&lt;/item&gt;&lt;item&gt;32&lt;/item&gt;&lt;/record-ids&gt;&lt;/item&gt;&lt;/Libraries&gt;"/>
  </w:docVars>
  <w:rsids>
    <w:rsidRoot w:val="00000000"/>
    <w:rsid w:val="0B952EFE"/>
    <w:rsid w:val="0C71209B"/>
    <w:rsid w:val="19337327"/>
    <w:rsid w:val="28865B09"/>
    <w:rsid w:val="338159A2"/>
    <w:rsid w:val="340950AE"/>
    <w:rsid w:val="39900073"/>
    <w:rsid w:val="429E5402"/>
    <w:rsid w:val="44855A3C"/>
    <w:rsid w:val="70510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4">
    <w:name w:val="Table Grid"/>
    <w:basedOn w:val="3"/>
    <w:qFormat/>
    <w:uiPriority w:val="99"/>
    <w:rPr>
      <w:rFonts w:ascii="Calibri Light" w:hAnsi="Calibri Light" w:eastAsia="Times New Roman" w:cs="Calibri Light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EndNote Bibliography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both"/>
    </w:pPr>
    <w:rPr>
      <w:rFonts w:ascii="Calibri" w:hAnsi="Calibri" w:cs="Calibri" w:eastAsiaTheme="minorEastAsia"/>
      <w:kern w:val="2"/>
      <w:sz w:val="20"/>
      <w:szCs w:val="24"/>
      <w:lang w:val="en-US" w:eastAsia="zh-CN" w:bidi="ar-SA"/>
    </w:rPr>
  </w:style>
  <w:style w:type="character" w:customStyle="1" w:styleId="7">
    <w:name w:val="font11"/>
    <w:basedOn w:val="5"/>
    <w:qFormat/>
    <w:uiPriority w:val="0"/>
    <w:rPr>
      <w:rFonts w:hint="default" w:ascii="Calibri" w:hAnsi="Calibri" w:cs="Calibri"/>
      <w:color w:val="333333"/>
      <w:sz w:val="22"/>
      <w:szCs w:val="22"/>
      <w:u w:val="none"/>
    </w:rPr>
  </w:style>
  <w:style w:type="character" w:customStyle="1" w:styleId="8">
    <w:name w:val="fontstyle01"/>
    <w:basedOn w:val="5"/>
    <w:qFormat/>
    <w:uiPriority w:val="0"/>
    <w:rPr>
      <w:rFonts w:hint="default" w:ascii="AdvCAECI-R" w:hAnsi="AdvCAECI-R"/>
      <w:color w:val="000000"/>
      <w:sz w:val="14"/>
      <w:szCs w:val="14"/>
    </w:rPr>
  </w:style>
  <w:style w:type="character" w:customStyle="1" w:styleId="9">
    <w:name w:val="font0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31"/>
    <w:basedOn w:val="5"/>
    <w:uiPriority w:val="0"/>
    <w:rPr>
      <w:rFonts w:hint="default" w:ascii="Calibri" w:hAnsi="Calibri" w:cs="Calibri"/>
      <w:b/>
      <w:bCs/>
      <w:color w:val="333333"/>
      <w:sz w:val="22"/>
      <w:szCs w:val="22"/>
      <w:u w:val="none"/>
    </w:rPr>
  </w:style>
  <w:style w:type="character" w:customStyle="1" w:styleId="11">
    <w:name w:val="font41"/>
    <w:basedOn w:val="5"/>
    <w:qFormat/>
    <w:uiPriority w:val="0"/>
    <w:rPr>
      <w:rFonts w:hint="default" w:ascii="Calibri" w:hAnsi="Calibri" w:cs="Calibri"/>
      <w:color w:val="333333"/>
      <w:sz w:val="22"/>
      <w:szCs w:val="22"/>
      <w:u w:val="none"/>
    </w:rPr>
  </w:style>
  <w:style w:type="character" w:customStyle="1" w:styleId="12">
    <w:name w:val="15"/>
    <w:basedOn w:val="5"/>
    <w:qFormat/>
    <w:uiPriority w:val="0"/>
    <w:rPr>
      <w:rFonts w:hint="default" w:ascii="Times New Roman" w:hAnsi="Times New Roman" w:cs="Times New Roman"/>
      <w:b/>
    </w:rPr>
  </w:style>
  <w:style w:type="paragraph" w:customStyle="1" w:styleId="13">
    <w:name w:val="EndNote Bibliography Title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jc w:val="center"/>
    </w:pPr>
    <w:rPr>
      <w:rFonts w:ascii="Calibri" w:hAnsi="Calibri" w:cs="Calibri" w:eastAsiaTheme="minorEastAsia"/>
      <w:kern w:val="2"/>
      <w:sz w:val="20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1978</Words>
  <Characters>11973</Characters>
  <Lines>0</Lines>
  <Paragraphs>0</Paragraphs>
  <TotalTime>2</TotalTime>
  <ScaleCrop>false</ScaleCrop>
  <LinksUpToDate>false</LinksUpToDate>
  <CharactersWithSpaces>13362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2023-07-09T07:04:00Z</dcterms:created>
  <dc:creator>xxiang</dc:creator>
  <cp:lastModifiedBy>Dm.xiao</cp:lastModifiedBy>
  <dcterms:modified xsi:type="dcterms:W3CDTF">2023-08-18T11:01:51Z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2CB0CFEC95C644BEB0454151D56ED6C9_13</vt:lpwstr>
  </property>
</Properties>
</file>