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502B" w14:textId="01265767" w:rsidR="00912996" w:rsidRPr="00054CF8" w:rsidRDefault="00912996" w:rsidP="00912996">
      <w:pPr>
        <w:pStyle w:val="Para"/>
        <w:ind w:firstLine="0"/>
        <w:rPr>
          <w:rFonts w:ascii="Arial" w:eastAsiaTheme="minorEastAsia" w:hAnsi="Arial" w:cs="Arial"/>
          <w:sz w:val="24"/>
          <w:lang w:val="en-GB" w:eastAsia="en-US"/>
        </w:rPr>
      </w:pPr>
      <w:r w:rsidRPr="00054CF8">
        <w:rPr>
          <w:rFonts w:ascii="Arial" w:eastAsiaTheme="minorEastAsia" w:hAnsi="Arial" w:cs="Arial"/>
          <w:sz w:val="24"/>
          <w:lang w:val="en-GB" w:eastAsia="en-US"/>
        </w:rPr>
        <w:t xml:space="preserve">Table </w:t>
      </w:r>
      <w:r w:rsidR="00BF391C">
        <w:rPr>
          <w:rFonts w:ascii="Arial" w:eastAsiaTheme="minorEastAsia" w:hAnsi="Arial" w:cs="Arial" w:hint="eastAsia"/>
          <w:sz w:val="24"/>
          <w:lang w:val="en-GB" w:eastAsia="zh-CN"/>
        </w:rPr>
        <w:t>S1</w:t>
      </w:r>
      <w:r w:rsidRPr="00054CF8">
        <w:rPr>
          <w:rFonts w:ascii="Arial" w:eastAsiaTheme="minorEastAsia" w:hAnsi="Arial" w:cs="Arial"/>
          <w:sz w:val="24"/>
          <w:lang w:val="en-GB" w:eastAsia="en-US"/>
        </w:rPr>
        <w:t xml:space="preserve">: </w:t>
      </w:r>
      <w:r w:rsidRPr="0085106F">
        <w:rPr>
          <w:rFonts w:ascii="Arial" w:eastAsiaTheme="minorEastAsia" w:hAnsi="Arial" w:cs="Arial"/>
          <w:sz w:val="24"/>
          <w:lang w:val="en-GB" w:eastAsia="en-US"/>
        </w:rPr>
        <w:t>Content Analysis of Q3</w:t>
      </w:r>
      <w:r>
        <w:rPr>
          <w:rFonts w:ascii="Arial" w:eastAsiaTheme="minorEastAsia" w:hAnsi="Arial" w:cs="Arial"/>
          <w:sz w:val="24"/>
          <w:lang w:val="en-GB" w:eastAsia="en-US"/>
        </w:rPr>
        <w:t xml:space="preserve"> </w:t>
      </w:r>
    </w:p>
    <w:tbl>
      <w:tblPr>
        <w:tblStyle w:val="TableGrid"/>
        <w:tblW w:w="8364" w:type="dxa"/>
        <w:jc w:val="center"/>
        <w:tblCellMar>
          <w:left w:w="0" w:type="dxa"/>
        </w:tblCellMar>
        <w:tblLook w:val="04A0" w:firstRow="1" w:lastRow="0" w:firstColumn="1" w:lastColumn="0" w:noHBand="0" w:noVBand="1"/>
      </w:tblPr>
      <w:tblGrid>
        <w:gridCol w:w="4820"/>
        <w:gridCol w:w="3544"/>
      </w:tblGrid>
      <w:tr w:rsidR="00912996" w:rsidRPr="00054CF8" w14:paraId="41C312F9" w14:textId="77777777" w:rsidTr="00FC1513">
        <w:trPr>
          <w:trHeight w:val="454"/>
          <w:tblHeader/>
          <w:jc w:val="center"/>
        </w:trPr>
        <w:tc>
          <w:tcPr>
            <w:tcW w:w="4820" w:type="dxa"/>
          </w:tcPr>
          <w:p w14:paraId="2149570B"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Condensed meaning unit</w:t>
            </w:r>
          </w:p>
        </w:tc>
        <w:tc>
          <w:tcPr>
            <w:tcW w:w="3544" w:type="dxa"/>
          </w:tcPr>
          <w:p w14:paraId="159CF72C"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Subcategories</w:t>
            </w:r>
          </w:p>
        </w:tc>
      </w:tr>
      <w:tr w:rsidR="00912996" w:rsidRPr="00054CF8" w14:paraId="7E12DDC3" w14:textId="77777777" w:rsidTr="00FC1513">
        <w:trPr>
          <w:trHeight w:val="454"/>
          <w:jc w:val="center"/>
        </w:trPr>
        <w:tc>
          <w:tcPr>
            <w:tcW w:w="4820" w:type="dxa"/>
          </w:tcPr>
          <w:p w14:paraId="73BBB8F0"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Care receivers should give consent at the beginning. In case an emergency happens and is detected by the technologies, measures will be taken in compliance with the consent. (P1, P2, P3)</w:t>
            </w:r>
          </w:p>
        </w:tc>
        <w:tc>
          <w:tcPr>
            <w:tcW w:w="3544" w:type="dxa"/>
          </w:tcPr>
          <w:p w14:paraId="03B2D144"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Default step; Consent given</w:t>
            </w:r>
          </w:p>
        </w:tc>
      </w:tr>
      <w:tr w:rsidR="00912996" w:rsidRPr="00054CF8" w14:paraId="3AFBA34E" w14:textId="77777777" w:rsidTr="00FC1513">
        <w:trPr>
          <w:trHeight w:val="454"/>
          <w:jc w:val="center"/>
        </w:trPr>
        <w:tc>
          <w:tcPr>
            <w:tcW w:w="4820" w:type="dxa"/>
          </w:tcPr>
          <w:p w14:paraId="34D28DA8"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There should be a default step that formal caregivers should take over the responsibility if the detected event is not pre-configured by the system. (P4, P7)</w:t>
            </w:r>
          </w:p>
        </w:tc>
        <w:tc>
          <w:tcPr>
            <w:tcW w:w="3544" w:type="dxa"/>
          </w:tcPr>
          <w:p w14:paraId="0C913DC7"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There should be a default step that formal caregivers should take over the responsibility if the detected event is not pre-configured by the system. (P4, P7)</w:t>
            </w:r>
          </w:p>
        </w:tc>
      </w:tr>
      <w:tr w:rsidR="00912996" w:rsidRPr="00054CF8" w14:paraId="6D649E6C" w14:textId="77777777" w:rsidTr="00FC1513">
        <w:trPr>
          <w:trHeight w:val="454"/>
          <w:jc w:val="center"/>
        </w:trPr>
        <w:tc>
          <w:tcPr>
            <w:tcW w:w="4820" w:type="dxa"/>
          </w:tcPr>
          <w:p w14:paraId="62B4C106"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It still depends on whether the system can still classify the risk level. There should be a default step that someone else should take over the responsibility if the detected event is not pre-configured by the system and if the event is urgent. If it’s not, then care receivers need to be asked in real time. (P5)</w:t>
            </w:r>
          </w:p>
        </w:tc>
        <w:tc>
          <w:tcPr>
            <w:tcW w:w="3544" w:type="dxa"/>
          </w:tcPr>
          <w:p w14:paraId="4B5DED47"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 xml:space="preserve">Default </w:t>
            </w:r>
            <w:proofErr w:type="gramStart"/>
            <w:r w:rsidRPr="00F63CDF">
              <w:rPr>
                <w:rFonts w:ascii="Arial" w:eastAsiaTheme="minorEastAsia" w:hAnsi="Arial" w:cs="Arial"/>
                <w:sz w:val="24"/>
                <w:lang w:val="en-GB" w:eastAsia="en-US"/>
              </w:rPr>
              <w:t>step;</w:t>
            </w:r>
            <w:proofErr w:type="gramEnd"/>
            <w:r w:rsidRPr="00F63CDF">
              <w:rPr>
                <w:rFonts w:ascii="Arial" w:eastAsiaTheme="minorEastAsia" w:hAnsi="Arial" w:cs="Arial"/>
                <w:sz w:val="24"/>
                <w:lang w:val="en-GB" w:eastAsia="en-US"/>
              </w:rPr>
              <w:t xml:space="preserve"> Someone else decide for care receivers; Real-time/on-site decision-making required</w:t>
            </w:r>
          </w:p>
        </w:tc>
      </w:tr>
      <w:tr w:rsidR="00912996" w:rsidRPr="00054CF8" w14:paraId="255F1198" w14:textId="77777777" w:rsidTr="00FC1513">
        <w:trPr>
          <w:trHeight w:val="454"/>
          <w:jc w:val="center"/>
        </w:trPr>
        <w:tc>
          <w:tcPr>
            <w:tcW w:w="4820" w:type="dxa"/>
          </w:tcPr>
          <w:p w14:paraId="481E8913"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An additional level should be there despite the existing three-level classification system. And the unknown event should be regarded as the worst condition. Most professional people (formal caregivers) need to handle it. (P6)</w:t>
            </w:r>
          </w:p>
        </w:tc>
        <w:tc>
          <w:tcPr>
            <w:tcW w:w="3544" w:type="dxa"/>
          </w:tcPr>
          <w:p w14:paraId="567D70D9"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 xml:space="preserve">Default </w:t>
            </w:r>
            <w:proofErr w:type="gramStart"/>
            <w:r w:rsidRPr="00F63CDF">
              <w:rPr>
                <w:rFonts w:ascii="Arial" w:eastAsiaTheme="minorEastAsia" w:hAnsi="Arial" w:cs="Arial"/>
                <w:sz w:val="24"/>
                <w:lang w:val="en-GB" w:eastAsia="en-US"/>
              </w:rPr>
              <w:t>step;</w:t>
            </w:r>
            <w:proofErr w:type="gramEnd"/>
            <w:r w:rsidRPr="00F63CDF">
              <w:rPr>
                <w:rFonts w:ascii="Arial" w:eastAsiaTheme="minorEastAsia" w:hAnsi="Arial" w:cs="Arial"/>
                <w:sz w:val="24"/>
                <w:lang w:val="en-GB" w:eastAsia="en-US"/>
              </w:rPr>
              <w:t xml:space="preserve"> Unknown event categorized as the worst condition; Formal caregivers decide for care receivers</w:t>
            </w:r>
          </w:p>
        </w:tc>
      </w:tr>
      <w:tr w:rsidR="00912996" w:rsidRPr="00054CF8" w14:paraId="7CE31CDD" w14:textId="77777777" w:rsidTr="00FC1513">
        <w:trPr>
          <w:trHeight w:val="454"/>
          <w:jc w:val="center"/>
        </w:trPr>
        <w:tc>
          <w:tcPr>
            <w:tcW w:w="4820" w:type="dxa"/>
          </w:tcPr>
          <w:p w14:paraId="4B32C91D"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It still depends on whether the system can still classify the risk level. The system can either make decisions based on existing similar scenarios or hand over to caregivers. (P8)</w:t>
            </w:r>
          </w:p>
        </w:tc>
        <w:tc>
          <w:tcPr>
            <w:tcW w:w="3544" w:type="dxa"/>
          </w:tcPr>
          <w:p w14:paraId="765A2FA7"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Based on existing model or formal caregivers decide for care receivers</w:t>
            </w:r>
          </w:p>
        </w:tc>
      </w:tr>
      <w:tr w:rsidR="00912996" w:rsidRPr="00054CF8" w14:paraId="6BD5C6D3" w14:textId="77777777" w:rsidTr="00FC1513">
        <w:trPr>
          <w:trHeight w:val="454"/>
          <w:jc w:val="center"/>
        </w:trPr>
        <w:tc>
          <w:tcPr>
            <w:tcW w:w="4820" w:type="dxa"/>
          </w:tcPr>
          <w:p w14:paraId="2FD74C96"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Care receivers should give consent at the beginning. If the events are relevant to financial issues, family members should take over the responsibility to make decisions, while if they are relevant to medical issues, formal caregivers need to take over the responsibility. (P9)</w:t>
            </w:r>
          </w:p>
        </w:tc>
        <w:tc>
          <w:tcPr>
            <w:tcW w:w="3544" w:type="dxa"/>
          </w:tcPr>
          <w:p w14:paraId="71A1EB88"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Default step; Consent given; Specific topics based (formal caregivers decide for care receivers for medical activities; Informal caregivers decide for care receivers for financial activities)</w:t>
            </w:r>
          </w:p>
        </w:tc>
      </w:tr>
      <w:tr w:rsidR="00912996" w:rsidRPr="00054CF8" w14:paraId="6EB59321" w14:textId="77777777" w:rsidTr="00FC1513">
        <w:trPr>
          <w:trHeight w:val="454"/>
          <w:jc w:val="center"/>
        </w:trPr>
        <w:tc>
          <w:tcPr>
            <w:tcW w:w="4820" w:type="dxa"/>
          </w:tcPr>
          <w:p w14:paraId="033987C3"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Care receivers should give consent at the beginning. All processing steps need to be clarified and regulated in the consent form. (P10)</w:t>
            </w:r>
          </w:p>
        </w:tc>
        <w:tc>
          <w:tcPr>
            <w:tcW w:w="3544" w:type="dxa"/>
          </w:tcPr>
          <w:p w14:paraId="511A0819"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Default step; Consent given</w:t>
            </w:r>
          </w:p>
        </w:tc>
      </w:tr>
      <w:tr w:rsidR="00912996" w:rsidRPr="00054CF8" w14:paraId="7ED63DE9" w14:textId="77777777" w:rsidTr="00FC1513">
        <w:trPr>
          <w:trHeight w:val="454"/>
          <w:jc w:val="center"/>
        </w:trPr>
        <w:tc>
          <w:tcPr>
            <w:tcW w:w="4820" w:type="dxa"/>
          </w:tcPr>
          <w:p w14:paraId="46DA46FC"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lastRenderedPageBreak/>
              <w:t>There should be a set of standards or threshold of different sensors so that when different events happen, different measures can be taken based on the threshold. (P11)</w:t>
            </w:r>
          </w:p>
        </w:tc>
        <w:tc>
          <w:tcPr>
            <w:tcW w:w="3544" w:type="dxa"/>
          </w:tcPr>
          <w:p w14:paraId="3EE1FDE6" w14:textId="77777777" w:rsidR="00912996" w:rsidRPr="00054CF8" w:rsidRDefault="00912996"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Based on standards or threshold</w:t>
            </w:r>
          </w:p>
        </w:tc>
      </w:tr>
    </w:tbl>
    <w:p w14:paraId="5D1342A3" w14:textId="77777777" w:rsidR="00DA655F" w:rsidRPr="00912996" w:rsidRDefault="00DA655F"/>
    <w:sectPr w:rsidR="00DA655F" w:rsidRPr="00912996" w:rsidSect="006324B7">
      <w:pgSz w:w="11906" w:h="16838"/>
      <w:pgMar w:top="1440" w:right="1440" w:bottom="1440" w:left="1440" w:header="708" w:footer="708" w:gutter="0"/>
      <w:cols w:space="708"/>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D4"/>
    <w:rsid w:val="006324B7"/>
    <w:rsid w:val="00912996"/>
    <w:rsid w:val="00BF391C"/>
    <w:rsid w:val="00DA655F"/>
    <w:rsid w:val="00EF0AD4"/>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25CE"/>
  <w15:chartTrackingRefBased/>
  <w15:docId w15:val="{1141ABF0-51C8-4EE5-993C-0B48A380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96"/>
    <w:pPr>
      <w:widowControl/>
      <w:jc w:val="left"/>
    </w:pPr>
    <w:rPr>
      <w:rFonts w:ascii="Times New Roman" w:hAnsi="Times New Roman" w:cs="Times New Roman"/>
      <w:kern w:val="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next w:val="Normal"/>
    <w:rsid w:val="00912996"/>
    <w:pPr>
      <w:spacing w:line="270" w:lineRule="atLeast"/>
      <w:ind w:firstLine="240"/>
      <w:jc w:val="both"/>
    </w:pPr>
    <w:rPr>
      <w:rFonts w:ascii="Linux Libertine O" w:eastAsia="Cambria" w:hAnsi="Linux Libertine O" w:cs="Linux Libertine O"/>
      <w:sz w:val="18"/>
      <w:lang w:val="en-US" w:eastAsia="ja-JP"/>
    </w:rPr>
  </w:style>
  <w:style w:type="table" w:styleId="TableGrid">
    <w:name w:val="Table Grid"/>
    <w:basedOn w:val="TableNormal"/>
    <w:uiPriority w:val="59"/>
    <w:rsid w:val="00912996"/>
    <w:pPr>
      <w:widowControl/>
      <w:jc w:val="left"/>
    </w:pPr>
    <w:rPr>
      <w:rFonts w:ascii="Cambria" w:eastAsia="MS Mincho" w:hAnsi="Cambria"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Luyi Sun</dc:creator>
  <cp:keywords/>
  <dc:description/>
  <cp:lastModifiedBy>Luyi Sun</cp:lastModifiedBy>
  <cp:revision>4</cp:revision>
  <dcterms:created xsi:type="dcterms:W3CDTF">2023-09-18T08:25:00Z</dcterms:created>
  <dcterms:modified xsi:type="dcterms:W3CDTF">2023-09-20T09:12:00Z</dcterms:modified>
</cp:coreProperties>
</file>