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FB2" w:rsidRPr="00E51443" w:rsidRDefault="00C20FB2" w:rsidP="00C20F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443">
        <w:rPr>
          <w:rFonts w:ascii="Times New Roman" w:eastAsia="Calibri" w:hAnsi="Times New Roman" w:cs="Times New Roman"/>
          <w:sz w:val="24"/>
          <w:szCs w:val="24"/>
        </w:rPr>
        <w:t>Supplementary Figure 1</w:t>
      </w:r>
      <w:r w:rsidRPr="00E51443">
        <w:rPr>
          <w:rFonts w:ascii="Times New Roman" w:hAnsi="Times New Roman" w:cs="Times New Roman"/>
          <w:sz w:val="24"/>
          <w:szCs w:val="24"/>
        </w:rPr>
        <w:t>: Temporal Trend in Confirmed LF Incidents in Ondo State, 2017-2021</w:t>
      </w:r>
    </w:p>
    <w:p w:rsidR="00C20FB2" w:rsidRPr="00E51443" w:rsidRDefault="00C20FB2" w:rsidP="00C20F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443">
        <w:rPr>
          <w:rFonts w:ascii="Times New Roman" w:eastAsia="Calibri" w:hAnsi="Times New Roman" w:cs="Times New Roman"/>
          <w:sz w:val="24"/>
          <w:szCs w:val="24"/>
          <w:lang w:eastAsia="en-GB"/>
        </w:rPr>
        <w:t>Supplementary Figure 2A</w:t>
      </w:r>
      <w:r w:rsidRPr="00E51443">
        <w:rPr>
          <w:rFonts w:ascii="Times New Roman" w:hAnsi="Times New Roman" w:cs="Times New Roman"/>
          <w:sz w:val="24"/>
          <w:szCs w:val="24"/>
        </w:rPr>
        <w:t>: Wards with Significant Hotspot of LF in 2017</w:t>
      </w:r>
    </w:p>
    <w:p w:rsidR="00C20FB2" w:rsidRPr="00E51443" w:rsidRDefault="00C20FB2" w:rsidP="00C20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443">
        <w:rPr>
          <w:rFonts w:ascii="Times New Roman" w:eastAsia="Calibri" w:hAnsi="Times New Roman" w:cs="Times New Roman"/>
          <w:sz w:val="24"/>
          <w:szCs w:val="24"/>
          <w:lang w:eastAsia="en-GB"/>
        </w:rPr>
        <w:t>Supplementary Figure 2B</w:t>
      </w:r>
      <w:r w:rsidRPr="00E51443">
        <w:rPr>
          <w:rFonts w:ascii="Times New Roman" w:hAnsi="Times New Roman" w:cs="Times New Roman"/>
          <w:sz w:val="24"/>
          <w:szCs w:val="24"/>
        </w:rPr>
        <w:t>: Wards with Significant Hotspot of LF in 2018</w:t>
      </w:r>
    </w:p>
    <w:p w:rsidR="00C20FB2" w:rsidRPr="00E51443" w:rsidRDefault="00C20FB2" w:rsidP="00C20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443">
        <w:rPr>
          <w:rFonts w:ascii="Times New Roman" w:eastAsia="Calibri" w:hAnsi="Times New Roman" w:cs="Times New Roman"/>
          <w:sz w:val="24"/>
          <w:szCs w:val="24"/>
          <w:lang w:eastAsia="en-GB"/>
        </w:rPr>
        <w:t>Supplementary Figure 2C</w:t>
      </w:r>
      <w:r w:rsidRPr="00E51443">
        <w:rPr>
          <w:rFonts w:ascii="Times New Roman" w:hAnsi="Times New Roman" w:cs="Times New Roman"/>
          <w:sz w:val="24"/>
          <w:szCs w:val="24"/>
        </w:rPr>
        <w:t>: Wards with Significant Hotspot of LF in 2019</w:t>
      </w:r>
    </w:p>
    <w:p w:rsidR="00C20FB2" w:rsidRPr="00E51443" w:rsidRDefault="00C20FB2" w:rsidP="00C20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443">
        <w:rPr>
          <w:rFonts w:ascii="Times New Roman" w:eastAsia="Calibri" w:hAnsi="Times New Roman" w:cs="Times New Roman"/>
          <w:sz w:val="24"/>
          <w:szCs w:val="24"/>
          <w:lang w:eastAsia="en-GB"/>
        </w:rPr>
        <w:t>Supplementary Figure 2D</w:t>
      </w:r>
      <w:r w:rsidRPr="00E51443">
        <w:rPr>
          <w:rFonts w:ascii="Times New Roman" w:hAnsi="Times New Roman" w:cs="Times New Roman"/>
          <w:sz w:val="24"/>
          <w:szCs w:val="24"/>
        </w:rPr>
        <w:t>: Wards with Significant Hotspot of LF in 2020</w:t>
      </w:r>
    </w:p>
    <w:p w:rsidR="00C20FB2" w:rsidRPr="00E51443" w:rsidRDefault="00C20FB2" w:rsidP="00C20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443">
        <w:rPr>
          <w:rFonts w:ascii="Times New Roman" w:eastAsia="Calibri" w:hAnsi="Times New Roman" w:cs="Times New Roman"/>
          <w:sz w:val="24"/>
          <w:szCs w:val="24"/>
          <w:lang w:eastAsia="en-GB"/>
        </w:rPr>
        <w:t>Supplementary Figure 2E</w:t>
      </w:r>
      <w:r w:rsidRPr="00E51443">
        <w:rPr>
          <w:rFonts w:ascii="Times New Roman" w:hAnsi="Times New Roman" w:cs="Times New Roman"/>
          <w:sz w:val="24"/>
          <w:szCs w:val="24"/>
        </w:rPr>
        <w:t>: Wards with Significant Hotspot of LF in 2021</w:t>
      </w:r>
    </w:p>
    <w:p w:rsidR="00C20FB2" w:rsidRPr="00E51443" w:rsidRDefault="00C20FB2" w:rsidP="00C20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443">
        <w:rPr>
          <w:rFonts w:ascii="Times New Roman" w:eastAsia="Calibri" w:hAnsi="Times New Roman" w:cs="Times New Roman"/>
          <w:sz w:val="24"/>
          <w:szCs w:val="24"/>
          <w:lang w:eastAsia="en-GB"/>
        </w:rPr>
        <w:t>Supplementary Figure 2F</w:t>
      </w:r>
      <w:r w:rsidRPr="00E51443">
        <w:rPr>
          <w:rFonts w:ascii="Times New Roman" w:hAnsi="Times New Roman" w:cs="Times New Roman"/>
          <w:sz w:val="24"/>
          <w:szCs w:val="24"/>
        </w:rPr>
        <w:t>: Wards with Significant Hotspot of LF between 2017 and 2021</w:t>
      </w:r>
    </w:p>
    <w:p w:rsidR="00C20FB2" w:rsidRPr="00E51443" w:rsidRDefault="00C20FB2" w:rsidP="00C20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45490562"/>
      <w:r w:rsidRPr="00E51443">
        <w:rPr>
          <w:rFonts w:ascii="Times New Roman" w:eastAsia="Calibri" w:hAnsi="Times New Roman" w:cs="Times New Roman"/>
          <w:sz w:val="24"/>
          <w:szCs w:val="24"/>
          <w:lang w:eastAsia="en-GB"/>
        </w:rPr>
        <w:t>Supplementary Figure 3</w:t>
      </w:r>
      <w:bookmarkEnd w:id="0"/>
      <w:r w:rsidRPr="00E51443">
        <w:rPr>
          <w:rFonts w:ascii="Times New Roman" w:eastAsia="Calibri" w:hAnsi="Times New Roman" w:cs="Times New Roman"/>
          <w:sz w:val="24"/>
          <w:szCs w:val="24"/>
          <w:lang w:eastAsia="en-GB"/>
        </w:rPr>
        <w:t>A</w:t>
      </w:r>
      <w:r w:rsidRPr="00E51443">
        <w:rPr>
          <w:rFonts w:ascii="Times New Roman" w:hAnsi="Times New Roman" w:cs="Times New Roman"/>
          <w:sz w:val="24"/>
          <w:szCs w:val="24"/>
        </w:rPr>
        <w:t>: MSGWR Coefficient of Human Factor</w:t>
      </w:r>
    </w:p>
    <w:p w:rsidR="00C20FB2" w:rsidRPr="00E51443" w:rsidRDefault="00C20FB2" w:rsidP="00C20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443">
        <w:rPr>
          <w:rFonts w:ascii="Times New Roman" w:eastAsia="Calibri" w:hAnsi="Times New Roman" w:cs="Times New Roman"/>
          <w:sz w:val="24"/>
          <w:szCs w:val="24"/>
          <w:lang w:eastAsia="en-GB"/>
        </w:rPr>
        <w:t>Supplementary Figure 3</w:t>
      </w:r>
      <w:r w:rsidRPr="00E51443">
        <w:rPr>
          <w:rFonts w:ascii="Times New Roman" w:hAnsi="Times New Roman" w:cs="Times New Roman"/>
          <w:sz w:val="24"/>
          <w:szCs w:val="24"/>
        </w:rPr>
        <w:t>B: MSGWR Coefficient of Physical Factor</w:t>
      </w:r>
    </w:p>
    <w:p w:rsidR="00C20FB2" w:rsidRPr="00E51443" w:rsidRDefault="00C20FB2" w:rsidP="00C20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443">
        <w:rPr>
          <w:rFonts w:ascii="Times New Roman" w:eastAsia="Calibri" w:hAnsi="Times New Roman" w:cs="Times New Roman"/>
          <w:sz w:val="24"/>
          <w:szCs w:val="24"/>
          <w:lang w:eastAsia="en-GB"/>
        </w:rPr>
        <w:t>Supplementary Figure 3</w:t>
      </w:r>
      <w:r w:rsidRPr="00E51443">
        <w:rPr>
          <w:rFonts w:ascii="Times New Roman" w:hAnsi="Times New Roman" w:cs="Times New Roman"/>
          <w:sz w:val="24"/>
          <w:szCs w:val="24"/>
        </w:rPr>
        <w:t>C: MSGWR Coefficient of Environmental Factor</w:t>
      </w:r>
    </w:p>
    <w:p w:rsidR="00C20FB2" w:rsidRPr="00E51443" w:rsidRDefault="00C20FB2" w:rsidP="00C20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443">
        <w:rPr>
          <w:rFonts w:ascii="Times New Roman" w:eastAsia="Calibri" w:hAnsi="Times New Roman" w:cs="Times New Roman"/>
          <w:sz w:val="24"/>
          <w:szCs w:val="24"/>
          <w:lang w:eastAsia="en-GB"/>
        </w:rPr>
        <w:t>Supplementary Figure 3</w:t>
      </w:r>
      <w:r w:rsidRPr="00E51443">
        <w:rPr>
          <w:rFonts w:ascii="Times New Roman" w:hAnsi="Times New Roman" w:cs="Times New Roman"/>
          <w:sz w:val="24"/>
          <w:szCs w:val="24"/>
        </w:rPr>
        <w:t>D: MSGWR Coefficient of Regression Intercept</w:t>
      </w:r>
    </w:p>
    <w:p w:rsidR="00C20FB2" w:rsidRDefault="00C20FB2" w:rsidP="00C20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51443">
        <w:rPr>
          <w:rFonts w:ascii="Times New Roman" w:eastAsia="Calibri" w:hAnsi="Times New Roman" w:cs="Times New Roman"/>
          <w:sz w:val="24"/>
          <w:szCs w:val="24"/>
          <w:lang w:eastAsia="en-GB"/>
        </w:rPr>
        <w:t>Supplementary Figure 3</w:t>
      </w:r>
      <w:r w:rsidRPr="00E51443">
        <w:rPr>
          <w:rFonts w:ascii="Times New Roman" w:hAnsi="Times New Roman" w:cs="Times New Roman"/>
          <w:sz w:val="24"/>
          <w:szCs w:val="24"/>
        </w:rPr>
        <w:t>E: Wards with strongly positive association between LF incidence and Human and Environmental Factors</w:t>
      </w:r>
    </w:p>
    <w:p w:rsidR="00CC6C43" w:rsidRDefault="00CC6C43" w:rsidP="00C20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C6C43" w:rsidRPr="00E51443" w:rsidRDefault="00CC6C43" w:rsidP="00C20FB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C20FB2" w:rsidRDefault="00C20FB2" w:rsidP="00C20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B0C0C96" wp14:editId="084BA22C">
            <wp:extent cx="5576570" cy="3869690"/>
            <wp:effectExtent l="0" t="0" r="5080" b="16510"/>
            <wp:docPr id="31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20FB2" w:rsidRDefault="00C20FB2" w:rsidP="00C20F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 1: Temporal Trend in Confirmed LF Incidents in Ondo State, 2017-2021</w:t>
      </w:r>
    </w:p>
    <w:p w:rsidR="00C20FB2" w:rsidRDefault="00C20FB2" w:rsidP="00C20FB2"/>
    <w:p w:rsidR="00C20FB2" w:rsidRDefault="00C20FB2" w:rsidP="00C20FB2"/>
    <w:tbl>
      <w:tblPr>
        <w:tblStyle w:val="TableGrid"/>
        <w:tblW w:w="9822" w:type="dxa"/>
        <w:tblLook w:val="04A0" w:firstRow="1" w:lastRow="0" w:firstColumn="1" w:lastColumn="0" w:noHBand="0" w:noVBand="1"/>
      </w:tblPr>
      <w:tblGrid>
        <w:gridCol w:w="4926"/>
        <w:gridCol w:w="4896"/>
      </w:tblGrid>
      <w:tr w:rsidR="00C20FB2" w:rsidTr="008B7AEE">
        <w:tc>
          <w:tcPr>
            <w:tcW w:w="4926" w:type="dxa"/>
          </w:tcPr>
          <w:p w:rsidR="00C20FB2" w:rsidRDefault="00C20FB2" w:rsidP="008B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lastRenderedPageBreak/>
              <w:drawing>
                <wp:inline distT="0" distB="0" distL="0" distR="0" wp14:anchorId="589936FE" wp14:editId="08DF9348">
                  <wp:extent cx="2969895" cy="3322320"/>
                  <wp:effectExtent l="0" t="0" r="190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2105" t="1724" r="1728" b="22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000" cy="3322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</w:tcPr>
          <w:p w:rsidR="00C20FB2" w:rsidRDefault="00C20FB2" w:rsidP="008B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0421DEF1" wp14:editId="2272765B">
                  <wp:extent cx="2969895" cy="3315335"/>
                  <wp:effectExtent l="0" t="0" r="190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2437" t="1801" r="1286" b="22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000" cy="3315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0FB2" w:rsidTr="008B7AEE">
        <w:tc>
          <w:tcPr>
            <w:tcW w:w="4926" w:type="dxa"/>
          </w:tcPr>
          <w:p w:rsidR="00C20FB2" w:rsidRDefault="00C20FB2" w:rsidP="008B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Supplementary Figure 2A: Wards with Significant Hotspot of LF in 2017</w:t>
            </w:r>
          </w:p>
        </w:tc>
        <w:tc>
          <w:tcPr>
            <w:tcW w:w="4896" w:type="dxa"/>
          </w:tcPr>
          <w:p w:rsidR="00C20FB2" w:rsidRDefault="00C20FB2" w:rsidP="008B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Supplementary Figure 2B: Wards with Significant Hotspot of LF in 2018</w:t>
            </w:r>
          </w:p>
        </w:tc>
      </w:tr>
      <w:tr w:rsidR="00C20FB2" w:rsidTr="008B7AEE">
        <w:tc>
          <w:tcPr>
            <w:tcW w:w="4926" w:type="dxa"/>
          </w:tcPr>
          <w:p w:rsidR="00C20FB2" w:rsidRDefault="00C20FB2" w:rsidP="008B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1C333A62" wp14:editId="7453735A">
                  <wp:extent cx="2983865" cy="3311525"/>
                  <wp:effectExtent l="0" t="0" r="6985" b="317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994" t="1880" r="1286" b="22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400" cy="331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</w:tcPr>
          <w:p w:rsidR="00C20FB2" w:rsidRDefault="00C20FB2" w:rsidP="008B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407D34EA" wp14:editId="1E63BA2B">
                  <wp:extent cx="2969895" cy="3329940"/>
                  <wp:effectExtent l="0" t="0" r="1905" b="381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2548" t="1801" r="1175" b="219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000" cy="333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0FB2" w:rsidTr="008B7AEE">
        <w:tc>
          <w:tcPr>
            <w:tcW w:w="4926" w:type="dxa"/>
          </w:tcPr>
          <w:p w:rsidR="00C20FB2" w:rsidRDefault="00C20FB2" w:rsidP="008B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Supplementary Figure 2C: Wards with Significant Hotspot of LF in 2019</w:t>
            </w:r>
          </w:p>
        </w:tc>
        <w:tc>
          <w:tcPr>
            <w:tcW w:w="4896" w:type="dxa"/>
          </w:tcPr>
          <w:p w:rsidR="00C20FB2" w:rsidRDefault="00C20FB2" w:rsidP="008B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Supplementary Figure 2D: Wards with Significant Hotspot of LF in 2020</w:t>
            </w:r>
          </w:p>
        </w:tc>
      </w:tr>
      <w:tr w:rsidR="00C20FB2" w:rsidTr="008B7AEE">
        <w:tc>
          <w:tcPr>
            <w:tcW w:w="4926" w:type="dxa"/>
          </w:tcPr>
          <w:p w:rsidR="00C20FB2" w:rsidRDefault="00C20FB2" w:rsidP="008B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lastRenderedPageBreak/>
              <w:drawing>
                <wp:inline distT="0" distB="0" distL="0" distR="0" wp14:anchorId="72E9D032" wp14:editId="0EE5006F">
                  <wp:extent cx="2969895" cy="3326130"/>
                  <wp:effectExtent l="0" t="0" r="1905" b="762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2216" t="1802" r="1507" b="21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000" cy="332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</w:tcPr>
          <w:p w:rsidR="00C20FB2" w:rsidRDefault="00C20FB2" w:rsidP="008B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024E55F4" wp14:editId="12442AE4">
                  <wp:extent cx="2969895" cy="3333115"/>
                  <wp:effectExtent l="0" t="0" r="1905" b="63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2216" t="1645" r="1507" b="219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0000" cy="333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0FB2" w:rsidTr="008B7AEE">
        <w:tc>
          <w:tcPr>
            <w:tcW w:w="4926" w:type="dxa"/>
          </w:tcPr>
          <w:p w:rsidR="00C20FB2" w:rsidRDefault="00C20FB2" w:rsidP="008B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Supplementary Figure 2E: Wards with Significant Hotspot of LF in 2021</w:t>
            </w:r>
          </w:p>
        </w:tc>
        <w:tc>
          <w:tcPr>
            <w:tcW w:w="4896" w:type="dxa"/>
          </w:tcPr>
          <w:p w:rsidR="00C20FB2" w:rsidRDefault="00C20FB2" w:rsidP="008B7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Supplementary Figure 2F: Wards with Significant Hotspot of LF between 2017 and 2021</w:t>
            </w:r>
          </w:p>
        </w:tc>
      </w:tr>
    </w:tbl>
    <w:p w:rsidR="00C20FB2" w:rsidRDefault="00C20FB2" w:rsidP="00C20FB2"/>
    <w:p w:rsidR="00C20FB2" w:rsidRDefault="00C20FB2" w:rsidP="00C20FB2"/>
    <w:p w:rsidR="00C20FB2" w:rsidRDefault="00C20FB2" w:rsidP="00C20FB2"/>
    <w:tbl>
      <w:tblPr>
        <w:tblStyle w:val="TableGrid"/>
        <w:tblW w:w="9702" w:type="dxa"/>
        <w:tblInd w:w="-431" w:type="dxa"/>
        <w:tblLook w:val="04A0" w:firstRow="1" w:lastRow="0" w:firstColumn="1" w:lastColumn="0" w:noHBand="0" w:noVBand="1"/>
      </w:tblPr>
      <w:tblGrid>
        <w:gridCol w:w="4866"/>
        <w:gridCol w:w="4836"/>
      </w:tblGrid>
      <w:tr w:rsidR="00C20FB2" w:rsidTr="008B7AEE">
        <w:tc>
          <w:tcPr>
            <w:tcW w:w="4866" w:type="dxa"/>
          </w:tcPr>
          <w:p w:rsidR="00C20FB2" w:rsidRDefault="00C20FB2" w:rsidP="008B7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5C2E179D" wp14:editId="6F4CC803">
                  <wp:extent cx="2944495" cy="3275965"/>
                  <wp:effectExtent l="0" t="0" r="8255" b="63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2222" t="1784" r="1145" b="22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4800" cy="327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6" w:type="dxa"/>
          </w:tcPr>
          <w:p w:rsidR="00C20FB2" w:rsidRDefault="00C20FB2" w:rsidP="008B7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6FA1FD18" wp14:editId="3477720A">
                  <wp:extent cx="2933700" cy="3311525"/>
                  <wp:effectExtent l="0" t="0" r="0" b="317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2222" t="1712" r="1444" b="214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000" cy="331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0FB2" w:rsidTr="008B7AEE">
        <w:tc>
          <w:tcPr>
            <w:tcW w:w="4866" w:type="dxa"/>
          </w:tcPr>
          <w:p w:rsidR="00C20FB2" w:rsidRDefault="00C20FB2" w:rsidP="008B7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Supplementary Figure 3A: MSGWR Coefficient of Human Factor</w:t>
            </w:r>
          </w:p>
        </w:tc>
        <w:tc>
          <w:tcPr>
            <w:tcW w:w="4836" w:type="dxa"/>
          </w:tcPr>
          <w:p w:rsidR="00C20FB2" w:rsidRDefault="00C20FB2" w:rsidP="008B7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Supplementary Figure 3B: MSGWR Coefficient of Physical Factor</w:t>
            </w:r>
          </w:p>
        </w:tc>
      </w:tr>
      <w:tr w:rsidR="00C20FB2" w:rsidTr="008B7AEE">
        <w:tc>
          <w:tcPr>
            <w:tcW w:w="4866" w:type="dxa"/>
          </w:tcPr>
          <w:p w:rsidR="00C20FB2" w:rsidRDefault="00C20FB2" w:rsidP="008B7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lastRenderedPageBreak/>
              <w:drawing>
                <wp:inline distT="0" distB="0" distL="0" distR="0" wp14:anchorId="655EA7E5" wp14:editId="7B5BFA38">
                  <wp:extent cx="2937510" cy="326517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2221" t="1784" r="1341" b="225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600" cy="3265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6" w:type="dxa"/>
          </w:tcPr>
          <w:p w:rsidR="00C20FB2" w:rsidRDefault="00C20FB2" w:rsidP="008B7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129B241E" wp14:editId="64C54A6B">
                  <wp:extent cx="2915920" cy="3272155"/>
                  <wp:effectExtent l="0" t="0" r="0" b="444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2424" t="1784" r="1834" b="22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000" cy="327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0FB2" w:rsidTr="008B7AEE">
        <w:tc>
          <w:tcPr>
            <w:tcW w:w="4866" w:type="dxa"/>
          </w:tcPr>
          <w:p w:rsidR="00C20FB2" w:rsidRDefault="00C20FB2" w:rsidP="008B7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Supplementary Figure 3C: MSGWR Coefficient of Environmental Factor</w:t>
            </w:r>
          </w:p>
        </w:tc>
        <w:tc>
          <w:tcPr>
            <w:tcW w:w="4836" w:type="dxa"/>
          </w:tcPr>
          <w:p w:rsidR="00C20FB2" w:rsidRDefault="00C20FB2" w:rsidP="008B7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Supplementary Figure 3D: MSGWR Coefficient of Regression Intercept</w:t>
            </w:r>
          </w:p>
        </w:tc>
      </w:tr>
      <w:tr w:rsidR="00C20FB2" w:rsidTr="008B7AEE">
        <w:tc>
          <w:tcPr>
            <w:tcW w:w="4866" w:type="dxa"/>
          </w:tcPr>
          <w:p w:rsidR="00C20FB2" w:rsidRDefault="00C20FB2" w:rsidP="008B7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7FC4DB8F" wp14:editId="3E280458">
                  <wp:extent cx="2940685" cy="3289935"/>
                  <wp:effectExtent l="0" t="0" r="0" b="571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2120" t="1782" r="1342" b="21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200" cy="329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6" w:type="dxa"/>
          </w:tcPr>
          <w:p w:rsidR="00C20FB2" w:rsidRDefault="00C20FB2" w:rsidP="008B7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FB2" w:rsidTr="008B7AEE">
        <w:tc>
          <w:tcPr>
            <w:tcW w:w="4866" w:type="dxa"/>
          </w:tcPr>
          <w:p w:rsidR="00C20FB2" w:rsidRDefault="00C20FB2" w:rsidP="008B7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Supplementary Figure 3E: Wards with strongly positive association between LF incidence and Human and Environmental Factors.</w:t>
            </w:r>
          </w:p>
        </w:tc>
        <w:tc>
          <w:tcPr>
            <w:tcW w:w="4836" w:type="dxa"/>
          </w:tcPr>
          <w:p w:rsidR="00C20FB2" w:rsidRDefault="00C20FB2" w:rsidP="008B7A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FB2" w:rsidRDefault="00C20FB2" w:rsidP="00C20FB2"/>
    <w:p w:rsidR="002B7654" w:rsidRDefault="002B7654"/>
    <w:sectPr w:rsidR="002B76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FB2"/>
    <w:rsid w:val="00117EE3"/>
    <w:rsid w:val="002B7654"/>
    <w:rsid w:val="00790E6B"/>
    <w:rsid w:val="009D3009"/>
    <w:rsid w:val="00B43535"/>
    <w:rsid w:val="00C20FB2"/>
    <w:rsid w:val="00CC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BB4032-6818-46DF-B88D-2E7C6D139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0FB2"/>
    <w:rPr>
      <w:rFonts w:asciiTheme="minorHAnsi" w:hAnsiTheme="minorHAnsi" w:cstheme="minorBid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C20FB2"/>
    <w:pPr>
      <w:spacing w:after="0" w:line="240" w:lineRule="auto"/>
    </w:pPr>
    <w:rPr>
      <w:rFonts w:asciiTheme="minorHAnsi" w:hAnsiTheme="minorHAnsi" w:cstheme="minorBidi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chart" Target="charts/chart1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Book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No of Incidents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8.7496770012246594E-2"/>
                  <c:y val="-3.70356646595646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lang="en-US"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</c:trendlineLbl>
          </c:trendline>
          <c:cat>
            <c:numRef>
              <c:f>Sheet2!$A$2:$A$6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Sheet2!$B$2:$B$6</c:f>
              <c:numCache>
                <c:formatCode>General</c:formatCode>
                <c:ptCount val="5"/>
                <c:pt idx="0">
                  <c:v>61</c:v>
                </c:pt>
                <c:pt idx="1">
                  <c:v>147</c:v>
                </c:pt>
                <c:pt idx="2">
                  <c:v>268</c:v>
                </c:pt>
                <c:pt idx="3">
                  <c:v>414</c:v>
                </c:pt>
                <c:pt idx="4">
                  <c:v>167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0595912"/>
        <c:axId val="520593952"/>
      </c:lineChart>
      <c:catAx>
        <c:axId val="5205959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Year</a:t>
                </a:r>
              </a:p>
            </c:rich>
          </c:tx>
          <c:layout>
            <c:manualLayout>
              <c:xMode val="edge"/>
              <c:yMode val="edge"/>
              <c:x val="0.45549350425264201"/>
              <c:y val="0.93780101016784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0593952"/>
        <c:crosses val="autoZero"/>
        <c:auto val="1"/>
        <c:lblAlgn val="ctr"/>
        <c:lblOffset val="100"/>
        <c:noMultiLvlLbl val="0"/>
      </c:catAx>
      <c:valAx>
        <c:axId val="52059395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n-US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LF Incidents</a:t>
                </a:r>
              </a:p>
            </c:rich>
          </c:tx>
          <c:layout>
            <c:manualLayout>
              <c:xMode val="edge"/>
              <c:yMode val="edge"/>
              <c:x val="1.4965259219668599E-2"/>
              <c:y val="0.374638170228720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en-US"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0595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en-US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Victor_Akinseye</dc:creator>
  <cp:keywords/>
  <dc:description/>
  <cp:lastModifiedBy>Victor_Akinseye</cp:lastModifiedBy>
  <cp:revision>2</cp:revision>
  <dcterms:created xsi:type="dcterms:W3CDTF">2023-09-18T17:39:00Z</dcterms:created>
  <dcterms:modified xsi:type="dcterms:W3CDTF">2023-09-18T17:59:00Z</dcterms:modified>
</cp:coreProperties>
</file>