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kern w:val="0"/>
          <w:sz w:val="22"/>
        </w:rPr>
      </w:pPr>
      <w:r w:rsidRPr="00CF0FBB">
        <w:rPr>
          <w:rFonts w:ascii="Arial" w:eastAsia="ＭＳ 明朝" w:hAnsi="Arial" w:cs="Arial" w:hint="eastAsia"/>
          <w:b/>
          <w:bCs/>
          <w:kern w:val="0"/>
          <w:sz w:val="22"/>
        </w:rPr>
        <w:t>S</w:t>
      </w:r>
      <w:r w:rsidRPr="00CF0FBB">
        <w:rPr>
          <w:rFonts w:ascii="Arial" w:eastAsia="ＭＳ 明朝" w:hAnsi="Arial" w:cs="Arial"/>
          <w:b/>
          <w:bCs/>
          <w:kern w:val="0"/>
          <w:sz w:val="22"/>
        </w:rPr>
        <w:t>upplementary Table 1. Patient Neurotoxicity Questionnaire (PNQ)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>PNQ is a self-administered instrument which is composed of questions about sensory and motor neurotoxicity. It grades range from grade A (no neurotoxicity) to grade E (very severe neurotoxicity).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color w:val="FF0000"/>
          <w:kern w:val="0"/>
          <w:sz w:val="22"/>
        </w:rPr>
      </w:pP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 xml:space="preserve">[1] </w:t>
      </w:r>
      <w:r w:rsidRPr="00CF0FBB">
        <w:rPr>
          <w:rFonts w:ascii="Arial" w:eastAsia="ＭＳ 明朝" w:hAnsi="Arial" w:cs="Arial" w:hint="eastAsia"/>
          <w:kern w:val="0"/>
          <w:sz w:val="22"/>
        </w:rPr>
        <w:t>Sensory</w:t>
      </w:r>
      <w:r w:rsidRPr="00CF0FBB">
        <w:rPr>
          <w:rFonts w:ascii="Arial" w:eastAsia="ＭＳ 明朝" w:hAnsi="Arial" w:cs="Arial"/>
          <w:kern w:val="0"/>
          <w:sz w:val="22"/>
        </w:rPr>
        <w:t xml:space="preserve"> assessment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A</w:t>
      </w:r>
      <w:r w:rsidRPr="00CF0FBB">
        <w:rPr>
          <w:rFonts w:ascii="Arial" w:eastAsia="ＭＳ 明朝" w:hAnsi="Arial" w:cs="Arial"/>
          <w:kern w:val="0"/>
          <w:sz w:val="22"/>
        </w:rPr>
        <w:t>: No numbness, pain, burning or tingling in hands or feet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B</w:t>
      </w:r>
      <w:r w:rsidRPr="00CF0FBB">
        <w:rPr>
          <w:rFonts w:ascii="Arial" w:eastAsia="ＭＳ 明朝" w:hAnsi="Arial" w:cs="Arial"/>
          <w:kern w:val="0"/>
          <w:sz w:val="22"/>
        </w:rPr>
        <w:t>: Mild numbness, pain, burning or tingling in hands or feet which does not interfere with patient’s activities of daily living.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C</w:t>
      </w:r>
      <w:r w:rsidRPr="00CF0FBB">
        <w:rPr>
          <w:rFonts w:ascii="Arial" w:eastAsia="ＭＳ 明朝" w:hAnsi="Arial" w:cs="Arial"/>
          <w:kern w:val="0"/>
          <w:sz w:val="22"/>
        </w:rPr>
        <w:t>: Moderate numbness, pain, burning or tingling in hands or feet which does not interfere with patient’s activities of daily living.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D</w:t>
      </w:r>
      <w:r w:rsidRPr="00CF0FBB">
        <w:rPr>
          <w:rFonts w:ascii="Arial" w:eastAsia="ＭＳ 明朝" w:hAnsi="Arial" w:cs="Arial"/>
          <w:kern w:val="0"/>
          <w:sz w:val="22"/>
        </w:rPr>
        <w:t>: Moderate to severe numbness, pain, burning or tingling in hands or feet which interferes with patient’s activities of daily living.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>E: Severe numbness, pain, burning or tingling in hands or feet which completely prevents a patient from doing most activities of daily living.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 xml:space="preserve">[2] </w:t>
      </w:r>
      <w:r w:rsidRPr="00CF0FBB">
        <w:rPr>
          <w:rFonts w:ascii="Arial" w:eastAsia="ＭＳ 明朝" w:hAnsi="Arial" w:cs="Arial" w:hint="eastAsia"/>
          <w:kern w:val="0"/>
          <w:sz w:val="22"/>
        </w:rPr>
        <w:t>M</w:t>
      </w:r>
      <w:r w:rsidRPr="00CF0FBB">
        <w:rPr>
          <w:rFonts w:ascii="Arial" w:eastAsia="ＭＳ 明朝" w:hAnsi="Arial" w:cs="Arial"/>
          <w:kern w:val="0"/>
          <w:sz w:val="22"/>
        </w:rPr>
        <w:t>otor assessment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A</w:t>
      </w:r>
      <w:r w:rsidRPr="00CF0FBB">
        <w:rPr>
          <w:rFonts w:ascii="Arial" w:eastAsia="ＭＳ 明朝" w:hAnsi="Arial" w:cs="Arial"/>
          <w:kern w:val="0"/>
          <w:sz w:val="22"/>
        </w:rPr>
        <w:t>: No weakness in arms or legs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B</w:t>
      </w:r>
      <w:r w:rsidRPr="00CF0FBB">
        <w:rPr>
          <w:rFonts w:ascii="Arial" w:eastAsia="ＭＳ 明朝" w:hAnsi="Arial" w:cs="Arial"/>
          <w:kern w:val="0"/>
          <w:sz w:val="22"/>
        </w:rPr>
        <w:t>: Mild weakness in arms or legs which does not interfere with patient’s activities of daily living.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C</w:t>
      </w:r>
      <w:r w:rsidRPr="00CF0FBB">
        <w:rPr>
          <w:rFonts w:ascii="Arial" w:eastAsia="ＭＳ 明朝" w:hAnsi="Arial" w:cs="Arial"/>
          <w:kern w:val="0"/>
          <w:sz w:val="22"/>
        </w:rPr>
        <w:t>: Moderate weakness in arms or legs which does not interfere with patient’s activities of daily living.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>D: Moderate to severe weakness in arms or legs which interferes with patient’s activities of daily living.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>E: Severe weakness in arms or legs which completely prevents a patient from doing most activities of daily living.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sz w:val="22"/>
        </w:rPr>
        <w:br w:type="page"/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kern w:val="0"/>
          <w:sz w:val="22"/>
        </w:rPr>
      </w:pPr>
      <w:r w:rsidRPr="00CF0FBB">
        <w:rPr>
          <w:rFonts w:ascii="Arial" w:eastAsia="ＭＳ 明朝" w:hAnsi="Arial" w:cs="Arial" w:hint="eastAsia"/>
          <w:b/>
          <w:bCs/>
          <w:kern w:val="0"/>
          <w:sz w:val="22"/>
        </w:rPr>
        <w:lastRenderedPageBreak/>
        <w:t>S</w:t>
      </w:r>
      <w:r w:rsidRPr="00CF0FBB">
        <w:rPr>
          <w:rFonts w:ascii="Arial" w:eastAsia="ＭＳ 明朝" w:hAnsi="Arial" w:cs="Arial"/>
          <w:b/>
          <w:bCs/>
          <w:kern w:val="0"/>
          <w:sz w:val="22"/>
        </w:rPr>
        <w:t xml:space="preserve">upplementary Figure 1. 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[A] Sensory neuropathy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color w:val="FF0000"/>
          <w:sz w:val="22"/>
        </w:rPr>
      </w:pPr>
      <w:r w:rsidRPr="00CF0FBB">
        <w:rPr>
          <w:rFonts w:ascii="Arial" w:eastAsia="ＭＳ 明朝" w:hAnsi="Arial" w:cs="Arial"/>
          <w:noProof/>
          <w:color w:val="FF0000"/>
          <w:sz w:val="22"/>
        </w:rPr>
        <w:drawing>
          <wp:inline distT="0" distB="0" distL="0" distR="0" wp14:anchorId="36555B88" wp14:editId="03A543A8">
            <wp:extent cx="6184900" cy="463867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0839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FBB">
        <w:rPr>
          <w:rFonts w:ascii="Arial" w:eastAsia="ＭＳ 明朝" w:hAnsi="Arial" w:cs="Arial"/>
          <w:bCs/>
          <w:sz w:val="22"/>
        </w:rPr>
        <w:br w:type="page"/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Cs/>
          <w:sz w:val="22"/>
        </w:rPr>
      </w:pPr>
      <w:r w:rsidRPr="00CF0FBB">
        <w:rPr>
          <w:rFonts w:ascii="Arial" w:eastAsia="ＭＳ 明朝" w:hAnsi="Arial" w:cs="Arial" w:hint="eastAsia"/>
          <w:bCs/>
          <w:sz w:val="22"/>
        </w:rPr>
        <w:lastRenderedPageBreak/>
        <w:t>[B]</w:t>
      </w:r>
      <w:r w:rsidRPr="00CF0FBB">
        <w:rPr>
          <w:rFonts w:ascii="Arial" w:eastAsia="ＭＳ 明朝" w:hAnsi="Arial" w:cs="Arial"/>
          <w:bCs/>
          <w:sz w:val="22"/>
        </w:rPr>
        <w:t xml:space="preserve"> Motor neuropathy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color w:val="FF0000"/>
          <w:sz w:val="22"/>
        </w:rPr>
      </w:pPr>
      <w:r w:rsidRPr="00CF0FBB">
        <w:rPr>
          <w:rFonts w:ascii="Arial" w:eastAsia="ＭＳ 明朝" w:hAnsi="Arial" w:cs="Arial"/>
          <w:b/>
          <w:bCs/>
          <w:noProof/>
          <w:color w:val="FF0000"/>
          <w:sz w:val="22"/>
        </w:rPr>
        <w:drawing>
          <wp:inline distT="0" distB="0" distL="0" distR="0" wp14:anchorId="76212FF0" wp14:editId="7238F4F5">
            <wp:extent cx="6184900" cy="4638675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365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color w:val="FF0000"/>
          <w:sz w:val="22"/>
        </w:rPr>
      </w:pP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color w:val="FF0000"/>
          <w:sz w:val="22"/>
        </w:rPr>
      </w:pP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kern w:val="0"/>
          <w:sz w:val="22"/>
        </w:rPr>
      </w:pPr>
      <w:r w:rsidRPr="00CF0FBB">
        <w:rPr>
          <w:rFonts w:ascii="Arial" w:eastAsia="ＭＳ 明朝" w:hAnsi="Arial" w:cs="Arial"/>
          <w:b/>
          <w:bCs/>
          <w:kern w:val="0"/>
          <w:sz w:val="22"/>
        </w:rPr>
        <w:t>Supplementary F</w:t>
      </w:r>
      <w:r w:rsidRPr="00CF0FBB">
        <w:rPr>
          <w:rFonts w:ascii="Arial" w:eastAsia="ＭＳ 明朝" w:hAnsi="Arial" w:cs="Arial" w:hint="eastAsia"/>
          <w:b/>
          <w:bCs/>
          <w:kern w:val="0"/>
          <w:sz w:val="22"/>
        </w:rPr>
        <w:t xml:space="preserve">igure 1. Onset of peripheral neuropathy 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 xml:space="preserve">[A] Onset of CTCAE grade </w:t>
      </w:r>
      <w:r w:rsidRPr="00CF0FBB">
        <w:rPr>
          <w:rFonts w:ascii="Arial" w:eastAsia="ＭＳ 明朝" w:hAnsi="Arial" w:cs="Arial" w:hint="eastAsia"/>
          <w:kern w:val="0"/>
          <w:sz w:val="22"/>
        </w:rPr>
        <w:t>≥</w:t>
      </w:r>
      <w:r w:rsidRPr="00CF0FBB">
        <w:rPr>
          <w:rFonts w:ascii="Arial" w:eastAsia="ＭＳ 明朝" w:hAnsi="Arial" w:cs="Arial"/>
          <w:kern w:val="0"/>
          <w:sz w:val="22"/>
        </w:rPr>
        <w:t>2 (PNQ grade</w:t>
      </w:r>
      <w:r w:rsidRPr="00CF0FBB">
        <w:rPr>
          <w:rFonts w:ascii="Arial" w:eastAsia="ＭＳ 明朝" w:hAnsi="Arial" w:cs="Arial" w:hint="eastAsia"/>
          <w:kern w:val="0"/>
          <w:sz w:val="22"/>
        </w:rPr>
        <w:t xml:space="preserve"> </w:t>
      </w:r>
      <w:r w:rsidRPr="00CF0FBB">
        <w:rPr>
          <w:rFonts w:ascii="Arial" w:eastAsia="ＭＳ 明朝" w:hAnsi="Arial" w:cs="Arial" w:hint="eastAsia"/>
          <w:kern w:val="0"/>
          <w:sz w:val="22"/>
        </w:rPr>
        <w:t>≥</w:t>
      </w:r>
      <w:r w:rsidRPr="00CF0FBB">
        <w:rPr>
          <w:rFonts w:ascii="Arial" w:eastAsia="ＭＳ 明朝" w:hAnsi="Arial" w:cs="Arial"/>
          <w:kern w:val="0"/>
          <w:sz w:val="22"/>
        </w:rPr>
        <w:t xml:space="preserve">D)  sensory neuropathy; The median duration from start of chemotherapy to demonstrating CTCAE grade </w:t>
      </w:r>
      <w:r w:rsidRPr="00CF0FBB">
        <w:rPr>
          <w:rFonts w:ascii="Arial" w:eastAsia="ＭＳ 明朝" w:hAnsi="Arial" w:cs="Arial" w:hint="eastAsia"/>
          <w:kern w:val="0"/>
          <w:sz w:val="22"/>
        </w:rPr>
        <w:t>≥</w:t>
      </w:r>
      <w:r w:rsidRPr="00CF0FBB">
        <w:rPr>
          <w:rFonts w:ascii="ＭＳ 明朝" w:eastAsia="ＭＳ 明朝" w:hAnsi="ＭＳ 明朝" w:cs="ＭＳ 明朝" w:hint="eastAsia"/>
          <w:kern w:val="0"/>
          <w:sz w:val="22"/>
        </w:rPr>
        <w:t xml:space="preserve"> </w:t>
      </w:r>
      <w:r w:rsidRPr="00CF0FBB">
        <w:rPr>
          <w:rFonts w:ascii="Arial" w:eastAsia="ＭＳ 明朝" w:hAnsi="Arial" w:cs="Arial"/>
          <w:kern w:val="0"/>
          <w:sz w:val="22"/>
        </w:rPr>
        <w:t>2 sensory neuropathy was 63 days (95% CI 42-.) in the nab-paclitaxel group and 588 days (95% CI 70-588) in the paclitaxel group. The risk ratio (RR) was 1.55 (95% CI 0.93-2.58) without demonstrating statistically significant difference (</w:t>
      </w:r>
      <w:r w:rsidRPr="00CF0FBB">
        <w:rPr>
          <w:rFonts w:ascii="Arial" w:eastAsia="ＭＳ 明朝" w:hAnsi="Arial" w:cs="Arial"/>
          <w:i/>
          <w:kern w:val="0"/>
          <w:sz w:val="22"/>
        </w:rPr>
        <w:t>p</w:t>
      </w:r>
      <w:r w:rsidRPr="00CF0FBB">
        <w:rPr>
          <w:rFonts w:ascii="Arial" w:eastAsia="ＭＳ 明朝" w:hAnsi="Arial" w:cs="Arial"/>
          <w:kern w:val="0"/>
          <w:sz w:val="22"/>
        </w:rPr>
        <w:t xml:space="preserve">=0.085). 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 xml:space="preserve">[B] Onset of CTCAE grade </w:t>
      </w:r>
      <w:r w:rsidRPr="00CF0FBB">
        <w:rPr>
          <w:rFonts w:ascii="Arial" w:eastAsia="ＭＳ 明朝" w:hAnsi="Arial" w:cs="Arial" w:hint="eastAsia"/>
          <w:kern w:val="0"/>
          <w:sz w:val="22"/>
        </w:rPr>
        <w:t>≥</w:t>
      </w:r>
      <w:r w:rsidRPr="00CF0FBB">
        <w:rPr>
          <w:rFonts w:ascii="Arial" w:eastAsia="ＭＳ 明朝" w:hAnsi="Arial" w:cs="Arial"/>
          <w:kern w:val="0"/>
          <w:sz w:val="22"/>
        </w:rPr>
        <w:t>2 (PNQ grade</w:t>
      </w:r>
      <w:r w:rsidRPr="00CF0FBB">
        <w:rPr>
          <w:rFonts w:ascii="Arial" w:eastAsia="ＭＳ 明朝" w:hAnsi="Arial" w:cs="Arial" w:hint="eastAsia"/>
          <w:kern w:val="0"/>
          <w:sz w:val="22"/>
        </w:rPr>
        <w:t xml:space="preserve"> </w:t>
      </w:r>
      <w:r w:rsidRPr="00CF0FBB">
        <w:rPr>
          <w:rFonts w:ascii="Arial" w:eastAsia="ＭＳ 明朝" w:hAnsi="Arial" w:cs="Arial" w:hint="eastAsia"/>
          <w:kern w:val="0"/>
          <w:sz w:val="22"/>
        </w:rPr>
        <w:t>≥</w:t>
      </w:r>
      <w:r w:rsidRPr="00CF0FBB">
        <w:rPr>
          <w:rFonts w:ascii="Arial" w:eastAsia="ＭＳ 明朝" w:hAnsi="Arial" w:cs="Arial"/>
          <w:kern w:val="0"/>
          <w:sz w:val="22"/>
        </w:rPr>
        <w:t xml:space="preserve">D)  motor neuropathy; The median duration from start of chemotherapy to demonstrating CTCAE grade </w:t>
      </w:r>
      <w:r w:rsidRPr="00CF0FBB">
        <w:rPr>
          <w:rFonts w:ascii="Arial" w:eastAsia="ＭＳ 明朝" w:hAnsi="Arial" w:cs="Arial" w:hint="eastAsia"/>
          <w:kern w:val="0"/>
          <w:sz w:val="22"/>
        </w:rPr>
        <w:t>≥</w:t>
      </w:r>
      <w:r w:rsidRPr="00CF0FBB">
        <w:rPr>
          <w:rFonts w:ascii="Arial" w:eastAsia="ＭＳ 明朝" w:hAnsi="Arial" w:cs="Arial"/>
          <w:kern w:val="0"/>
          <w:sz w:val="22"/>
        </w:rPr>
        <w:t>2 motor neuropathy was not reached in the nab-paclitaxel group and 476 days (95% CI 421-.) in the paclitaxel group. The RR was 1.55 (95% CI 0.84-2.85) without demonstrating statistically significant difference (</w:t>
      </w:r>
      <w:r w:rsidRPr="00CF0FBB">
        <w:rPr>
          <w:rFonts w:ascii="Arial" w:eastAsia="ＭＳ 明朝" w:hAnsi="Arial" w:cs="Arial"/>
          <w:i/>
          <w:kern w:val="0"/>
          <w:sz w:val="22"/>
        </w:rPr>
        <w:t>p</w:t>
      </w:r>
      <w:r w:rsidRPr="00CF0FBB">
        <w:rPr>
          <w:rFonts w:ascii="Arial" w:eastAsia="ＭＳ 明朝" w:hAnsi="Arial" w:cs="Arial"/>
          <w:kern w:val="0"/>
          <w:sz w:val="22"/>
        </w:rPr>
        <w:t xml:space="preserve">=0.152). 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sz w:val="22"/>
        </w:rPr>
        <w:br w:type="page"/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kern w:val="0"/>
          <w:sz w:val="22"/>
        </w:rPr>
      </w:pPr>
      <w:r w:rsidRPr="00CF0FBB">
        <w:rPr>
          <w:rFonts w:ascii="Arial" w:eastAsia="ＭＳ 明朝" w:hAnsi="Arial" w:cs="Arial" w:hint="eastAsia"/>
          <w:b/>
          <w:bCs/>
          <w:kern w:val="0"/>
          <w:sz w:val="22"/>
        </w:rPr>
        <w:lastRenderedPageBreak/>
        <w:t>S</w:t>
      </w:r>
      <w:r w:rsidRPr="00CF0FBB">
        <w:rPr>
          <w:rFonts w:ascii="Arial" w:eastAsia="ＭＳ 明朝" w:hAnsi="Arial" w:cs="Arial"/>
          <w:b/>
          <w:bCs/>
          <w:kern w:val="0"/>
          <w:sz w:val="22"/>
        </w:rPr>
        <w:t xml:space="preserve">upplementary Figure 2. 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>[A] Sensory neuropathy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color w:val="FF0000"/>
          <w:sz w:val="22"/>
        </w:rPr>
      </w:pPr>
      <w:r w:rsidRPr="00CF0FBB">
        <w:rPr>
          <w:rFonts w:ascii="Arial" w:eastAsia="ＭＳ 明朝" w:hAnsi="Arial" w:cs="Arial"/>
          <w:b/>
          <w:bCs/>
          <w:noProof/>
          <w:color w:val="FF0000"/>
          <w:sz w:val="22"/>
        </w:rPr>
        <w:drawing>
          <wp:inline distT="0" distB="0" distL="0" distR="0" wp14:anchorId="0E1A5511" wp14:editId="233E1C9C">
            <wp:extent cx="6184900" cy="463867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431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color w:val="FF0000"/>
          <w:sz w:val="22"/>
        </w:rPr>
      </w:pPr>
      <w:r w:rsidRPr="00CF0FBB">
        <w:rPr>
          <w:rFonts w:ascii="Arial" w:eastAsia="ＭＳ 明朝" w:hAnsi="Arial" w:cs="Arial"/>
          <w:b/>
          <w:bCs/>
          <w:color w:val="FF0000"/>
          <w:sz w:val="22"/>
        </w:rPr>
        <w:br w:type="page"/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lastRenderedPageBreak/>
        <w:t>[</w:t>
      </w:r>
      <w:r w:rsidRPr="00CF0FBB">
        <w:rPr>
          <w:rFonts w:ascii="Arial" w:eastAsia="ＭＳ 明朝" w:hAnsi="Arial" w:cs="Arial"/>
          <w:kern w:val="0"/>
          <w:sz w:val="22"/>
        </w:rPr>
        <w:t>B</w:t>
      </w:r>
      <w:r w:rsidRPr="00CF0FBB">
        <w:rPr>
          <w:rFonts w:ascii="Arial" w:eastAsia="ＭＳ 明朝" w:hAnsi="Arial" w:cs="Arial" w:hint="eastAsia"/>
          <w:kern w:val="0"/>
          <w:sz w:val="22"/>
        </w:rPr>
        <w:t xml:space="preserve">] </w:t>
      </w:r>
      <w:r w:rsidRPr="00CF0FBB">
        <w:rPr>
          <w:rFonts w:ascii="Arial" w:eastAsia="ＭＳ 明朝" w:hAnsi="Arial" w:cs="Arial"/>
          <w:kern w:val="0"/>
          <w:sz w:val="22"/>
        </w:rPr>
        <w:t>Motor</w:t>
      </w:r>
      <w:r w:rsidRPr="00CF0FBB">
        <w:rPr>
          <w:rFonts w:ascii="Arial" w:eastAsia="ＭＳ 明朝" w:hAnsi="Arial" w:cs="Arial" w:hint="eastAsia"/>
          <w:kern w:val="0"/>
          <w:sz w:val="22"/>
        </w:rPr>
        <w:t xml:space="preserve"> neuropathy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color w:val="FF0000"/>
          <w:sz w:val="22"/>
        </w:rPr>
      </w:pPr>
      <w:r w:rsidRPr="00CF0FBB">
        <w:rPr>
          <w:rFonts w:ascii="Arial" w:eastAsia="ＭＳ 明朝" w:hAnsi="Arial" w:cs="Arial"/>
          <w:b/>
          <w:bCs/>
          <w:noProof/>
          <w:color w:val="FF0000"/>
          <w:sz w:val="22"/>
        </w:rPr>
        <w:drawing>
          <wp:inline distT="0" distB="0" distL="0" distR="0" wp14:anchorId="20DC3F53" wp14:editId="3C7624E6">
            <wp:extent cx="6184900" cy="463867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380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kern w:val="0"/>
          <w:sz w:val="22"/>
        </w:rPr>
      </w:pP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b/>
          <w:bCs/>
          <w:kern w:val="0"/>
          <w:sz w:val="22"/>
        </w:rPr>
      </w:pPr>
      <w:r w:rsidRPr="00CF0FBB">
        <w:rPr>
          <w:rFonts w:ascii="Arial" w:eastAsia="ＭＳ 明朝" w:hAnsi="Arial" w:cs="Arial"/>
          <w:b/>
          <w:bCs/>
          <w:kern w:val="0"/>
          <w:sz w:val="22"/>
        </w:rPr>
        <w:t>Supplementary F</w:t>
      </w:r>
      <w:r w:rsidRPr="00CF0FBB">
        <w:rPr>
          <w:rFonts w:ascii="Arial" w:eastAsia="ＭＳ 明朝" w:hAnsi="Arial" w:cs="Arial" w:hint="eastAsia"/>
          <w:b/>
          <w:bCs/>
          <w:kern w:val="0"/>
          <w:sz w:val="22"/>
        </w:rPr>
        <w:t>igure 2.</w:t>
      </w:r>
      <w:r w:rsidRPr="00CF0FBB">
        <w:rPr>
          <w:rFonts w:ascii="Arial" w:eastAsia="ＭＳ 明朝" w:hAnsi="Arial" w:cs="Arial" w:hint="eastAsia"/>
          <w:b/>
          <w:bCs/>
          <w:kern w:val="0"/>
          <w:sz w:val="22"/>
        </w:rPr>
        <w:t xml:space="preserve">　</w:t>
      </w:r>
      <w:r w:rsidRPr="00CF0FBB">
        <w:rPr>
          <w:rFonts w:ascii="Arial" w:eastAsia="ＭＳ 明朝" w:hAnsi="Arial" w:cs="Arial" w:hint="eastAsia"/>
          <w:b/>
          <w:bCs/>
          <w:kern w:val="0"/>
          <w:sz w:val="22"/>
        </w:rPr>
        <w:t>Recovery period of peripheral neuropathy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 xml:space="preserve">Recovery period </w:t>
      </w:r>
      <w:r w:rsidRPr="00CF0FBB">
        <w:rPr>
          <w:rFonts w:ascii="Arial" w:eastAsia="ＭＳ 明朝" w:hAnsi="Arial" w:cs="Arial"/>
          <w:kern w:val="0"/>
          <w:sz w:val="22"/>
        </w:rPr>
        <w:t xml:space="preserve">of neuropathy </w:t>
      </w:r>
      <w:r w:rsidRPr="00CF0FBB">
        <w:rPr>
          <w:rFonts w:ascii="Arial" w:eastAsia="ＭＳ 明朝" w:hAnsi="Arial" w:cs="Arial" w:hint="eastAsia"/>
          <w:kern w:val="0"/>
          <w:sz w:val="22"/>
        </w:rPr>
        <w:t xml:space="preserve">from the maximum grade to grade </w:t>
      </w:r>
      <w:r w:rsidRPr="00CF0FBB">
        <w:rPr>
          <w:rFonts w:ascii="Arial" w:eastAsia="ＭＳ 明朝" w:hAnsi="Arial" w:cs="Arial"/>
          <w:kern w:val="0"/>
          <w:sz w:val="22"/>
        </w:rPr>
        <w:t>1 i</w:t>
      </w:r>
      <w:r w:rsidRPr="00CF0FBB">
        <w:rPr>
          <w:rFonts w:ascii="Arial" w:eastAsia="ＭＳ 明朝" w:hAnsi="Arial" w:cs="Arial" w:hint="eastAsia"/>
          <w:kern w:val="0"/>
          <w:sz w:val="22"/>
        </w:rPr>
        <w:t xml:space="preserve">n the subgroup demonstrating maximum </w:t>
      </w:r>
      <w:r w:rsidRPr="00CF0FBB">
        <w:rPr>
          <w:rFonts w:ascii="Arial" w:eastAsia="ＭＳ 明朝" w:hAnsi="Arial" w:cs="Arial"/>
          <w:kern w:val="0"/>
          <w:sz w:val="22"/>
        </w:rPr>
        <w:t xml:space="preserve">CTCAE </w:t>
      </w:r>
      <w:r w:rsidRPr="00CF0FBB">
        <w:rPr>
          <w:rFonts w:ascii="Arial" w:eastAsia="ＭＳ 明朝" w:hAnsi="Arial" w:cs="Arial" w:hint="eastAsia"/>
          <w:kern w:val="0"/>
          <w:sz w:val="22"/>
        </w:rPr>
        <w:t xml:space="preserve">grade </w:t>
      </w:r>
      <w:r w:rsidRPr="00CF0FBB">
        <w:rPr>
          <w:rFonts w:ascii="Arial" w:eastAsia="ＭＳ 明朝" w:hAnsi="Arial" w:cs="Arial" w:hint="eastAsia"/>
          <w:kern w:val="0"/>
          <w:sz w:val="22"/>
        </w:rPr>
        <w:t>≥</w:t>
      </w:r>
      <w:r w:rsidRPr="00CF0FBB">
        <w:rPr>
          <w:rFonts w:ascii="Arial" w:eastAsia="ＭＳ 明朝" w:hAnsi="Arial" w:cs="Arial"/>
          <w:kern w:val="0"/>
          <w:sz w:val="22"/>
        </w:rPr>
        <w:t>2 .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 w:hint="eastAsia"/>
          <w:kern w:val="0"/>
          <w:sz w:val="22"/>
        </w:rPr>
        <w:t xml:space="preserve">[A] Recovery period </w:t>
      </w:r>
      <w:r w:rsidRPr="00CF0FBB">
        <w:rPr>
          <w:rFonts w:ascii="Arial" w:eastAsia="ＭＳ 明朝" w:hAnsi="Arial" w:cs="Arial"/>
          <w:kern w:val="0"/>
          <w:sz w:val="22"/>
        </w:rPr>
        <w:t xml:space="preserve">of sensory neuropathy </w:t>
      </w:r>
    </w:p>
    <w:p w:rsidR="00CF0FBB" w:rsidRPr="00CF0FBB" w:rsidRDefault="00CF0FBB" w:rsidP="00CF0FBB">
      <w:pPr>
        <w:widowControl/>
        <w:spacing w:line="276" w:lineRule="auto"/>
        <w:jc w:val="left"/>
        <w:rPr>
          <w:rFonts w:ascii="Arial" w:eastAsia="ＭＳ 明朝" w:hAnsi="Arial" w:cs="Arial"/>
          <w:sz w:val="22"/>
        </w:rPr>
      </w:pPr>
      <w:r w:rsidRPr="00CF0FBB">
        <w:rPr>
          <w:rFonts w:ascii="Arial" w:eastAsia="ＭＳ 明朝" w:hAnsi="Arial" w:cs="Arial"/>
          <w:sz w:val="22"/>
        </w:rPr>
        <w:t xml:space="preserve">The recovery duration from demonstrating the maximum grade to grade 1 was 147 days (95% CI 70-175) in the nab-paclitaxel group and 150 days (95% CI 105-287) in the paclitaxel group (RR 1.55, 95% CI 0.85-2.80, </w:t>
      </w:r>
      <w:r w:rsidRPr="00CF0FBB">
        <w:rPr>
          <w:rFonts w:ascii="Arial" w:eastAsia="ＭＳ 明朝" w:hAnsi="Arial" w:cs="Arial"/>
          <w:i/>
          <w:iCs/>
          <w:sz w:val="22"/>
        </w:rPr>
        <w:t>p</w:t>
      </w:r>
      <w:r w:rsidRPr="00CF0FBB">
        <w:rPr>
          <w:rFonts w:ascii="Arial" w:eastAsia="ＭＳ 明朝" w:hAnsi="Arial" w:cs="Arial"/>
          <w:sz w:val="22"/>
        </w:rPr>
        <w:t>=0.15).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kern w:val="0"/>
          <w:sz w:val="22"/>
        </w:rPr>
      </w:pPr>
      <w:r w:rsidRPr="00CF0FBB">
        <w:rPr>
          <w:rFonts w:ascii="Arial" w:eastAsia="ＭＳ 明朝" w:hAnsi="Arial" w:cs="Arial"/>
          <w:kern w:val="0"/>
          <w:sz w:val="22"/>
        </w:rPr>
        <w:t xml:space="preserve">[B] </w:t>
      </w:r>
      <w:r w:rsidRPr="00CF0FBB">
        <w:rPr>
          <w:rFonts w:ascii="Arial" w:eastAsia="ＭＳ 明朝" w:hAnsi="Arial" w:cs="Arial" w:hint="eastAsia"/>
          <w:kern w:val="0"/>
          <w:sz w:val="22"/>
        </w:rPr>
        <w:t xml:space="preserve">Recovery period </w:t>
      </w:r>
      <w:r w:rsidRPr="00CF0FBB">
        <w:rPr>
          <w:rFonts w:ascii="Arial" w:eastAsia="ＭＳ 明朝" w:hAnsi="Arial" w:cs="Arial"/>
          <w:kern w:val="0"/>
          <w:sz w:val="22"/>
        </w:rPr>
        <w:t xml:space="preserve">of motor neuropathy </w:t>
      </w:r>
    </w:p>
    <w:p w:rsidR="00CF0FBB" w:rsidRPr="00CF0FBB" w:rsidRDefault="00CF0FBB" w:rsidP="00CF0FBB">
      <w:pPr>
        <w:widowControl/>
        <w:jc w:val="left"/>
        <w:rPr>
          <w:rFonts w:ascii="Arial" w:eastAsia="ＭＳ 明朝" w:hAnsi="Arial" w:cs="Arial"/>
          <w:sz w:val="22"/>
        </w:rPr>
      </w:pPr>
      <w:r w:rsidRPr="00CF0FBB">
        <w:rPr>
          <w:rFonts w:ascii="Arial" w:eastAsia="ＭＳ 明朝" w:hAnsi="Arial" w:cs="Arial"/>
          <w:sz w:val="22"/>
        </w:rPr>
        <w:t xml:space="preserve">The median recovery duration from demonstrating the maximum grade to grade 1 was 147 days (95%CI 33-180) in the nab-paclitaxel group and </w:t>
      </w:r>
      <w:r w:rsidRPr="00CF0FBB">
        <w:rPr>
          <w:rFonts w:ascii="Arial" w:eastAsia="ＭＳ 明朝" w:hAnsi="Arial" w:cs="Arial" w:hint="eastAsia"/>
          <w:sz w:val="22"/>
        </w:rPr>
        <w:t>1</w:t>
      </w:r>
      <w:r w:rsidRPr="00CF0FBB">
        <w:rPr>
          <w:rFonts w:ascii="Arial" w:eastAsia="ＭＳ 明朝" w:hAnsi="Arial" w:cs="Arial"/>
          <w:sz w:val="22"/>
        </w:rPr>
        <w:t>75</w:t>
      </w:r>
      <w:r w:rsidRPr="00CF0FBB">
        <w:rPr>
          <w:rFonts w:ascii="Arial" w:eastAsia="ＭＳ 明朝" w:hAnsi="Arial" w:cs="Arial" w:hint="eastAsia"/>
          <w:sz w:val="22"/>
        </w:rPr>
        <w:t xml:space="preserve"> days (95%</w:t>
      </w:r>
      <w:r w:rsidRPr="00CF0FBB">
        <w:rPr>
          <w:rFonts w:ascii="Arial" w:eastAsia="ＭＳ 明朝" w:hAnsi="Arial" w:cs="Arial"/>
          <w:sz w:val="22"/>
        </w:rPr>
        <w:t xml:space="preserve"> </w:t>
      </w:r>
      <w:r w:rsidRPr="00CF0FBB">
        <w:rPr>
          <w:rFonts w:ascii="Arial" w:eastAsia="ＭＳ 明朝" w:hAnsi="Arial" w:cs="Arial" w:hint="eastAsia"/>
          <w:sz w:val="22"/>
        </w:rPr>
        <w:t>CI 105-287) in the paclitaxel group (RR 1.5</w:t>
      </w:r>
      <w:r w:rsidRPr="00CF0FBB">
        <w:rPr>
          <w:rFonts w:ascii="Arial" w:eastAsia="ＭＳ 明朝" w:hAnsi="Arial" w:cs="Arial"/>
          <w:sz w:val="22"/>
        </w:rPr>
        <w:t>7</w:t>
      </w:r>
      <w:r w:rsidRPr="00CF0FBB">
        <w:rPr>
          <w:rFonts w:ascii="Arial" w:eastAsia="ＭＳ 明朝" w:hAnsi="Arial" w:cs="Arial" w:hint="eastAsia"/>
          <w:sz w:val="22"/>
        </w:rPr>
        <w:t>, 95%</w:t>
      </w:r>
      <w:r w:rsidRPr="00CF0FBB">
        <w:rPr>
          <w:rFonts w:ascii="Arial" w:eastAsia="ＭＳ 明朝" w:hAnsi="Arial" w:cs="Arial"/>
          <w:sz w:val="22"/>
        </w:rPr>
        <w:t xml:space="preserve"> </w:t>
      </w:r>
      <w:r w:rsidRPr="00CF0FBB">
        <w:rPr>
          <w:rFonts w:ascii="Arial" w:eastAsia="ＭＳ 明朝" w:hAnsi="Arial" w:cs="Arial" w:hint="eastAsia"/>
          <w:sz w:val="22"/>
        </w:rPr>
        <w:t>CI 0.</w:t>
      </w:r>
      <w:r w:rsidRPr="00CF0FBB">
        <w:rPr>
          <w:rFonts w:ascii="Arial" w:eastAsia="ＭＳ 明朝" w:hAnsi="Arial" w:cs="Arial"/>
          <w:sz w:val="22"/>
        </w:rPr>
        <w:t>77</w:t>
      </w:r>
      <w:r w:rsidRPr="00CF0FBB">
        <w:rPr>
          <w:rFonts w:ascii="Arial" w:eastAsia="ＭＳ 明朝" w:hAnsi="Arial" w:cs="Arial" w:hint="eastAsia"/>
          <w:sz w:val="22"/>
        </w:rPr>
        <w:t>-</w:t>
      </w:r>
      <w:r w:rsidRPr="00CF0FBB">
        <w:rPr>
          <w:rFonts w:ascii="Arial" w:eastAsia="ＭＳ 明朝" w:hAnsi="Arial" w:cs="Arial"/>
          <w:sz w:val="22"/>
        </w:rPr>
        <w:t>3.22</w:t>
      </w:r>
      <w:r w:rsidRPr="00CF0FBB">
        <w:rPr>
          <w:rFonts w:ascii="Arial" w:eastAsia="ＭＳ 明朝" w:hAnsi="Arial" w:cs="Arial" w:hint="eastAsia"/>
          <w:sz w:val="22"/>
        </w:rPr>
        <w:t xml:space="preserve">, </w:t>
      </w:r>
      <w:r w:rsidRPr="00CF0FBB">
        <w:rPr>
          <w:rFonts w:ascii="Arial" w:eastAsia="ＭＳ 明朝" w:hAnsi="Arial" w:cs="Arial" w:hint="eastAsia"/>
          <w:i/>
          <w:iCs/>
          <w:sz w:val="22"/>
        </w:rPr>
        <w:t>p</w:t>
      </w:r>
      <w:r w:rsidRPr="00CF0FBB">
        <w:rPr>
          <w:rFonts w:ascii="Arial" w:eastAsia="ＭＳ 明朝" w:hAnsi="Arial" w:cs="Arial" w:hint="eastAsia"/>
          <w:sz w:val="22"/>
        </w:rPr>
        <w:t>=0.</w:t>
      </w:r>
      <w:r w:rsidRPr="00CF0FBB">
        <w:rPr>
          <w:rFonts w:ascii="Arial" w:eastAsia="ＭＳ 明朝" w:hAnsi="Arial" w:cs="Arial"/>
          <w:sz w:val="22"/>
        </w:rPr>
        <w:t>211</w:t>
      </w:r>
      <w:r w:rsidRPr="00CF0FBB">
        <w:rPr>
          <w:rFonts w:ascii="Arial" w:eastAsia="ＭＳ 明朝" w:hAnsi="Arial" w:cs="Arial" w:hint="eastAsia"/>
          <w:sz w:val="22"/>
        </w:rPr>
        <w:t>)</w:t>
      </w:r>
      <w:r w:rsidRPr="00CF0FBB">
        <w:rPr>
          <w:rFonts w:ascii="Arial" w:eastAsia="ＭＳ 明朝" w:hAnsi="Arial" w:cs="Arial"/>
          <w:sz w:val="22"/>
        </w:rPr>
        <w:t>.</w:t>
      </w:r>
    </w:p>
    <w:p w:rsidR="003C3209" w:rsidRPr="00CF0FBB" w:rsidRDefault="003C3209" w:rsidP="003C3209">
      <w:pPr>
        <w:rPr>
          <w:rFonts w:ascii="Arial" w:hAnsi="Arial" w:cs="Arial" w:hint="eastAsia"/>
        </w:rPr>
      </w:pPr>
    </w:p>
    <w:p w:rsidR="00EF0082" w:rsidRPr="00EF0082" w:rsidRDefault="00EF0082">
      <w:pPr>
        <w:rPr>
          <w:rFonts w:ascii="Arial" w:hAnsi="Arial" w:cs="Arial" w:hint="eastAsia"/>
        </w:rPr>
      </w:pPr>
    </w:p>
    <w:sectPr w:rsidR="00EF0082" w:rsidRPr="00EF00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20"/>
    <w:rsid w:val="002053A7"/>
    <w:rsid w:val="003C3209"/>
    <w:rsid w:val="009D43B7"/>
    <w:rsid w:val="00A72005"/>
    <w:rsid w:val="00C67120"/>
    <w:rsid w:val="00CF0FBB"/>
    <w:rsid w:val="00E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E8138"/>
  <w15:chartTrackingRefBased/>
  <w15:docId w15:val="{287C97C3-B235-4829-ABE7-6047A6B7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喜多　久美子</dc:creator>
  <cp:keywords/>
  <dc:description/>
  <cp:lastModifiedBy>Kumiko Kida</cp:lastModifiedBy>
  <cp:revision>4</cp:revision>
  <dcterms:created xsi:type="dcterms:W3CDTF">2023-07-25T15:10:00Z</dcterms:created>
  <dcterms:modified xsi:type="dcterms:W3CDTF">2023-07-25T15:28:00Z</dcterms:modified>
</cp:coreProperties>
</file>