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972E3" w14:textId="77777777" w:rsidR="008B001D" w:rsidRDefault="008B001D" w:rsidP="008B001D">
      <w:pPr>
        <w:widowControl/>
        <w:overflowPunct w:val="0"/>
        <w:autoSpaceDE w:val="0"/>
        <w:autoSpaceDN w:val="0"/>
        <w:adjustRightInd w:val="0"/>
        <w:snapToGrid w:val="0"/>
        <w:spacing w:line="480" w:lineRule="auto"/>
        <w:jc w:val="center"/>
        <w:textAlignment w:val="baseline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  <w:bookmarkStart w:id="0" w:name="_Hlk140431884"/>
      <w:r w:rsidRPr="008B001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Onion (</w:t>
      </w:r>
      <w:r w:rsidRPr="008B001D">
        <w:rPr>
          <w:rFonts w:ascii="Times New Roman" w:eastAsia="宋体" w:hAnsi="Times New Roman" w:cs="Times New Roman"/>
          <w:b/>
          <w:i/>
          <w:kern w:val="0"/>
          <w:sz w:val="24"/>
          <w:szCs w:val="24"/>
          <w:lang w:eastAsia="en-US"/>
        </w:rPr>
        <w:t>Allium cepa</w:t>
      </w:r>
      <w:r w:rsidRPr="008B001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L.) flavonoids extract </w:t>
      </w:r>
      <w:bookmarkStart w:id="1" w:name="OLE_LINK3"/>
      <w:r w:rsidRPr="008B001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ameliorates osteoporosis facilitating osteoblast </w:t>
      </w:r>
      <w:bookmarkStart w:id="2" w:name="_Hlk64724660"/>
      <w:r w:rsidRPr="008B001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proliferation</w:t>
      </w:r>
      <w:bookmarkEnd w:id="2"/>
      <w:r w:rsidRPr="008B001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and differentiation, and inhibiting RANKL-induced </w:t>
      </w:r>
      <w:bookmarkStart w:id="3" w:name="_Hlk78917201"/>
      <w:proofErr w:type="spellStart"/>
      <w:r w:rsidRPr="008B001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osteoclastogenesis</w:t>
      </w:r>
      <w:bookmarkEnd w:id="1"/>
      <w:bookmarkEnd w:id="3"/>
      <w:proofErr w:type="spellEnd"/>
    </w:p>
    <w:p w14:paraId="0139BD4C" w14:textId="77777777" w:rsidR="008B001D" w:rsidRDefault="008B001D" w:rsidP="008B001D">
      <w:pPr>
        <w:widowControl/>
        <w:overflowPunct w:val="0"/>
        <w:autoSpaceDE w:val="0"/>
        <w:autoSpaceDN w:val="0"/>
        <w:adjustRightInd w:val="0"/>
        <w:snapToGrid w:val="0"/>
        <w:spacing w:line="480" w:lineRule="auto"/>
        <w:jc w:val="center"/>
        <w:textAlignment w:val="baseline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</w:p>
    <w:p w14:paraId="056DA756" w14:textId="1BD1A9E1" w:rsidR="008B001D" w:rsidRDefault="008B001D" w:rsidP="008B001D">
      <w:pPr>
        <w:widowControl/>
        <w:overflowPunct w:val="0"/>
        <w:autoSpaceDE w:val="0"/>
        <w:autoSpaceDN w:val="0"/>
        <w:adjustRightInd w:val="0"/>
        <w:snapToGrid w:val="0"/>
        <w:spacing w:line="480" w:lineRule="auto"/>
        <w:jc w:val="center"/>
        <w:textAlignment w:val="baseline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  <w:r w:rsidRPr="008B001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Plant Foods for Human Nutrition</w:t>
      </w:r>
    </w:p>
    <w:p w14:paraId="1AA917F4" w14:textId="77777777" w:rsidR="008B001D" w:rsidRPr="008B001D" w:rsidRDefault="008B001D" w:rsidP="008B001D">
      <w:pPr>
        <w:widowControl/>
        <w:overflowPunct w:val="0"/>
        <w:autoSpaceDE w:val="0"/>
        <w:autoSpaceDN w:val="0"/>
        <w:adjustRightInd w:val="0"/>
        <w:snapToGrid w:val="0"/>
        <w:spacing w:line="480" w:lineRule="auto"/>
        <w:jc w:val="center"/>
        <w:textAlignment w:val="baseline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</w:p>
    <w:bookmarkEnd w:id="0"/>
    <w:p w14:paraId="1F4965FA" w14:textId="77777777" w:rsidR="008B001D" w:rsidRPr="008B001D" w:rsidRDefault="008B001D" w:rsidP="008B001D">
      <w:pPr>
        <w:widowControl/>
        <w:overflowPunct w:val="0"/>
        <w:autoSpaceDE w:val="0"/>
        <w:autoSpaceDN w:val="0"/>
        <w:adjustRightInd w:val="0"/>
        <w:snapToGrid w:val="0"/>
        <w:spacing w:line="480" w:lineRule="auto"/>
        <w:jc w:val="center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8B001D">
        <w:rPr>
          <w:rFonts w:ascii="Times New Roman" w:eastAsia="宋体" w:hAnsi="Times New Roman" w:cs="Times New Roman"/>
          <w:kern w:val="0"/>
          <w:sz w:val="24"/>
          <w:szCs w:val="24"/>
        </w:rPr>
        <w:t>Danyang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Zhang 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, </w:t>
      </w:r>
      <w:r w:rsidRPr="008B001D">
        <w:rPr>
          <w:rFonts w:ascii="Times New Roman" w:eastAsia="宋体" w:hAnsi="Times New Roman" w:cs="Times New Roman" w:hint="eastAsia"/>
          <w:kern w:val="0"/>
          <w:sz w:val="24"/>
          <w:szCs w:val="24"/>
        </w:rPr>
        <w:t>Xiaoyu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Pr="008B001D">
        <w:rPr>
          <w:rFonts w:ascii="Times New Roman" w:eastAsia="宋体" w:hAnsi="Times New Roman" w:cs="Times New Roman" w:hint="eastAsia"/>
          <w:kern w:val="0"/>
          <w:sz w:val="24"/>
          <w:szCs w:val="24"/>
        </w:rPr>
        <w:t>Wang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8B001D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B001D">
        <w:rPr>
          <w:rFonts w:ascii="Times New Roman" w:eastAsia="宋体" w:hAnsi="Times New Roman" w:cs="Times New Roman"/>
          <w:kern w:val="0"/>
          <w:sz w:val="24"/>
          <w:szCs w:val="24"/>
        </w:rPr>
        <w:t>Kezhuo</w:t>
      </w:r>
      <w:proofErr w:type="spellEnd"/>
      <w:r w:rsidRPr="008B001D">
        <w:rPr>
          <w:rFonts w:ascii="Times New Roman" w:eastAsia="宋体" w:hAnsi="Times New Roman" w:cs="Times New Roman"/>
          <w:kern w:val="0"/>
          <w:sz w:val="24"/>
          <w:szCs w:val="24"/>
        </w:rPr>
        <w:t xml:space="preserve"> Sun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8B001D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</w:rPr>
        <w:t xml:space="preserve"> Jianli Guo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 w:rsidRPr="008B001D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Jia Zhao 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, </w:t>
      </w:r>
      <w:proofErr w:type="spellStart"/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Yuesheng</w:t>
      </w:r>
      <w:proofErr w:type="spellEnd"/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Dong 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*, Yongming Bao 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1, 3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*</w:t>
      </w:r>
    </w:p>
    <w:p w14:paraId="5DD9F6CB" w14:textId="77777777" w:rsidR="008B001D" w:rsidRPr="008B001D" w:rsidRDefault="008B001D" w:rsidP="008B001D">
      <w:pPr>
        <w:widowControl/>
        <w:overflowPunct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</w:pPr>
    </w:p>
    <w:p w14:paraId="0DDDB4D2" w14:textId="77777777" w:rsidR="008B001D" w:rsidRPr="008B001D" w:rsidRDefault="008B001D" w:rsidP="008B001D">
      <w:pPr>
        <w:widowControl/>
        <w:overflowPunct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8B001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School of Bioengineering, Dalian University of Technology, Dalian, 116024, China</w:t>
      </w:r>
    </w:p>
    <w:p w14:paraId="0D6EA56C" w14:textId="77777777" w:rsidR="008B001D" w:rsidRPr="008B001D" w:rsidRDefault="008B001D" w:rsidP="008B001D">
      <w:pPr>
        <w:widowControl/>
        <w:overflowPunct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8B001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proofErr w:type="spellStart"/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Panjin</w:t>
      </w:r>
      <w:proofErr w:type="spellEnd"/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Institute of Industrial Technology, Dalian University of Technology, </w:t>
      </w:r>
      <w:proofErr w:type="spellStart"/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Panjin</w:t>
      </w:r>
      <w:proofErr w:type="spellEnd"/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124221, Liaoning, China</w:t>
      </w:r>
    </w:p>
    <w:p w14:paraId="68CCDE7F" w14:textId="77777777" w:rsidR="008B001D" w:rsidRPr="008B001D" w:rsidRDefault="008B001D" w:rsidP="008B001D">
      <w:pPr>
        <w:widowControl/>
        <w:overflowPunct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bookmarkStart w:id="4" w:name="OLE_LINK6"/>
      <w:r w:rsidRPr="008B001D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3</w:t>
      </w: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bookmarkEnd w:id="4"/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School of Ocean Science and Technology, Dalian University of Technology, </w:t>
      </w:r>
      <w:proofErr w:type="spellStart"/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Panjin</w:t>
      </w:r>
      <w:proofErr w:type="spellEnd"/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, 124221, China</w:t>
      </w:r>
    </w:p>
    <w:p w14:paraId="1680AC2B" w14:textId="77777777" w:rsidR="008B001D" w:rsidRPr="008B001D" w:rsidRDefault="008B001D" w:rsidP="008B001D">
      <w:pPr>
        <w:widowControl/>
        <w:overflowPunct w:val="0"/>
        <w:autoSpaceDE w:val="0"/>
        <w:autoSpaceDN w:val="0"/>
        <w:adjustRightInd w:val="0"/>
        <w:snapToGri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* To whom correspondence should be addressed: School of Bioengineering, Dalian University of Technology. No. 2 </w:t>
      </w:r>
      <w:proofErr w:type="spellStart"/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Linggong</w:t>
      </w:r>
      <w:proofErr w:type="spellEnd"/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Road, Ganjingzi District, Dalian, 116024, China. Tel: +86-13332280036, Fax: +86-411-84706365, </w:t>
      </w:r>
    </w:p>
    <w:p w14:paraId="1F01E785" w14:textId="00BE6357" w:rsidR="008B001D" w:rsidRPr="008B001D" w:rsidRDefault="008B001D" w:rsidP="008B001D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</w:pPr>
      <w:r w:rsidRPr="008B001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E-mail: biosci@dlut.edu.c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n</w:t>
      </w:r>
      <w:r w:rsidRPr="008B001D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br w:type="page"/>
      </w:r>
    </w:p>
    <w:p w14:paraId="2824ED24" w14:textId="62D4F683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lastRenderedPageBreak/>
        <w:t xml:space="preserve">Materials and reagents </w:t>
      </w:r>
    </w:p>
    <w:p w14:paraId="2BAA5838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Red onions were purchased at a local market in Dalian, China.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Rutin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(≥98% Purity) was purchased from Sichuan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Weikeqi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Biological Technology (Chengdu, China). The pure water is prepared by Direct-Q 8UV-R (Millipore, USA). All other reagents in the experiments were purchased from Damao chemical reagent factory (Tianjin, China).</w:t>
      </w:r>
    </w:p>
    <w:p w14:paraId="41072387" w14:textId="3393B852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Preparation of red onion extract</w:t>
      </w:r>
    </w:p>
    <w:p w14:paraId="49EABAF3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The red onions (</w:t>
      </w:r>
      <w:r w:rsidRPr="007F10C6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eastAsia="en-US"/>
        </w:rPr>
        <w:t>Allium cepa L.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) were cleaned after the tunics removed. The bulbs were hot air dried (</w:t>
      </w:r>
      <w:bookmarkStart w:id="5" w:name="_Hlk59998902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80 °C</w:t>
      </w:r>
      <w:bookmarkEnd w:id="5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) for 12 h and then pulverized. 1 g onion powder was suspended in 15 mL of aqueous ethanol (80%, v/v), and then extracted in an ultrasonic water bath for 5 min at 25 °C. After centrifuged at 5000 ×g 5 min, the supernatants were collected. The process was repeated three times, supernatants were combined and concentrated under vacuum conditions. Dry OFE powder was stored at -20 </w:t>
      </w:r>
      <w:bookmarkStart w:id="6" w:name="_Hlk67850117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°C</w:t>
      </w:r>
      <w:bookmarkEnd w:id="6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before use. </w:t>
      </w:r>
    </w:p>
    <w:p w14:paraId="4D12CC00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Rutin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used as a reference substance, and AlCl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3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as the color-developing agent, the optical density (OD) value at 415 nm was measured spectrophotometrically, and the total flavonoids were calculated. 3.2% total flavonoids content was determined by colorimetry. </w:t>
      </w:r>
    </w:p>
    <w:p w14:paraId="65290007" w14:textId="4512E2D4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7" w:name="_Hlk135319408"/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Animal and administration</w:t>
      </w:r>
    </w:p>
    <w:bookmarkEnd w:id="7"/>
    <w:p w14:paraId="70F2F930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Forty-eighty specific-pathogen-free (SPF) female Sprague Dawley (SD) rats (12 weeks, 250–270 g) were bought from Liaoning Changsheng Biotechnology (Liaoning, China). Rats were housed under standard laboratory conditions (temperature 23 ± 2 °C, humidity 55% ± 5, and 12 h light-dark cycle). All rats drank water and ate food freely. 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lastRenderedPageBreak/>
        <w:t xml:space="preserve">After acclimatization for 7 days, rats received either bilateral fat removal of tissue alone (Sham group, n = 8) or bilateral ovariectomy (OVX group, n=40). After 6 weeks of recovery period, all the OVX rats were randomly divided into 5 groups: OVX group (n = 8), OVX+L-OFE group (n=8,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i.g.OFE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25 mg/kg), OVX+M-OFE group (n=8,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i.g.OFE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50 mg/kg), OVX+H-OFE group (n=8,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i.g.OFE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75 mg/kg), and OVX+ALN group (n=8,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i.g.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Alendronate Sodium 1 mg/kg) as the positive control group for 8 weeks. The rats in Sham group and in OVX group were administered by normal saline in the equivalent volume. Body weight was weighed every week. At the end of the 8-week treatment, the rats were euthanized. The serum and the femur were collected for further experiments. </w:t>
      </w:r>
      <w:bookmarkStart w:id="8" w:name="_Hlk140431937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All the animal experiments were conducted with the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aproval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of the Ethics Committee of Dalian University of Technology, China</w:t>
      </w:r>
      <w:r w:rsidRPr="007F10C6">
        <w:rPr>
          <w:rFonts w:ascii="Times New Roman" w:eastAsia="宋体" w:hAnsi="Times New Roman" w:cs="Times New Roman"/>
          <w:color w:val="FF0000"/>
          <w:kern w:val="0"/>
          <w:sz w:val="24"/>
          <w:szCs w:val="24"/>
          <w:lang w:eastAsia="en-US"/>
        </w:rPr>
        <w:t xml:space="preserve"> 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(No. 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</w:rPr>
        <w:t>DUTSBE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230621-03). All animal experiments of the study were carried out in accordance with the European Community guidelines (Directive 2010/63/EU).</w:t>
      </w:r>
      <w:bookmarkEnd w:id="8"/>
    </w:p>
    <w:p w14:paraId="344E8ED0" w14:textId="0094ABF9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Hematoxylin and Eosin (H&amp;E) Staining</w:t>
      </w:r>
    </w:p>
    <w:p w14:paraId="44C99C73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The right femurs were isolated and fixed in 4% neutral formaldehyde (pH 7.0) for 48 h, then femurs were decalcified in 10% ethylenediaminetetraacetic acid (EDTA) (pH 7.2) at 4 °C for 10 weeks. Then each bone sample was cut coronally into 4-μm sections, deh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ydrated in a series of ethanol solutions (80%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，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90%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，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95%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，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 xml:space="preserve">100%), and embedded in paraffin. Tissue 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was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 xml:space="preserve"> mounted on common slides for staining with H&amp;E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14:paraId="0583CE48" w14:textId="62961179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Micro-CT analysis</w:t>
      </w:r>
    </w:p>
    <w:p w14:paraId="2C8D6637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bookmarkStart w:id="9" w:name="_Hlk135319584"/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lastRenderedPageBreak/>
        <w:t>The femurs were scanned by micro-CT (SIEMENS AG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G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ermany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 xml:space="preserve">). Bone mineral density (BMD), the trabecular bone volume/tissue volume ratio (BV/TV), trabecular number (Tb. N), and trabecular bone separation (Tb. </w:t>
      </w:r>
      <w:proofErr w:type="spellStart"/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Sp</w:t>
      </w:r>
      <w:proofErr w:type="spellEnd"/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) were calculated.</w:t>
      </w:r>
    </w:p>
    <w:p w14:paraId="47971F73" w14:textId="32293AA2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Serum determination</w:t>
      </w:r>
    </w:p>
    <w:p w14:paraId="0B9E65F5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 xml:space="preserve">Blood sample was collected and centrifuged at 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1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000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</w:rPr>
        <w:t>×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 xml:space="preserve">g for 15 min at 4 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℃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. The level of rat alkaline phosphatase (ALP)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(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 xml:space="preserve">Nanjing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>Jiancheng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 xml:space="preserve"> Bioengineering Institute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Nanjing, China)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, Ca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(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 xml:space="preserve">Nanjing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>Jiancheng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 xml:space="preserve"> Bioengineering Institute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Nanjing, China)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, P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(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 xml:space="preserve">Nanjing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>Jiancheng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 xml:space="preserve"> Bioengineering Institute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Nanjing, China), E2 (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Elabscience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, Wuhan, China) and Trap (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Elabscience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, Wuhan, China) 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 xml:space="preserve">in serum were determined 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by assay kits following</w:t>
      </w:r>
      <w:r w:rsidRPr="007F10C6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 xml:space="preserve"> the instructions.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Absorbance value was measured using a microplate reader (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Thermo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Fisher Scientific, USA). </w:t>
      </w:r>
    </w:p>
    <w:p w14:paraId="56BA200D" w14:textId="72BB18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Cell culture</w:t>
      </w:r>
    </w:p>
    <w:bookmarkEnd w:id="9"/>
    <w:p w14:paraId="3D6C6778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Both human osteoblast-like cell lines MG-63 and mouse leukemia cells of monocyte macrophage RAW 264.7 were provided by Chinese Academy of Sciences Cell Bank (Shanghai, China). Cells were cultured at 37 °C incubator with 5% CO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in Dulbecco modified Eagle’s medium (DMEM, BBI LIFE SCIENCES, Shanghai, China) supplemented with 10% fetal bovine serum (FBS, Gibco) and antibiotics (100 IU penicillin/mL and 100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μg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streptomycin/mL, BBI LIFE SCIENCES, Shanghai, China).</w:t>
      </w:r>
    </w:p>
    <w:p w14:paraId="02CA2AC8" w14:textId="0EA66F3D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MTT assay</w:t>
      </w:r>
    </w:p>
    <w:p w14:paraId="20D7F960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The proliferative activity of OFE on MG-63 cells was determined by 3-(4, 5-Dimethyl-2-thiazolyl)-2, 5-diphenyl-2H-tetrazolium bromide (MTT) assay. Stock solutions of OFE was prepared in dimethyl sulfoxide (DMSO, Cell culture grade,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lastRenderedPageBreak/>
        <w:t>Solarbio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, Beijing, China). Vehicle control groups with 0.1% DMSO were included in the experiments. Stock solutions were diluted by medium to final concentrations of 6.25, 12.5, 25, 50 or 100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μg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/mL when they would be used. Cells were cultured in 96-well plates with 5×10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3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cells per well for an overnight incubation and were treated with OFE (6.25-100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μg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/mL) for 24 h. Then, old medium was removed and the residual medium with drugs was washed away using sodium phosphate buffer (PBS). Afterwards, 100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μL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MTT solution diluted in fresh medium was added per well and the cells were incubated at 37 °C for another 4 h. After removal of the medium, 100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μL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DMSO was added per well to dissolve the formazan crystals. When fully dissolved, the absorbance at 570 nm was measured by a microplate reader (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Thermo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Fisher Scientific, USA) and absorbance at 630 nm as reference.</w:t>
      </w:r>
    </w:p>
    <w:p w14:paraId="18868CA1" w14:textId="2206411E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Alkaline phosphatase (ALP) activity assay</w:t>
      </w:r>
    </w:p>
    <w:p w14:paraId="7CCDC22B" w14:textId="4814B05F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For determination of ALP activity, 2×10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5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MG-63 cells per well were seeded in 6-well plates for an overnight incubation, and were treated with OFE (6.25-100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μg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/mL) for 4d. Total protein was extracted using cell lysates (P0013J,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Beyotime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Biotechnology, Beijing, China). ALP activity assay was determined by an ALP activity assay kit performed following the instructions. </w:t>
      </w:r>
    </w:p>
    <w:p w14:paraId="7C9EE8F9" w14:textId="64FCDA16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10" w:name="_Hlk78901405"/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Alizarin Red S (ARS) staining</w:t>
      </w:r>
      <w:bookmarkEnd w:id="10"/>
    </w:p>
    <w:p w14:paraId="775C944F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Effect of OFE on mineralization was analyzed by ARS staining. 1×10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5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MG-63 cells per well were seeded in 24-well plates for an overnight incubation. After attachment,</w:t>
      </w:r>
      <w:bookmarkStart w:id="11" w:name="_Hlk78901442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old medium was replaced by mineralization induced medium (complete DMEM with 50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μg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/mL ascorbic acid and 10 mM β-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glycerolphosphate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) of 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lastRenderedPageBreak/>
        <w:t>mineralization group and administration group.</w:t>
      </w:r>
      <w:bookmarkEnd w:id="11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Cells were treated with 12.5-100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μg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/mL OFE for 21 days and the medium was changed every second day. At the end of culture, cells were rinsed three times with PBS and fixed in 95% ethanol for 20 min at room temperature. After fixation, cells were processed for staining with 1% ARS solution (pH=4.2; </w:t>
      </w:r>
      <w:bookmarkStart w:id="12" w:name="_Hlk78899714"/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Solarbio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, Beijing, China</w:t>
      </w:r>
      <w:bookmarkEnd w:id="12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) for 30 min at 37 °C. Unbound dye was rinsed with PBS and the staining was photographed using inverted microscope (IX83, Olympus, Japan).</w:t>
      </w:r>
    </w:p>
    <w:p w14:paraId="35B2A4A5" w14:textId="1A0189EB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For quantification of calcium deposition, 500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μL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of 10% (w/v)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cetylpyridinium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chloride (CPC) was added to each well, and plates were incubated at 37 °C for dissolving bound ARS. The absorbance at 550 nm was measured using a microplate reader (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Thermo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Fisher Scientific, USA).</w:t>
      </w:r>
    </w:p>
    <w:p w14:paraId="216310DB" w14:textId="5347750D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TRAP activity</w:t>
      </w:r>
    </w:p>
    <w:p w14:paraId="708A5CE6" w14:textId="14E11579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Raw 264.7 cells, which can be induced into osteoclasts by RANKL in vitro, were seeded in 6-well plates at a density of 2×10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4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cells per well. After overnight incubation, old medium was replaced with the fresh medium containing 50 ng/mL RANKL (Abcam, UK) and containing both 50 ng/mL RANKL and OFE. After inducing for 6 days, cells treated with only RANKL added OFE (12.5-100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μg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/mL) for another 24h. Total proteins were extracted for determination of TRAP activity. However, cells co-cultured by both RANKL and OFE were lysed for total proteins extraction at the end of 6-day-cuture in order to TRAP activity determination. TRAP activity was detected with TRAP assay kit following the instructions. </w:t>
      </w:r>
    </w:p>
    <w:p w14:paraId="071ADE5E" w14:textId="7762659C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RNA extraction and real-time reverse transcription (RT)-PCR</w:t>
      </w:r>
    </w:p>
    <w:p w14:paraId="2CD16489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lastRenderedPageBreak/>
        <w:t xml:space="preserve">Total RNA was isolated with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Trizol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reagent (Invitrogen, USA), and the same amount of total RNA from each sample was used to transcribe reversely with the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RevertAidTM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first strand cDNA Synthesis Kit (Takara, Japan) according to the manufacturer's instructions. Real-time RT-PCR was performed (PE 7500, PerkinElmer, USA) with a SYBR premix ex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taq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II kit (Takara), for expression of 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osteoprogeterin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(OPG) and receptor activator of nuclear factor kappa-B ligand (RANKL) in MG-63 cells, and glyceraldehyde-3-phosphate dehydrogenase (GAPDH) was used as an internal control. In addition, real-time RT-PCR was performed for expression of tartrate resistant acid phosphatase (Trap), cathepsin K (</w:t>
      </w:r>
      <w:proofErr w:type="spellStart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CtsK</w:t>
      </w:r>
      <w:proofErr w:type="spellEnd"/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), metalloproteinase-9 (Mmp-9) and nuclear factor of activated T-cells, cytoplasmic 1 (Nfatc-1) in Raw 264.7 cells, and GAPDH was used as an internal control. The primers used to amplify were provided in Table 1. The amplification conditions were as follows: 95 °C for 30 s followed by 40 cycles of 95 °C for 5 s, and 58 °C for 34 s.</w:t>
      </w:r>
    </w:p>
    <w:p w14:paraId="780AB1EF" w14:textId="77777777" w:rsidR="007F10C6" w:rsidRPr="007F10C6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2.</w:t>
      </w: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13</w:t>
      </w:r>
      <w:r w:rsidRPr="007F10C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 xml:space="preserve"> Statistical analysis</w:t>
      </w:r>
    </w:p>
    <w:p w14:paraId="12718FDE" w14:textId="10765BE0" w:rsidR="00764F4C" w:rsidRDefault="007F10C6" w:rsidP="007F10C6">
      <w:pPr>
        <w:widowControl/>
        <w:overflowPunct w:val="0"/>
        <w:autoSpaceDE w:val="0"/>
        <w:autoSpaceDN w:val="0"/>
        <w:adjustRightInd w:val="0"/>
        <w:spacing w:line="480" w:lineRule="auto"/>
        <w:ind w:firstLineChars="200" w:firstLine="48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All experiments were performed three times. Data was presented as mean ± standard deviation (SD). SPSS 22.0 software was used for statistical analysis, and the significant difference was determined by one-way analysis of variance (ANOVA). The Tukey test was used for subsequent analysis. </w:t>
      </w:r>
      <w:r w:rsidRPr="007F10C6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eastAsia="en-US"/>
        </w:rPr>
        <w:t>p</w:t>
      </w:r>
      <w:r w:rsidRPr="007F10C6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&lt; 0.05 was considered statistically significant.</w:t>
      </w:r>
    </w:p>
    <w:p w14:paraId="27AF5234" w14:textId="77777777" w:rsidR="00764F4C" w:rsidRDefault="00764F4C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br w:type="page"/>
      </w:r>
    </w:p>
    <w:p w14:paraId="54F5BA3E" w14:textId="77777777" w:rsidR="00764F4C" w:rsidRPr="00764F4C" w:rsidRDefault="00764F4C" w:rsidP="00764F4C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hAnsi="Times New Roman" w:cs="Times New Roman"/>
          <w:kern w:val="0"/>
          <w:sz w:val="28"/>
          <w:szCs w:val="28"/>
          <w:lang w:eastAsia="en-US"/>
        </w:rPr>
      </w:pPr>
      <w:r w:rsidRPr="00764F4C">
        <w:rPr>
          <w:rFonts w:ascii="Times New Roman" w:hAnsi="Times New Roman" w:cs="Times New Roman"/>
          <w:b/>
          <w:kern w:val="0"/>
          <w:sz w:val="28"/>
          <w:szCs w:val="28"/>
          <w:lang w:eastAsia="en-US"/>
        </w:rPr>
        <w:lastRenderedPageBreak/>
        <w:t>Tables</w:t>
      </w:r>
    </w:p>
    <w:p w14:paraId="71F6D18F" w14:textId="77777777" w:rsidR="00764F4C" w:rsidRPr="00764F4C" w:rsidRDefault="00764F4C" w:rsidP="00764F4C">
      <w:pPr>
        <w:widowControl/>
        <w:overflowPunct w:val="0"/>
        <w:autoSpaceDE w:val="0"/>
        <w:autoSpaceDN w:val="0"/>
        <w:adjustRightInd w:val="0"/>
        <w:spacing w:line="300" w:lineRule="auto"/>
        <w:jc w:val="left"/>
        <w:textAlignment w:val="baseline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r w:rsidRPr="00764F4C">
        <w:rPr>
          <w:rFonts w:ascii="Times New Roman" w:hAnsi="Times New Roman" w:cs="Times New Roman"/>
          <w:kern w:val="0"/>
          <w:sz w:val="24"/>
          <w:szCs w:val="20"/>
          <w:lang w:eastAsia="en-US"/>
        </w:rPr>
        <w:t>Table 1 Primer sequences used in the RT-PCR analysis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4121"/>
        <w:gridCol w:w="2313"/>
      </w:tblGrid>
      <w:tr w:rsidR="00764F4C" w:rsidRPr="00764F4C" w14:paraId="74966875" w14:textId="77777777" w:rsidTr="00BB5908">
        <w:tc>
          <w:tcPr>
            <w:tcW w:w="1951" w:type="dxa"/>
            <w:tcBorders>
              <w:bottom w:val="single" w:sz="4" w:space="0" w:color="auto"/>
            </w:tcBorders>
          </w:tcPr>
          <w:p w14:paraId="24D25084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Target mRNA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33678B48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Primer sequence (5’-3’)</w:t>
            </w:r>
          </w:p>
        </w:tc>
        <w:tc>
          <w:tcPr>
            <w:tcW w:w="2426" w:type="dxa"/>
            <w:tcBorders>
              <w:bottom w:val="single" w:sz="4" w:space="0" w:color="auto"/>
            </w:tcBorders>
          </w:tcPr>
          <w:p w14:paraId="26570CE5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Fragment size (bp)</w:t>
            </w:r>
          </w:p>
        </w:tc>
      </w:tr>
      <w:tr w:rsidR="00764F4C" w:rsidRPr="00764F4C" w14:paraId="50C25976" w14:textId="77777777" w:rsidTr="00BB5908">
        <w:tc>
          <w:tcPr>
            <w:tcW w:w="1951" w:type="dxa"/>
            <w:tcBorders>
              <w:top w:val="single" w:sz="4" w:space="0" w:color="auto"/>
            </w:tcBorders>
          </w:tcPr>
          <w:p w14:paraId="49324458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OPG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2874B6EB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F: GAAACGTTTCCTCCAAAGTACC</w:t>
            </w:r>
          </w:p>
        </w:tc>
        <w:tc>
          <w:tcPr>
            <w:tcW w:w="2426" w:type="dxa"/>
            <w:tcBorders>
              <w:top w:val="single" w:sz="4" w:space="0" w:color="auto"/>
            </w:tcBorders>
          </w:tcPr>
          <w:p w14:paraId="209A0BC5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155</w:t>
            </w:r>
          </w:p>
        </w:tc>
      </w:tr>
      <w:tr w:rsidR="00764F4C" w:rsidRPr="00764F4C" w14:paraId="4E87B340" w14:textId="77777777" w:rsidTr="00BB5908">
        <w:tc>
          <w:tcPr>
            <w:tcW w:w="1951" w:type="dxa"/>
          </w:tcPr>
          <w:p w14:paraId="4AEED5FD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  <w:tc>
          <w:tcPr>
            <w:tcW w:w="4145" w:type="dxa"/>
          </w:tcPr>
          <w:p w14:paraId="479427BF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R: CTGTCTGTGTAGTAGTGGTCAG</w:t>
            </w:r>
          </w:p>
        </w:tc>
        <w:tc>
          <w:tcPr>
            <w:tcW w:w="2426" w:type="dxa"/>
          </w:tcPr>
          <w:p w14:paraId="19C5A640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</w:tr>
      <w:tr w:rsidR="00764F4C" w:rsidRPr="00764F4C" w14:paraId="5A24A52C" w14:textId="77777777" w:rsidTr="00BB5908">
        <w:tc>
          <w:tcPr>
            <w:tcW w:w="1951" w:type="dxa"/>
          </w:tcPr>
          <w:p w14:paraId="46F47B76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RANKL</w:t>
            </w:r>
          </w:p>
        </w:tc>
        <w:tc>
          <w:tcPr>
            <w:tcW w:w="4145" w:type="dxa"/>
          </w:tcPr>
          <w:p w14:paraId="2C313636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F: TTACCTGTATGCCAACATTTGC</w:t>
            </w:r>
          </w:p>
        </w:tc>
        <w:tc>
          <w:tcPr>
            <w:tcW w:w="2426" w:type="dxa"/>
          </w:tcPr>
          <w:p w14:paraId="76F96F02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103</w:t>
            </w:r>
          </w:p>
        </w:tc>
      </w:tr>
      <w:tr w:rsidR="00764F4C" w:rsidRPr="00764F4C" w14:paraId="0C9AD60A" w14:textId="77777777" w:rsidTr="00BB5908">
        <w:tc>
          <w:tcPr>
            <w:tcW w:w="1951" w:type="dxa"/>
          </w:tcPr>
          <w:p w14:paraId="4AE17628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  <w:tc>
          <w:tcPr>
            <w:tcW w:w="4145" w:type="dxa"/>
          </w:tcPr>
          <w:p w14:paraId="467EA8F5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R: TTTGATGCTGGTTTTAGTGACG</w:t>
            </w:r>
          </w:p>
        </w:tc>
        <w:tc>
          <w:tcPr>
            <w:tcW w:w="2426" w:type="dxa"/>
          </w:tcPr>
          <w:p w14:paraId="0424A356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</w:tr>
      <w:tr w:rsidR="00764F4C" w:rsidRPr="00764F4C" w14:paraId="6638ABE0" w14:textId="77777777" w:rsidTr="00BB5908">
        <w:tc>
          <w:tcPr>
            <w:tcW w:w="1951" w:type="dxa"/>
          </w:tcPr>
          <w:p w14:paraId="2B11EF29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GAPDH</w:t>
            </w:r>
          </w:p>
        </w:tc>
        <w:tc>
          <w:tcPr>
            <w:tcW w:w="4145" w:type="dxa"/>
          </w:tcPr>
          <w:p w14:paraId="6A10D434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F: CAGGAGGCATTGCTGATGAT</w:t>
            </w:r>
          </w:p>
        </w:tc>
        <w:tc>
          <w:tcPr>
            <w:tcW w:w="2426" w:type="dxa"/>
          </w:tcPr>
          <w:p w14:paraId="22A9C6B4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138</w:t>
            </w:r>
          </w:p>
        </w:tc>
      </w:tr>
      <w:tr w:rsidR="00764F4C" w:rsidRPr="00764F4C" w14:paraId="563908B3" w14:textId="77777777" w:rsidTr="00BB5908">
        <w:tc>
          <w:tcPr>
            <w:tcW w:w="1951" w:type="dxa"/>
          </w:tcPr>
          <w:p w14:paraId="27268AF7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  <w:tc>
          <w:tcPr>
            <w:tcW w:w="4145" w:type="dxa"/>
          </w:tcPr>
          <w:p w14:paraId="0CADF05D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R: GAAGGCTGGGGCTCATTT</w:t>
            </w:r>
          </w:p>
        </w:tc>
        <w:tc>
          <w:tcPr>
            <w:tcW w:w="2426" w:type="dxa"/>
          </w:tcPr>
          <w:p w14:paraId="07EACFF8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</w:tr>
      <w:tr w:rsidR="00764F4C" w:rsidRPr="00764F4C" w14:paraId="4DDD3E26" w14:textId="77777777" w:rsidTr="00BB5908">
        <w:tc>
          <w:tcPr>
            <w:tcW w:w="1951" w:type="dxa"/>
          </w:tcPr>
          <w:p w14:paraId="650FB04A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Trap</w:t>
            </w:r>
          </w:p>
        </w:tc>
        <w:tc>
          <w:tcPr>
            <w:tcW w:w="4145" w:type="dxa"/>
          </w:tcPr>
          <w:p w14:paraId="25EAEAFD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F: CAAGAACTTGCGACCATTGTTA</w:t>
            </w:r>
          </w:p>
        </w:tc>
        <w:tc>
          <w:tcPr>
            <w:tcW w:w="2426" w:type="dxa"/>
          </w:tcPr>
          <w:p w14:paraId="4045B929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191</w:t>
            </w:r>
          </w:p>
        </w:tc>
      </w:tr>
      <w:tr w:rsidR="00764F4C" w:rsidRPr="00764F4C" w14:paraId="40911F8C" w14:textId="77777777" w:rsidTr="00BB5908">
        <w:tc>
          <w:tcPr>
            <w:tcW w:w="1951" w:type="dxa"/>
          </w:tcPr>
          <w:p w14:paraId="3BA612FE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  <w:tc>
          <w:tcPr>
            <w:tcW w:w="4145" w:type="dxa"/>
          </w:tcPr>
          <w:p w14:paraId="6D337648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R: ATCCATAGTGAAACCGCAAGTA</w:t>
            </w:r>
          </w:p>
        </w:tc>
        <w:tc>
          <w:tcPr>
            <w:tcW w:w="2426" w:type="dxa"/>
          </w:tcPr>
          <w:p w14:paraId="6A4DAA74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</w:tr>
      <w:tr w:rsidR="00764F4C" w:rsidRPr="00764F4C" w14:paraId="0B3C8AEE" w14:textId="77777777" w:rsidTr="00BB5908">
        <w:tc>
          <w:tcPr>
            <w:tcW w:w="1951" w:type="dxa"/>
          </w:tcPr>
          <w:p w14:paraId="1A741DEC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proofErr w:type="spellStart"/>
            <w:r w:rsidRPr="00764F4C">
              <w:rPr>
                <w:sz w:val="24"/>
              </w:rPr>
              <w:t>Ctsk</w:t>
            </w:r>
            <w:proofErr w:type="spellEnd"/>
          </w:p>
        </w:tc>
        <w:tc>
          <w:tcPr>
            <w:tcW w:w="4145" w:type="dxa"/>
          </w:tcPr>
          <w:p w14:paraId="73AC94F6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F: GCTTGGCATCTTTCCAGTTTTA</w:t>
            </w:r>
          </w:p>
        </w:tc>
        <w:tc>
          <w:tcPr>
            <w:tcW w:w="2426" w:type="dxa"/>
          </w:tcPr>
          <w:p w14:paraId="3EDBA458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83</w:t>
            </w:r>
          </w:p>
        </w:tc>
      </w:tr>
      <w:tr w:rsidR="00764F4C" w:rsidRPr="00764F4C" w14:paraId="335B6CB5" w14:textId="77777777" w:rsidTr="00BB5908">
        <w:tc>
          <w:tcPr>
            <w:tcW w:w="1951" w:type="dxa"/>
          </w:tcPr>
          <w:p w14:paraId="2CAA8076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  <w:tc>
          <w:tcPr>
            <w:tcW w:w="4145" w:type="dxa"/>
          </w:tcPr>
          <w:p w14:paraId="240F0AF5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R: CAACACTGCATGGTTCACATTA</w:t>
            </w:r>
          </w:p>
        </w:tc>
        <w:tc>
          <w:tcPr>
            <w:tcW w:w="2426" w:type="dxa"/>
          </w:tcPr>
          <w:p w14:paraId="7024158B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</w:tr>
      <w:tr w:rsidR="00764F4C" w:rsidRPr="00764F4C" w14:paraId="1A21C6C3" w14:textId="77777777" w:rsidTr="00BB5908">
        <w:tc>
          <w:tcPr>
            <w:tcW w:w="1951" w:type="dxa"/>
          </w:tcPr>
          <w:p w14:paraId="5566354B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Mmp-9</w:t>
            </w:r>
          </w:p>
        </w:tc>
        <w:tc>
          <w:tcPr>
            <w:tcW w:w="4145" w:type="dxa"/>
          </w:tcPr>
          <w:p w14:paraId="4D175A68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F: CAAAGACCTGAAAACCTCCAAC</w:t>
            </w:r>
          </w:p>
        </w:tc>
        <w:tc>
          <w:tcPr>
            <w:tcW w:w="2426" w:type="dxa"/>
          </w:tcPr>
          <w:p w14:paraId="13F431A8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105</w:t>
            </w:r>
          </w:p>
        </w:tc>
      </w:tr>
      <w:tr w:rsidR="00764F4C" w:rsidRPr="00764F4C" w14:paraId="5D9DC72E" w14:textId="77777777" w:rsidTr="00BB5908">
        <w:tc>
          <w:tcPr>
            <w:tcW w:w="1951" w:type="dxa"/>
          </w:tcPr>
          <w:p w14:paraId="1CD2DA51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  <w:tc>
          <w:tcPr>
            <w:tcW w:w="4145" w:type="dxa"/>
          </w:tcPr>
          <w:p w14:paraId="600E2719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R: GACTGCTTCTCTCCCATCATC</w:t>
            </w:r>
          </w:p>
        </w:tc>
        <w:tc>
          <w:tcPr>
            <w:tcW w:w="2426" w:type="dxa"/>
          </w:tcPr>
          <w:p w14:paraId="19FEC379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</w:tr>
      <w:tr w:rsidR="00764F4C" w:rsidRPr="00764F4C" w14:paraId="6A1B150C" w14:textId="77777777" w:rsidTr="00BB5908">
        <w:tc>
          <w:tcPr>
            <w:tcW w:w="1951" w:type="dxa"/>
          </w:tcPr>
          <w:p w14:paraId="08EF21D5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Nfatc-1</w:t>
            </w:r>
          </w:p>
        </w:tc>
        <w:tc>
          <w:tcPr>
            <w:tcW w:w="4145" w:type="dxa"/>
          </w:tcPr>
          <w:p w14:paraId="58F18DFE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F: GAGAATCGAGATCACCTCCTAC</w:t>
            </w:r>
          </w:p>
        </w:tc>
        <w:tc>
          <w:tcPr>
            <w:tcW w:w="2426" w:type="dxa"/>
          </w:tcPr>
          <w:p w14:paraId="45E12A28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93</w:t>
            </w:r>
          </w:p>
        </w:tc>
      </w:tr>
      <w:tr w:rsidR="00764F4C" w:rsidRPr="00764F4C" w14:paraId="34D5540F" w14:textId="77777777" w:rsidTr="00BB5908">
        <w:tc>
          <w:tcPr>
            <w:tcW w:w="1951" w:type="dxa"/>
          </w:tcPr>
          <w:p w14:paraId="2C03695E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  <w:tc>
          <w:tcPr>
            <w:tcW w:w="4145" w:type="dxa"/>
          </w:tcPr>
          <w:p w14:paraId="19EE063B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R: TTGCAGCTAGGAAGTACGTCTT</w:t>
            </w:r>
          </w:p>
        </w:tc>
        <w:tc>
          <w:tcPr>
            <w:tcW w:w="2426" w:type="dxa"/>
          </w:tcPr>
          <w:p w14:paraId="5B71B90F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</w:tr>
      <w:tr w:rsidR="00764F4C" w:rsidRPr="00764F4C" w14:paraId="719F8643" w14:textId="77777777" w:rsidTr="00BB5908">
        <w:tc>
          <w:tcPr>
            <w:tcW w:w="1951" w:type="dxa"/>
          </w:tcPr>
          <w:p w14:paraId="77069498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proofErr w:type="spellStart"/>
            <w:r w:rsidRPr="00764F4C">
              <w:rPr>
                <w:sz w:val="24"/>
              </w:rPr>
              <w:t>Gapdh</w:t>
            </w:r>
            <w:proofErr w:type="spellEnd"/>
          </w:p>
        </w:tc>
        <w:tc>
          <w:tcPr>
            <w:tcW w:w="4145" w:type="dxa"/>
          </w:tcPr>
          <w:p w14:paraId="527F808E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F: GGTTGTCTCCTGCGACTTCA</w:t>
            </w:r>
          </w:p>
        </w:tc>
        <w:tc>
          <w:tcPr>
            <w:tcW w:w="2426" w:type="dxa"/>
          </w:tcPr>
          <w:p w14:paraId="0073B2D0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183</w:t>
            </w:r>
          </w:p>
        </w:tc>
      </w:tr>
      <w:tr w:rsidR="00764F4C" w:rsidRPr="00764F4C" w14:paraId="79593242" w14:textId="77777777" w:rsidTr="00BB5908">
        <w:tc>
          <w:tcPr>
            <w:tcW w:w="1951" w:type="dxa"/>
          </w:tcPr>
          <w:p w14:paraId="0FEEBB18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  <w:tc>
          <w:tcPr>
            <w:tcW w:w="4145" w:type="dxa"/>
          </w:tcPr>
          <w:p w14:paraId="548C4562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  <w:r w:rsidRPr="00764F4C">
              <w:rPr>
                <w:sz w:val="24"/>
              </w:rPr>
              <w:t>R: TGGTCCAGGGTTTCTTACTCC</w:t>
            </w:r>
          </w:p>
        </w:tc>
        <w:tc>
          <w:tcPr>
            <w:tcW w:w="2426" w:type="dxa"/>
          </w:tcPr>
          <w:p w14:paraId="244EAD40" w14:textId="77777777" w:rsidR="00764F4C" w:rsidRPr="00764F4C" w:rsidRDefault="00764F4C" w:rsidP="00764F4C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sz w:val="24"/>
              </w:rPr>
            </w:pPr>
          </w:p>
        </w:tc>
      </w:tr>
    </w:tbl>
    <w:p w14:paraId="6DEA0F27" w14:textId="77777777" w:rsidR="00764F4C" w:rsidRPr="00764F4C" w:rsidRDefault="00764F4C" w:rsidP="00764F4C">
      <w:pPr>
        <w:widowControl/>
        <w:overflowPunct w:val="0"/>
        <w:autoSpaceDE w:val="0"/>
        <w:autoSpaceDN w:val="0"/>
        <w:adjustRightInd w:val="0"/>
        <w:spacing w:line="480" w:lineRule="auto"/>
        <w:jc w:val="left"/>
        <w:textAlignment w:val="baseline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</w:p>
    <w:p w14:paraId="47542AB4" w14:textId="77777777" w:rsidR="00764F4C" w:rsidRPr="00764F4C" w:rsidRDefault="00764F4C" w:rsidP="00764F4C">
      <w:pPr>
        <w:widowControl/>
        <w:overflowPunct w:val="0"/>
        <w:autoSpaceDE w:val="0"/>
        <w:autoSpaceDN w:val="0"/>
        <w:adjustRightInd w:val="0"/>
        <w:jc w:val="left"/>
        <w:textAlignment w:val="baseline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</w:p>
    <w:p w14:paraId="47833ADF" w14:textId="77777777" w:rsidR="001C7FDC" w:rsidRPr="007F10C6" w:rsidRDefault="001C7FDC" w:rsidP="00764F4C">
      <w:pPr>
        <w:widowControl/>
        <w:overflowPunct w:val="0"/>
        <w:autoSpaceDE w:val="0"/>
        <w:autoSpaceDN w:val="0"/>
        <w:adjustRightInd w:val="0"/>
        <w:spacing w:line="480" w:lineRule="auto"/>
        <w:textAlignment w:val="baseline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</w:p>
    <w:sectPr w:rsidR="001C7FDC" w:rsidRPr="007F1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1595" w14:textId="77777777" w:rsidR="003A6428" w:rsidRDefault="003A6428" w:rsidP="007F10C6">
      <w:r>
        <w:separator/>
      </w:r>
    </w:p>
  </w:endnote>
  <w:endnote w:type="continuationSeparator" w:id="0">
    <w:p w14:paraId="61561261" w14:textId="77777777" w:rsidR="003A6428" w:rsidRDefault="003A6428" w:rsidP="007F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99A06" w14:textId="77777777" w:rsidR="003A6428" w:rsidRDefault="003A6428" w:rsidP="007F10C6">
      <w:r>
        <w:separator/>
      </w:r>
    </w:p>
  </w:footnote>
  <w:footnote w:type="continuationSeparator" w:id="0">
    <w:p w14:paraId="181540AA" w14:textId="77777777" w:rsidR="003A6428" w:rsidRDefault="003A6428" w:rsidP="007F1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05"/>
    <w:rsid w:val="001C7FDC"/>
    <w:rsid w:val="003A6428"/>
    <w:rsid w:val="00764F4C"/>
    <w:rsid w:val="007F10C6"/>
    <w:rsid w:val="0081122A"/>
    <w:rsid w:val="008B001D"/>
    <w:rsid w:val="00901CD1"/>
    <w:rsid w:val="00A85005"/>
    <w:rsid w:val="00E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187DE"/>
  <w15:chartTrackingRefBased/>
  <w15:docId w15:val="{C515A700-9FC6-4DD2-9589-A06FEE60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0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10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1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10C6"/>
    <w:rPr>
      <w:sz w:val="18"/>
      <w:szCs w:val="18"/>
    </w:rPr>
  </w:style>
  <w:style w:type="table" w:styleId="a7">
    <w:name w:val="Table Grid"/>
    <w:basedOn w:val="a1"/>
    <w:rsid w:val="00764F4C"/>
    <w:rPr>
      <w:rFonts w:ascii="Times New Roman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1570</Words>
  <Characters>8951</Characters>
  <Application>Microsoft Office Word</Application>
  <DocSecurity>0</DocSecurity>
  <Lines>74</Lines>
  <Paragraphs>20</Paragraphs>
  <ScaleCrop>false</ScaleCrop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danyang</dc:creator>
  <cp:keywords/>
  <dc:description/>
  <cp:lastModifiedBy>danyang zhang</cp:lastModifiedBy>
  <cp:revision>4</cp:revision>
  <dcterms:created xsi:type="dcterms:W3CDTF">2023-09-07T12:02:00Z</dcterms:created>
  <dcterms:modified xsi:type="dcterms:W3CDTF">2023-09-19T01:45:00Z</dcterms:modified>
</cp:coreProperties>
</file>