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4DC" w:rsidRPr="00777095" w:rsidRDefault="008525FB" w:rsidP="008525F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SUPPLEMENTAL INFORMATION</w:t>
      </w:r>
    </w:p>
    <w:p w:rsidR="0080280F" w:rsidRPr="00777095" w:rsidRDefault="0080280F" w:rsidP="008028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</w:pPr>
      <w:r w:rsidRPr="00777095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lang w:val="en-GB"/>
        </w:rPr>
        <w:t>Supplement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al figures</w:t>
      </w:r>
    </w:p>
    <w:p w:rsidR="0080280F" w:rsidRPr="00777095" w:rsidRDefault="00A14C66" w:rsidP="00A14C66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</w:pPr>
      <w:r w:rsidRPr="00A14C66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</w:rPr>
        <w:drawing>
          <wp:inline distT="0" distB="0" distL="0" distR="0">
            <wp:extent cx="4655712" cy="4573267"/>
            <wp:effectExtent l="0" t="0" r="0" b="0"/>
            <wp:docPr id="2" name="图片 2" descr="E:\学习\文章\AD and monocyte\simo测得数据返回后-图-投稿版\Suppl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学习\文章\AD and monocyte\simo测得数据返回后-图-投稿版\Suppl Figure 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668" cy="460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80F" w:rsidRDefault="00777095" w:rsidP="008028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F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igure </w:t>
      </w:r>
      <w:r w:rsidR="00D7619C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e-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1. Imaging flow cytometry of intracellular Aβ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uptake by monocyte subsets. 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Monocytes were stained with APC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>-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conjugated anti-CD14 </w:t>
      </w:r>
      <w:proofErr w:type="spellStart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mAb</w:t>
      </w:r>
      <w:proofErr w:type="spellEnd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(red) and PE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>-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conjugated anti-CD16 </w:t>
      </w:r>
      <w:proofErr w:type="spellStart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mAb</w:t>
      </w:r>
      <w:proofErr w:type="spellEnd"/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(yellow), and FITC-conjugated Aβ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is shown in green. Images of FITC-labelled Aβ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>intracellular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the classical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monocyte subset (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intermediate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monocyte subset (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b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 and the non-classical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 xml:space="preserve">+ 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monocyte subset were collected (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).</w:t>
      </w:r>
    </w:p>
    <w:p w:rsidR="00E46AB0" w:rsidRPr="00777095" w:rsidRDefault="00E46AB0" w:rsidP="008028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</w:pPr>
    </w:p>
    <w:p w:rsidR="00746030" w:rsidRDefault="00746030" w:rsidP="0080280F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</w:pPr>
    </w:p>
    <w:p w:rsidR="00746030" w:rsidRPr="002E0EFD" w:rsidRDefault="00A14C66" w:rsidP="00CC1217">
      <w:pPr>
        <w:widowControl/>
        <w:jc w:val="center"/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</w:pPr>
      <w:r w:rsidRPr="00A14C66">
        <w:rPr>
          <w:rFonts w:ascii="Times New Roman" w:hAnsi="Times New Roman" w:cs="Times New Roman"/>
          <w:noProof/>
          <w:color w:val="000000" w:themeColor="text1"/>
          <w:kern w:val="0"/>
          <w:sz w:val="24"/>
        </w:rPr>
        <w:lastRenderedPageBreak/>
        <w:drawing>
          <wp:inline distT="0" distB="0" distL="0" distR="0">
            <wp:extent cx="3355456" cy="2504941"/>
            <wp:effectExtent l="0" t="0" r="0" b="0"/>
            <wp:docPr id="12" name="图片 12" descr="E:\学习\文章\AD and monocyte\simo测得数据返回后-图-投稿版\plasma ab42比40 and 单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学习\文章\AD and monocyte\simo测得数据返回后-图-投稿版\plasma ab42比40 and 单核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110" cy="2539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C66" w:rsidRDefault="00746030" w:rsidP="00A14C6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e-2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. </w:t>
      </w:r>
      <w:r w:rsidRPr="00777095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A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ssociation of Aβ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uptake by monocytes with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plasma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Aβ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/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Aβ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 xml:space="preserve">1-40 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level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Correlations between 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plasma 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/ 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1-40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 w:rsidRPr="00777095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uptake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of Aβ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all monocytes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by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the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CD14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b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by the CD14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and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the 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d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). 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MONO denotes monocytes;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 denotes</w:t>
      </w:r>
      <w:r w:rsidRPr="00777095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amyloid β-protein.</w:t>
      </w:r>
    </w:p>
    <w:p w:rsidR="0080280F" w:rsidRPr="00A14C66" w:rsidRDefault="00A14C66" w:rsidP="00A14C6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A14C66"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>
            <wp:extent cx="3424463" cy="2556457"/>
            <wp:effectExtent l="0" t="0" r="5080" b="0"/>
            <wp:docPr id="13" name="图片 13" descr="E:\学习\文章\AD and monocyte\simo测得数据返回后-图-投稿版\csf 42 and 单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学习\文章\AD and monocyte\simo测得数据返回后-图-投稿版\csf 42 and 单核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790" cy="2579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217" w:rsidRPr="00777095" w:rsidRDefault="00CC1217" w:rsidP="00CC121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e-3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. </w:t>
      </w:r>
      <w:r w:rsidRPr="00777095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A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ssociation of Aβ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uptake by monocytes with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CSF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Aβ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 xml:space="preserve"> 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level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Correlations between </w:t>
      </w:r>
      <w:r w:rsidRPr="00CC1217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 Aβ</w:t>
      </w:r>
      <w:r w:rsidRPr="00CC1217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1-42 </w:t>
      </w:r>
      <w:r w:rsidRPr="00CC1217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level</w:t>
      </w:r>
      <w:r w:rsidRPr="00CC1217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 w:rsidRPr="00777095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uptake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of Aβ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all monocytes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by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the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CD14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b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by the CD14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and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the 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1C766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d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). 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MONO denotes monocytes; CSF denotes cerebrospinal fluid;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 denotes</w:t>
      </w:r>
      <w:r w:rsidRPr="00777095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amyloid β-protein.</w:t>
      </w:r>
    </w:p>
    <w:p w:rsidR="00CC1217" w:rsidRPr="00CC1217" w:rsidRDefault="00CC1217" w:rsidP="0080280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</w:pPr>
    </w:p>
    <w:p w:rsidR="0080280F" w:rsidRPr="00CC1217" w:rsidRDefault="00A14C66" w:rsidP="00CC121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</w:pPr>
      <w:r w:rsidRPr="00A14C66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</w:rPr>
        <w:drawing>
          <wp:inline distT="0" distB="0" distL="0" distR="0">
            <wp:extent cx="3562476" cy="2659487"/>
            <wp:effectExtent l="0" t="0" r="0" b="7620"/>
            <wp:docPr id="14" name="图片 14" descr="E:\学习\文章\AD and monocyte\simo测得数据返回后-图-投稿版\csf 40 and 单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学习\文章\AD and monocyte\simo测得数据返回后-图-投稿版\csf 40 and 单核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571" cy="2668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80F" w:rsidRPr="00777095" w:rsidRDefault="00D7619C" w:rsidP="0080280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e-</w:t>
      </w:r>
      <w:r w:rsidR="00CC1217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4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. </w:t>
      </w:r>
      <w:r w:rsidR="0080280F" w:rsidRPr="00777095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A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ssociation of Aβ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</w:t>
      </w:r>
      <w:r w:rsidR="00CC1217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42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uptake by monocytes with CSF Aβ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</w:t>
      </w:r>
      <w:r w:rsidR="00CC1217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0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levels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. Correlations between CSF Aβ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</w:t>
      </w:r>
      <w:r w:rsidR="00CC1217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0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and </w:t>
      </w:r>
      <w:r w:rsidR="0080280F" w:rsidRPr="00777095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uptake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of Aβ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all monocytes (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by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the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b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by the CD14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and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</w:t>
      </w:r>
      <w:r w:rsidR="0080280F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the 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1C766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subset (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d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). </w:t>
      </w:r>
      <w:r w:rsidR="0080280F" w:rsidRPr="00777095">
        <w:rPr>
          <w:rFonts w:ascii="Times New Roman" w:hAnsi="Times New Roman" w:cs="Times New Roman"/>
          <w:sz w:val="24"/>
          <w:lang w:val="en-GB"/>
        </w:rPr>
        <w:t xml:space="preserve">MONO denotes monocytes; CSF denotes cerebrospinal fluid; </w:t>
      </w:r>
      <w:r w:rsidR="0080280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 denotes</w:t>
      </w:r>
      <w:r w:rsidR="0080280F" w:rsidRPr="00777095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amyloid β-protein.</w:t>
      </w:r>
    </w:p>
    <w:p w:rsidR="0080280F" w:rsidRPr="00777095" w:rsidRDefault="0080280F" w:rsidP="0080280F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color w:val="000000" w:themeColor="text1"/>
          <w:sz w:val="24"/>
          <w:lang w:val="en-GB"/>
        </w:rPr>
        <w:br w:type="page"/>
      </w:r>
    </w:p>
    <w:p w:rsidR="0080280F" w:rsidRPr="00A14C66" w:rsidRDefault="00A14C66" w:rsidP="00A14C66">
      <w:pPr>
        <w:spacing w:line="48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lang w:val="en-GB"/>
        </w:rPr>
      </w:pPr>
      <w:r w:rsidRPr="00A14C66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>
            <wp:extent cx="3432220" cy="2562249"/>
            <wp:effectExtent l="0" t="0" r="0" b="0"/>
            <wp:docPr id="15" name="图片 15" descr="E:\学习\文章\AD and monocyte\simo测得数据返回后-图-投稿版\plasma ab42比40 and 单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学习\文章\AD and monocyte\simo测得数据返回后-图-投稿版\plasma ab42比40 and 单核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389" cy="258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A30" w:rsidRDefault="00D7619C" w:rsidP="00CC121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e-</w:t>
      </w:r>
      <w:r w:rsidR="00CC1217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5</w:t>
      </w:r>
      <w:r w:rsidR="0080280F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. </w:t>
      </w:r>
      <w:r w:rsidR="00CC1217" w:rsidRPr="00777095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A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ssociation of Aβ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uptake by monocytes with </w:t>
      </w:r>
      <w:r w:rsidR="00CC1217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CSF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Aβ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 w:rsidR="00CC1217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/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Aβ</w:t>
      </w:r>
      <w:r w:rsidR="00CC1217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 xml:space="preserve">1-40 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level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Correlations between </w:t>
      </w:r>
      <w:r w:rsidR="00CC1217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="00CC1217"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Aβ</w:t>
      </w:r>
      <w:r w:rsidR="00CC1217"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CC1217"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/ Aβ</w:t>
      </w:r>
      <w:r w:rsidR="00CC1217"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 xml:space="preserve">1-40 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 w:rsidR="00CC1217" w:rsidRPr="00777095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uptake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of Aβ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all monocytes (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by</w:t>
      </w:r>
      <w:r w:rsidR="00CC1217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the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CD14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b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 by the CD14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</w:t>
      </w:r>
      <w:r w:rsidR="00CC1217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and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by </w:t>
      </w:r>
      <w:r w:rsidR="00CC1217"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the 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="006621C4" w:rsidRPr="00777095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="001C766F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="00CC1217"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d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). </w:t>
      </w:r>
      <w:r w:rsidR="00CC1217" w:rsidRPr="00777095">
        <w:rPr>
          <w:rFonts w:ascii="Times New Roman" w:hAnsi="Times New Roman" w:cs="Times New Roman"/>
          <w:sz w:val="24"/>
          <w:lang w:val="en-GB"/>
        </w:rPr>
        <w:t xml:space="preserve">MONO denotes monocytes; </w:t>
      </w:r>
      <w:r w:rsidR="00CC1217"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 denotes</w:t>
      </w:r>
      <w:r w:rsidR="00CC1217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amyloid β-protein; </w:t>
      </w:r>
      <w:r w:rsidR="00CC1217" w:rsidRPr="00777095">
        <w:rPr>
          <w:rFonts w:ascii="Times New Roman" w:hAnsi="Times New Roman" w:cs="Times New Roman"/>
          <w:sz w:val="24"/>
          <w:lang w:val="en-GB"/>
        </w:rPr>
        <w:t>CSF denotes cerebrospinal fluid</w:t>
      </w:r>
      <w:r w:rsidR="00CC1217">
        <w:rPr>
          <w:rFonts w:ascii="Times New Roman" w:hAnsi="Times New Roman" w:cs="Times New Roman"/>
          <w:sz w:val="24"/>
          <w:lang w:val="en-GB"/>
        </w:rPr>
        <w:t>.</w:t>
      </w:r>
      <w:r w:rsidR="00CC1217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</w:p>
    <w:p w:rsidR="00493A30" w:rsidRDefault="00493A30" w:rsidP="00CC121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:rsidR="00493A30" w:rsidRPr="00A14C66" w:rsidRDefault="00A14C66" w:rsidP="00A14C66">
      <w:pPr>
        <w:spacing w:line="48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lang w:val="en-GB"/>
        </w:rPr>
      </w:pPr>
      <w:r w:rsidRPr="00A14C66"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>
            <wp:extent cx="3374265" cy="2625600"/>
            <wp:effectExtent l="0" t="0" r="0" b="3810"/>
            <wp:docPr id="16" name="图片 16" descr="E:\学习\文章\AD and monocyte\simo测得数据返回后-图-投稿版\血浆指标与csf指标相关性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学习\文章\AD and monocyte\simo测得数据返回后-图-投稿版\血浆指标与csf指标相关性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469" cy="263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3A30" w:rsidRPr="00777095" w:rsidRDefault="00493A30" w:rsidP="00493A3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e-6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lang w:val="en-GB"/>
        </w:rPr>
        <w:t>sso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ciation of </w:t>
      </w:r>
      <w:r w:rsidRPr="000A4857"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b/>
          <w:color w:val="000000" w:themeColor="text1"/>
          <w:sz w:val="24"/>
          <w:vertAlign w:val="subscript"/>
          <w:lang w:val="en-GB"/>
        </w:rPr>
        <w:t>1-42</w:t>
      </w:r>
      <w:r w:rsidRPr="000A4857"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  <w:t>, Aβ</w:t>
      </w:r>
      <w:r w:rsidRPr="000A4857">
        <w:rPr>
          <w:rFonts w:ascii="Times New Roman" w:hAnsi="Times New Roman" w:cs="Times New Roman"/>
          <w:b/>
          <w:color w:val="000000" w:themeColor="text1"/>
          <w:sz w:val="24"/>
          <w:vertAlign w:val="subscript"/>
          <w:lang w:val="en-GB"/>
        </w:rPr>
        <w:t>1-40</w:t>
      </w:r>
      <w:r w:rsidRPr="000A4857"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  <w:t>, Aβ</w:t>
      </w:r>
      <w:r w:rsidRPr="000A4857">
        <w:rPr>
          <w:rFonts w:ascii="Times New Roman" w:hAnsi="Times New Roman" w:cs="Times New Roman"/>
          <w:b/>
          <w:color w:val="000000" w:themeColor="text1"/>
          <w:sz w:val="24"/>
          <w:vertAlign w:val="subscript"/>
          <w:lang w:val="en-GB"/>
        </w:rPr>
        <w:t>1-42</w:t>
      </w:r>
      <w:r w:rsidRPr="000A4857">
        <w:rPr>
          <w:rFonts w:ascii="Times New Roman" w:hAnsi="Times New Roman" w:cs="Times New Roman"/>
          <w:b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  <w:t xml:space="preserve"> Aβ</w:t>
      </w:r>
      <w:r w:rsidRPr="000A4857">
        <w:rPr>
          <w:rFonts w:ascii="Times New Roman" w:hAnsi="Times New Roman" w:cs="Times New Roman"/>
          <w:b/>
          <w:color w:val="000000" w:themeColor="text1"/>
          <w:sz w:val="24"/>
          <w:vertAlign w:val="subscript"/>
          <w:lang w:val="en-GB"/>
        </w:rPr>
        <w:t xml:space="preserve">1-40 </w:t>
      </w:r>
      <w:r w:rsidRPr="000A4857"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  <w:t>and T-tau/ Aβ</w:t>
      </w:r>
      <w:r w:rsidRPr="000A4857">
        <w:rPr>
          <w:rFonts w:ascii="Times New Roman" w:hAnsi="Times New Roman" w:cs="Times New Roman"/>
          <w:b/>
          <w:color w:val="000000" w:themeColor="text1"/>
          <w:sz w:val="24"/>
          <w:vertAlign w:val="subscript"/>
          <w:lang w:val="en-GB"/>
        </w:rPr>
        <w:t xml:space="preserve">1-42 </w:t>
      </w:r>
      <w:r w:rsidRPr="000A4857"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  <w:t>levels in the plasma with those in the CSF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Correlations between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plasma 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),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</w:t>
      </w:r>
      <w:r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0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plasma 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</w:t>
      </w:r>
      <w:r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0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b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),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CSF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1-42</w:t>
      </w:r>
      <w:r w:rsidRPr="000A4857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 xml:space="preserve"> 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1-40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plasma 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1-42</w:t>
      </w:r>
      <w:r w:rsidRPr="000A4857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 xml:space="preserve"> 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1-40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),</w:t>
      </w:r>
      <w:r w:rsidRPr="00777095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lastRenderedPageBreak/>
        <w:t>CSF</w:t>
      </w:r>
      <w:r w:rsidRPr="00746030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T-tau</w:t>
      </w:r>
      <w:r w:rsidRPr="000A4857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</w:t>
      </w:r>
      <w:r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plasma </w:t>
      </w:r>
      <w:r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T-tau</w:t>
      </w:r>
      <w:r w:rsidRPr="000A4857">
        <w:rPr>
          <w:rFonts w:ascii="Times New Roman" w:hAnsi="Times New Roman" w:cs="Times New Roman"/>
          <w:color w:val="000000" w:themeColor="text1"/>
          <w:sz w:val="24"/>
          <w:lang w:val="en-GB"/>
        </w:rPr>
        <w:t>/</w:t>
      </w:r>
      <w:r w:rsidRPr="000A4857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Aβ</w:t>
      </w:r>
      <w:r w:rsidRPr="000A4857"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1-4</w:t>
      </w:r>
      <w:r>
        <w:rPr>
          <w:rFonts w:ascii="Times New Roman" w:hAnsi="Times New Roman" w:cs="Times New Roman"/>
          <w:color w:val="000000" w:themeColor="text1"/>
          <w:sz w:val="24"/>
          <w:vertAlign w:val="subscript"/>
          <w:lang w:val="en-GB"/>
        </w:rPr>
        <w:t>2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(</w:t>
      </w: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d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). </w:t>
      </w:r>
      <w:r w:rsidRPr="00777095">
        <w:rPr>
          <w:rFonts w:ascii="Times New Roman" w:hAnsi="Times New Roman" w:cs="Times New Roman"/>
          <w:sz w:val="24"/>
          <w:lang w:val="en-GB"/>
        </w:rPr>
        <w:t xml:space="preserve">MONO denotes monocytes; </w:t>
      </w:r>
      <w:r w:rsidRPr="00777095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Aβ denotes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amyloid β-protein; </w:t>
      </w:r>
      <w:r w:rsidRPr="00777095">
        <w:rPr>
          <w:rFonts w:ascii="Times New Roman" w:hAnsi="Times New Roman" w:cs="Times New Roman"/>
          <w:sz w:val="24"/>
          <w:lang w:val="en-GB"/>
        </w:rPr>
        <w:t>CSF denotes cerebrospinal fluid</w:t>
      </w:r>
      <w:r>
        <w:rPr>
          <w:rFonts w:ascii="Times New Roman" w:hAnsi="Times New Roman" w:cs="Times New Roman"/>
          <w:sz w:val="24"/>
          <w:lang w:val="en-GB"/>
        </w:rPr>
        <w:t>; T-tau denotes total tau.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</w:p>
    <w:p w:rsidR="00001A37" w:rsidRPr="00493A30" w:rsidRDefault="00001A37" w:rsidP="00CC1217">
      <w:pPr>
        <w:spacing w:line="480" w:lineRule="auto"/>
        <w:rPr>
          <w:sz w:val="24"/>
          <w:lang w:val="en-GB"/>
        </w:rPr>
      </w:pPr>
    </w:p>
    <w:p w:rsidR="008525FB" w:rsidRDefault="008525FB" w:rsidP="00001A37">
      <w:pPr>
        <w:jc w:val="left"/>
        <w:rPr>
          <w:rFonts w:ascii="Times New Roman" w:hAnsi="Times New Roman" w:cs="Times New Roman"/>
          <w:b/>
          <w:kern w:val="0"/>
          <w:sz w:val="24"/>
        </w:rPr>
      </w:pPr>
    </w:p>
    <w:p w:rsidR="00FD5481" w:rsidRDefault="00FD5481" w:rsidP="00FD5481">
      <w:pPr>
        <w:jc w:val="center"/>
        <w:rPr>
          <w:rFonts w:ascii="Times New Roman" w:hAnsi="Times New Roman" w:cs="Times New Roman"/>
          <w:b/>
          <w:kern w:val="0"/>
          <w:sz w:val="24"/>
        </w:rPr>
      </w:pPr>
      <w:r w:rsidRPr="00FD5481">
        <w:rPr>
          <w:rFonts w:ascii="Times New Roman" w:hAnsi="Times New Roman" w:cs="Times New Roman"/>
          <w:b/>
          <w:noProof/>
          <w:kern w:val="0"/>
          <w:sz w:val="24"/>
        </w:rPr>
        <w:drawing>
          <wp:inline distT="0" distB="0" distL="0" distR="0">
            <wp:extent cx="4090831" cy="3934495"/>
            <wp:effectExtent l="0" t="0" r="5080" b="8890"/>
            <wp:docPr id="1" name="图片 1" descr="E:\学习\文章\AD and monocyte\simo测得数据返回后-图-投稿版\Figur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学习\文章\AD and monocyte\simo测得数据返回后-图-投稿版\Figure-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831" cy="393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481" w:rsidRDefault="00FD5481" w:rsidP="00FD5481">
      <w:pPr>
        <w:jc w:val="center"/>
        <w:rPr>
          <w:rFonts w:ascii="Times New Roman" w:hAnsi="Times New Roman" w:cs="Times New Roman"/>
          <w:b/>
          <w:kern w:val="0"/>
          <w:sz w:val="24"/>
        </w:rPr>
      </w:pPr>
    </w:p>
    <w:p w:rsidR="00FD5481" w:rsidRPr="00EB38A3" w:rsidRDefault="00FD5481" w:rsidP="00FD5481">
      <w:pPr>
        <w:spacing w:line="480" w:lineRule="auto"/>
        <w:ind w:leftChars="100" w:left="210" w:rightChars="50" w:right="105"/>
        <w:rPr>
          <w:rFonts w:ascii="Times New Roman" w:hAnsi="Times New Roman" w:cs="Times New Roman"/>
          <w:iCs/>
          <w:color w:val="000000" w:themeColor="text1"/>
          <w:sz w:val="24"/>
          <w:lang w:val="en-GB"/>
        </w:rPr>
      </w:pPr>
      <w:r w:rsidRPr="00777095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e-7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.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Comparison of Aβ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vertAlign w:val="subscript"/>
          <w:lang w:val="en-GB"/>
        </w:rPr>
        <w:t>1-42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uptake by monocyte subsets between PD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patients </w:t>
      </w:r>
      <w:r w:rsidRPr="00EB38A3"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>and CN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lang w:val="en-GB"/>
        </w:rPr>
        <w:t xml:space="preserve"> subjects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There were no </w:t>
      </w:r>
      <w:r w:rsidRPr="00EB38A3">
        <w:rPr>
          <w:rFonts w:ascii="Times New Roman" w:eastAsia="宋体" w:hAnsi="Times New Roman" w:cs="Times New Roman"/>
          <w:color w:val="000000"/>
          <w:kern w:val="0"/>
          <w:sz w:val="24"/>
          <w:lang w:val="en-GB"/>
        </w:rPr>
        <w:t>significant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differences between PD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patients (</w:t>
      </w:r>
      <w:r w:rsidRPr="00DF6D5B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n=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15)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the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>age</w:t>
      </w:r>
      <w:r w:rsidRPr="00EB38A3">
        <w:rPr>
          <w:rFonts w:ascii="Times New Roman" w:eastAsia="宋体" w:hAnsi="Times New Roman" w:cs="Times New Roman"/>
          <w:color w:val="000000"/>
          <w:sz w:val="24"/>
          <w:lang w:val="en-GB"/>
        </w:rPr>
        <w:t>-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and sex-matched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CN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controls (</w:t>
      </w:r>
      <w:r w:rsidRPr="00DF6D5B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n=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15)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in Aβ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bscript"/>
          <w:lang w:val="en-GB"/>
        </w:rPr>
        <w:t>1-42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uptake by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total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monocytes (</w:t>
      </w:r>
      <w:r w:rsidRPr="00EB38A3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lang w:val="en-GB"/>
        </w:rPr>
        <w:t>a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),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the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EB38A3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lang w:val="en-GB"/>
        </w:rPr>
        <w:t>b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),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the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+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EB38A3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lang w:val="en-GB"/>
        </w:rPr>
        <w:t>c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) and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the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CD14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dim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CD16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  <w:lang w:val="en-GB"/>
        </w:rPr>
        <w:t>-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subset (</w:t>
      </w:r>
      <w:r w:rsidRPr="00EB38A3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lang w:val="en-GB"/>
        </w:rPr>
        <w:t>d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)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.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PD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=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Parkinson’s disease; CN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=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 cognitively normal control; </w:t>
      </w:r>
      <w:r w:rsidRPr="00EB38A3">
        <w:rPr>
          <w:rFonts w:ascii="Times New Roman" w:hAnsi="Times New Roman" w:cs="Times New Roman"/>
          <w:sz w:val="24"/>
          <w:lang w:val="en-GB"/>
        </w:rPr>
        <w:t xml:space="preserve">MONO </w:t>
      </w:r>
      <w:r>
        <w:rPr>
          <w:rFonts w:ascii="Times New Roman" w:hAnsi="Times New Roman" w:cs="Times New Roman"/>
          <w:sz w:val="24"/>
          <w:lang w:val="en-GB"/>
        </w:rPr>
        <w:t>=</w:t>
      </w:r>
      <w:r w:rsidRPr="00EB38A3">
        <w:rPr>
          <w:rFonts w:ascii="Times New Roman" w:hAnsi="Times New Roman" w:cs="Times New Roman"/>
          <w:sz w:val="24"/>
          <w:lang w:val="en-GB"/>
        </w:rPr>
        <w:t xml:space="preserve"> monocyte</w:t>
      </w:r>
      <w:r>
        <w:rPr>
          <w:rFonts w:ascii="Times New Roman" w:hAnsi="Times New Roman" w:cs="Times New Roman"/>
          <w:sz w:val="24"/>
          <w:lang w:val="en-GB"/>
        </w:rPr>
        <w:t>s</w:t>
      </w:r>
      <w:r w:rsidRPr="00EB38A3">
        <w:rPr>
          <w:rFonts w:ascii="Times New Roman" w:hAnsi="Times New Roman" w:cs="Times New Roman"/>
          <w:sz w:val="24"/>
          <w:lang w:val="en-GB"/>
        </w:rPr>
        <w:t xml:space="preserve">; </w:t>
      </w:r>
      <w:r w:rsidRPr="00EB38A3"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 xml:space="preserve">Aβ </w:t>
      </w:r>
      <w:r>
        <w:rPr>
          <w:rFonts w:ascii="Times New Roman" w:hAnsi="Times New Roman" w:cs="Times New Roman"/>
          <w:color w:val="000000" w:themeColor="text1"/>
          <w:kern w:val="0"/>
          <w:sz w:val="24"/>
          <w:lang w:val="en-GB"/>
        </w:rPr>
        <w:t>=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amyloid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>-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>β</w:t>
      </w:r>
      <w:r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  <w:r w:rsidRPr="00EB38A3">
        <w:rPr>
          <w:rFonts w:ascii="Times New Roman" w:hAnsi="Times New Roman" w:cs="Times New Roman"/>
          <w:color w:val="000000" w:themeColor="text1"/>
          <w:sz w:val="24"/>
          <w:lang w:val="en-GB"/>
        </w:rPr>
        <w:t>protein.</w:t>
      </w:r>
    </w:p>
    <w:p w:rsidR="00FD5481" w:rsidRPr="00FD5481" w:rsidRDefault="00FD5481" w:rsidP="00FD5481">
      <w:pPr>
        <w:jc w:val="center"/>
        <w:rPr>
          <w:rFonts w:ascii="Times New Roman" w:hAnsi="Times New Roman" w:cs="Times New Roman" w:hint="eastAsia"/>
          <w:b/>
          <w:kern w:val="0"/>
          <w:sz w:val="24"/>
          <w:lang w:val="en-GB"/>
        </w:rPr>
        <w:sectPr w:rsidR="00FD5481" w:rsidRPr="00FD5481" w:rsidSect="008525FB">
          <w:footerReference w:type="default" r:id="rId13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001A37" w:rsidRPr="00777095" w:rsidRDefault="00001A37" w:rsidP="00001A37">
      <w:pPr>
        <w:jc w:val="left"/>
        <w:rPr>
          <w:rFonts w:ascii="Times New Roman" w:hAnsi="Times New Roman" w:cs="Times New Roman"/>
          <w:b/>
          <w:kern w:val="0"/>
          <w:sz w:val="24"/>
        </w:rPr>
      </w:pPr>
      <w:r w:rsidRPr="00777095">
        <w:rPr>
          <w:rFonts w:ascii="Times New Roman" w:hAnsi="Times New Roman" w:cs="Times New Roman" w:hint="eastAsia"/>
          <w:b/>
          <w:kern w:val="0"/>
          <w:sz w:val="24"/>
        </w:rPr>
        <w:lastRenderedPageBreak/>
        <w:t xml:space="preserve">Table </w:t>
      </w:r>
      <w:r w:rsidR="00B83D6B">
        <w:rPr>
          <w:rFonts w:ascii="Times New Roman" w:hAnsi="Times New Roman" w:cs="Times New Roman"/>
          <w:b/>
          <w:kern w:val="0"/>
          <w:sz w:val="24"/>
        </w:rPr>
        <w:t>e-</w:t>
      </w:r>
      <w:r w:rsidRPr="00777095">
        <w:rPr>
          <w:rFonts w:ascii="Times New Roman" w:hAnsi="Times New Roman" w:cs="Times New Roman" w:hint="eastAsia"/>
          <w:b/>
          <w:kern w:val="0"/>
          <w:sz w:val="24"/>
        </w:rPr>
        <w:t>1</w:t>
      </w:r>
      <w:r w:rsidRPr="00777095">
        <w:rPr>
          <w:rFonts w:ascii="Times New Roman" w:hAnsi="Times New Roman" w:cs="Times New Roman"/>
          <w:b/>
          <w:kern w:val="0"/>
          <w:sz w:val="24"/>
        </w:rPr>
        <w:t>.</w:t>
      </w:r>
      <w:r w:rsidRPr="00777095">
        <w:rPr>
          <w:rFonts w:ascii="Times New Roman" w:hAnsi="Times New Roman" w:cs="Times New Roman" w:hint="eastAsia"/>
          <w:b/>
          <w:kern w:val="0"/>
          <w:sz w:val="24"/>
        </w:rPr>
        <w:t xml:space="preserve"> </w:t>
      </w:r>
      <w:r w:rsidRPr="00777095">
        <w:rPr>
          <w:rFonts w:ascii="Times New Roman" w:hAnsi="Times New Roman" w:cs="Times New Roman"/>
          <w:b/>
          <w:kern w:val="0"/>
          <w:sz w:val="24"/>
        </w:rPr>
        <w:t>Characteristics of cognitively normal subjects</w:t>
      </w:r>
    </w:p>
    <w:tbl>
      <w:tblPr>
        <w:tblStyle w:val="a8"/>
        <w:tblpPr w:leftFromText="180" w:rightFromText="180" w:vertAnchor="text" w:horzAnchor="margin" w:tblpY="263"/>
        <w:tblOverlap w:val="never"/>
        <w:tblW w:w="13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01"/>
        <w:gridCol w:w="1701"/>
        <w:gridCol w:w="1701"/>
        <w:gridCol w:w="1701"/>
        <w:gridCol w:w="1701"/>
        <w:gridCol w:w="1701"/>
      </w:tblGrid>
      <w:tr w:rsidR="00001A37" w:rsidRPr="00777095" w:rsidTr="00233745">
        <w:tc>
          <w:tcPr>
            <w:tcW w:w="2977" w:type="dxa"/>
            <w:tcBorders>
              <w:top w:val="single" w:sz="12" w:space="0" w:color="auto"/>
              <w:bottom w:val="nil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Age range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&lt;=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30 years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n=10)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31-45 years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n=25)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46-60 years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n=25)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61-75 years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n=32)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&gt;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75 year</w:t>
            </w:r>
          </w:p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n=12)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P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 xml:space="preserve"> value</w:t>
            </w:r>
          </w:p>
        </w:tc>
      </w:tr>
      <w:tr w:rsidR="00001A37" w:rsidRPr="00777095" w:rsidTr="00233745">
        <w:tc>
          <w:tcPr>
            <w:tcW w:w="2977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Age, y [mean (SD)]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25.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2.9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3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9.8 (4.0)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5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.2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3.0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69.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6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.0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5.0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&lt;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0.0001</w:t>
            </w:r>
          </w:p>
        </w:tc>
      </w:tr>
      <w:tr w:rsidR="00001A37" w:rsidRPr="00777095" w:rsidTr="00233745">
        <w:tc>
          <w:tcPr>
            <w:tcW w:w="2977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 xml:space="preserve">Female, </w:t>
            </w:r>
            <w:proofErr w:type="gramStart"/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n(</w:t>
            </w:r>
            <w:proofErr w:type="gramEnd"/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5 (50.0)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13 (52.0)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12 (48.0)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15 (46.9)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5 (41.7)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.98</w:t>
            </w:r>
          </w:p>
        </w:tc>
      </w:tr>
      <w:tr w:rsidR="00001A37" w:rsidRPr="00777095" w:rsidTr="00233745">
        <w:tc>
          <w:tcPr>
            <w:tcW w:w="2977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C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omorbidities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233745">
        <w:tc>
          <w:tcPr>
            <w:tcW w:w="2977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 w:firstLineChars="50" w:firstLine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 (0.0)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 (8.0)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 (8.0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4 (12.5)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 (16.7)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.70</w:t>
            </w:r>
          </w:p>
        </w:tc>
      </w:tr>
      <w:tr w:rsidR="00001A37" w:rsidRPr="00777095" w:rsidTr="00233745">
        <w:tc>
          <w:tcPr>
            <w:tcW w:w="2977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 w:firstLineChars="50" w:firstLine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(0.0)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(4.0)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4.0)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(6.3)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 (8.3)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.90</w:t>
            </w:r>
          </w:p>
        </w:tc>
      </w:tr>
      <w:tr w:rsidR="00001A37" w:rsidRPr="00777095" w:rsidTr="00233745"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 w:firstLineChars="50" w:firstLine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Hyperlipidemia, n (%)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 (10.0)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 (8.0)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(8.0)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 (6.25)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 (8.3)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leftChars="100" w:left="21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</w:tbl>
    <w:p w:rsidR="00001A37" w:rsidRPr="00777095" w:rsidRDefault="00001A37" w:rsidP="00001A37">
      <w:pPr>
        <w:widowControl/>
        <w:jc w:val="left"/>
        <w:rPr>
          <w:rFonts w:ascii="Times New Roman" w:hAnsi="Times New Roman" w:cs="Times New Roman"/>
          <w:b/>
          <w:kern w:val="0"/>
          <w:sz w:val="24"/>
        </w:rPr>
      </w:pPr>
    </w:p>
    <w:p w:rsidR="00001A37" w:rsidRPr="00777095" w:rsidRDefault="00001A37" w:rsidP="00001A37">
      <w:pPr>
        <w:rPr>
          <w:rFonts w:ascii="Times New Roman" w:hAnsi="Times New Roman" w:cs="Times New Roman"/>
          <w:b/>
          <w:kern w:val="0"/>
          <w:sz w:val="24"/>
        </w:rPr>
        <w:sectPr w:rsidR="00001A37" w:rsidRPr="00777095" w:rsidSect="008525FB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:rsidR="00001A37" w:rsidRPr="00777095" w:rsidRDefault="00001A37" w:rsidP="00001A37">
      <w:pPr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</w:rPr>
      </w:pPr>
      <w:r w:rsidRPr="00777095">
        <w:rPr>
          <w:rFonts w:ascii="Times New Roman" w:hAnsi="Times New Roman" w:cs="Times New Roman" w:hint="eastAsia"/>
          <w:b/>
          <w:kern w:val="0"/>
          <w:sz w:val="24"/>
        </w:rPr>
        <w:lastRenderedPageBreak/>
        <w:t xml:space="preserve">Table </w:t>
      </w:r>
      <w:r w:rsidR="00B83D6B">
        <w:rPr>
          <w:rFonts w:ascii="Times New Roman" w:hAnsi="Times New Roman" w:cs="Times New Roman"/>
          <w:b/>
          <w:kern w:val="0"/>
          <w:sz w:val="24"/>
        </w:rPr>
        <w:t>e-</w:t>
      </w:r>
      <w:r w:rsidRPr="00777095">
        <w:rPr>
          <w:rFonts w:ascii="Times New Roman" w:hAnsi="Times New Roman" w:cs="Times New Roman" w:hint="eastAsia"/>
          <w:b/>
          <w:kern w:val="0"/>
          <w:sz w:val="24"/>
        </w:rPr>
        <w:t>2</w:t>
      </w:r>
      <w:r w:rsidRPr="00777095">
        <w:rPr>
          <w:rFonts w:ascii="Times New Roman" w:hAnsi="Times New Roman" w:cs="Times New Roman"/>
          <w:b/>
          <w:kern w:val="0"/>
          <w:sz w:val="24"/>
        </w:rPr>
        <w:t>.</w:t>
      </w:r>
      <w:r w:rsidRPr="00777095">
        <w:rPr>
          <w:rFonts w:ascii="Times New Roman" w:hAnsi="Times New Roman" w:cs="Times New Roman" w:hint="eastAsia"/>
          <w:b/>
          <w:kern w:val="0"/>
          <w:sz w:val="24"/>
        </w:rPr>
        <w:t xml:space="preserve"> </w:t>
      </w:r>
      <w:r w:rsidRPr="00777095">
        <w:rPr>
          <w:rFonts w:ascii="Times New Roman" w:hAnsi="Times New Roman" w:cs="Times New Roman"/>
          <w:b/>
          <w:kern w:val="0"/>
          <w:sz w:val="24"/>
        </w:rPr>
        <w:t>Demographic data of AD patients and age- and sex-matched CN controls</w:t>
      </w:r>
    </w:p>
    <w:tbl>
      <w:tblPr>
        <w:tblStyle w:val="a8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2268"/>
        <w:gridCol w:w="1276"/>
      </w:tblGrid>
      <w:tr w:rsidR="00001A37" w:rsidRPr="00777095" w:rsidTr="00327962">
        <w:trPr>
          <w:trHeight w:val="624"/>
          <w:jc w:val="center"/>
        </w:trPr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AD</w:t>
            </w:r>
          </w:p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(n=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2)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CN</w:t>
            </w:r>
          </w:p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(n=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2)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P value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Age, y [mean (SD)]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69.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8.8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69.5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8.8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&gt;0.9999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Male,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45.5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45.5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  <w:tr w:rsidR="00327962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327962" w:rsidRPr="002E5B4F" w:rsidRDefault="00327962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i/>
                <w:sz w:val="24"/>
                <w:lang w:val="en-GB"/>
              </w:rPr>
            </w:pPr>
            <w:r w:rsidRPr="00327962">
              <w:rPr>
                <w:rFonts w:ascii="Times New Roman" w:hAnsi="Times New Roman" w:cs="Times New Roman"/>
                <w:b/>
                <w:bCs/>
                <w:sz w:val="24"/>
              </w:rPr>
              <w:t xml:space="preserve">Years of education, mean </w:t>
            </w:r>
            <w:r w:rsidRPr="00327962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327962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  <w:r w:rsidRPr="00327962">
              <w:rPr>
                <w:rFonts w:ascii="Times New Roman" w:hAnsi="Times New Roman" w:cs="Times New Roman" w:hint="eastAsia"/>
                <w:b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327962" w:rsidRDefault="00327962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9.36 (3.5)</w:t>
            </w:r>
          </w:p>
        </w:tc>
        <w:tc>
          <w:tcPr>
            <w:tcW w:w="2268" w:type="dxa"/>
            <w:vAlign w:val="center"/>
          </w:tcPr>
          <w:p w:rsidR="00327962" w:rsidRDefault="00327962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</w:rPr>
              <w:t>.41 (2.5)</w:t>
            </w:r>
          </w:p>
        </w:tc>
        <w:tc>
          <w:tcPr>
            <w:tcW w:w="1276" w:type="dxa"/>
            <w:vAlign w:val="center"/>
          </w:tcPr>
          <w:p w:rsidR="00327962" w:rsidRDefault="009D4CF5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</w:rPr>
              <w:t>.96</w:t>
            </w:r>
          </w:p>
        </w:tc>
      </w:tr>
      <w:tr w:rsidR="002E5B4F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E5B4F">
              <w:rPr>
                <w:rFonts w:ascii="Times New Roman" w:hAnsi="Times New Roman" w:cs="Times New Roman"/>
                <w:b/>
                <w:bCs/>
                <w:i/>
                <w:sz w:val="24"/>
                <w:lang w:val="en-GB"/>
              </w:rPr>
              <w:t>APOE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 xml:space="preserve"> </w:t>
            </w:r>
            <w:r w:rsidRPr="002E5B4F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ε4 carriers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>, n (</w:t>
            </w:r>
            <w:r w:rsidRPr="002E5B4F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%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>)</w:t>
            </w:r>
          </w:p>
        </w:tc>
        <w:tc>
          <w:tcPr>
            <w:tcW w:w="1701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7 (31.8)</w:t>
            </w:r>
          </w:p>
        </w:tc>
        <w:tc>
          <w:tcPr>
            <w:tcW w:w="2268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(9.1)</w:t>
            </w:r>
          </w:p>
        </w:tc>
        <w:tc>
          <w:tcPr>
            <w:tcW w:w="1276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</w:rPr>
              <w:t>.14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MMSE, mean (SD)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10.2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.2)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28.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1.1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&lt;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0.0001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CDR, mean (SD)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0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(0.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9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&lt;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0.0001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ADL, mean (SD)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45.3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20.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(1.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&lt;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0.0001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C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omorbidities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27.3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13.6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.46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13.6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.60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9.1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Medication, n (%)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AdvOTcb6dfb9e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22.7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2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9.1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0.41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3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13.6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0.60</w:t>
            </w:r>
          </w:p>
        </w:tc>
      </w:tr>
      <w:tr w:rsidR="00001A37" w:rsidRPr="00777095" w:rsidTr="00327962">
        <w:trPr>
          <w:trHeight w:val="624"/>
          <w:jc w:val="center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1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4.5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</w:tbl>
    <w:p w:rsidR="00001A37" w:rsidRPr="00777095" w:rsidRDefault="00001A37" w:rsidP="00001A37">
      <w:pPr>
        <w:rPr>
          <w:rFonts w:ascii="Times New Roman" w:hAnsi="Times New Roman" w:cs="Times New Roman"/>
          <w:b/>
          <w:kern w:val="0"/>
          <w:sz w:val="24"/>
        </w:rPr>
      </w:pPr>
    </w:p>
    <w:p w:rsidR="00001A37" w:rsidRPr="00777095" w:rsidRDefault="00001A37" w:rsidP="00001A37">
      <w:pPr>
        <w:widowControl/>
        <w:jc w:val="left"/>
        <w:rPr>
          <w:rFonts w:ascii="Times New Roman" w:hAnsi="Times New Roman" w:cs="Times New Roman"/>
          <w:b/>
          <w:kern w:val="0"/>
          <w:sz w:val="24"/>
        </w:rPr>
      </w:pPr>
      <w:r w:rsidRPr="00777095">
        <w:rPr>
          <w:rFonts w:ascii="Times New Roman" w:hAnsi="Times New Roman" w:cs="Times New Roman"/>
          <w:b/>
          <w:kern w:val="0"/>
          <w:sz w:val="24"/>
        </w:rPr>
        <w:br w:type="page"/>
      </w:r>
    </w:p>
    <w:tbl>
      <w:tblPr>
        <w:tblStyle w:val="a8"/>
        <w:tblpPr w:leftFromText="180" w:rightFromText="180" w:vertAnchor="text" w:horzAnchor="page" w:tblpX="1621" w:tblpY="780"/>
        <w:tblOverlap w:val="never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276"/>
        <w:gridCol w:w="1985"/>
        <w:gridCol w:w="1701"/>
      </w:tblGrid>
      <w:tr w:rsidR="00001A37" w:rsidRPr="00777095" w:rsidTr="00327962">
        <w:trPr>
          <w:trHeight w:val="624"/>
        </w:trPr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PD</w:t>
            </w:r>
          </w:p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 xml:space="preserve">(n= 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20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CN</w:t>
            </w:r>
          </w:p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 xml:space="preserve">(n= </w:t>
            </w: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20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P values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Age, y [mean (SD)]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5.8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(10.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6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7.3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(10.0)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.70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Male,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(5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3.3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8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(5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3.3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  <w:tr w:rsidR="00327962" w:rsidRPr="00777095" w:rsidTr="00327962">
        <w:trPr>
          <w:trHeight w:val="624"/>
        </w:trPr>
        <w:tc>
          <w:tcPr>
            <w:tcW w:w="3402" w:type="dxa"/>
            <w:vAlign w:val="center"/>
          </w:tcPr>
          <w:p w:rsidR="00327962" w:rsidRPr="002E5B4F" w:rsidRDefault="00327962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i/>
                <w:sz w:val="24"/>
                <w:lang w:val="en-GB"/>
              </w:rPr>
            </w:pPr>
            <w:r w:rsidRPr="00327962">
              <w:rPr>
                <w:rFonts w:ascii="Times New Roman" w:hAnsi="Times New Roman" w:cs="Times New Roman"/>
                <w:b/>
                <w:bCs/>
                <w:sz w:val="24"/>
              </w:rPr>
              <w:t xml:space="preserve">Years of education, mean </w:t>
            </w:r>
            <w:r w:rsidRPr="00327962">
              <w:rPr>
                <w:rFonts w:ascii="Times New Roman" w:hAnsi="Times New Roman" w:cs="Times New Roman" w:hint="eastAsia"/>
                <w:b/>
                <w:bCs/>
                <w:sz w:val="24"/>
              </w:rPr>
              <w:t>(</w:t>
            </w:r>
            <w:r w:rsidRPr="00327962">
              <w:rPr>
                <w:rFonts w:ascii="Times New Roman" w:hAnsi="Times New Roman" w:cs="Times New Roman"/>
                <w:b/>
                <w:bCs/>
                <w:sz w:val="24"/>
              </w:rPr>
              <w:t>SD</w:t>
            </w:r>
            <w:r w:rsidRPr="00327962">
              <w:rPr>
                <w:rFonts w:ascii="Times New Roman" w:hAnsi="Times New Roman" w:cs="Times New Roman" w:hint="eastAsia"/>
                <w:b/>
                <w:bCs/>
                <w:sz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327962" w:rsidRDefault="00327962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</w:rPr>
              <w:t>.2 (2.1)</w:t>
            </w:r>
          </w:p>
        </w:tc>
        <w:tc>
          <w:tcPr>
            <w:tcW w:w="1985" w:type="dxa"/>
            <w:vAlign w:val="center"/>
          </w:tcPr>
          <w:p w:rsidR="00327962" w:rsidRDefault="00327962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</w:rPr>
              <w:t>.1 (2.7)</w:t>
            </w:r>
          </w:p>
        </w:tc>
        <w:tc>
          <w:tcPr>
            <w:tcW w:w="1701" w:type="dxa"/>
            <w:vAlign w:val="center"/>
          </w:tcPr>
          <w:p w:rsidR="00327962" w:rsidRDefault="009D4CF5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</w:rPr>
              <w:t>.88</w:t>
            </w:r>
          </w:p>
        </w:tc>
      </w:tr>
      <w:tr w:rsidR="002E5B4F" w:rsidRPr="00777095" w:rsidTr="00327962">
        <w:trPr>
          <w:trHeight w:val="624"/>
        </w:trPr>
        <w:tc>
          <w:tcPr>
            <w:tcW w:w="3402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E5B4F">
              <w:rPr>
                <w:rFonts w:ascii="Times New Roman" w:hAnsi="Times New Roman" w:cs="Times New Roman"/>
                <w:b/>
                <w:bCs/>
                <w:i/>
                <w:sz w:val="24"/>
                <w:lang w:val="en-GB"/>
              </w:rPr>
              <w:t>APOE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 xml:space="preserve"> </w:t>
            </w:r>
            <w:r w:rsidRPr="002E5B4F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ε4 carriers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>, n (</w:t>
            </w:r>
            <w:r w:rsidRPr="002E5B4F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%</w:t>
            </w:r>
            <w:r w:rsidRPr="002E5B4F">
              <w:rPr>
                <w:rFonts w:ascii="Times New Roman" w:hAnsi="Times New Roman" w:cs="Times New Roman" w:hint="eastAsia"/>
                <w:b/>
                <w:bCs/>
                <w:sz w:val="24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(13.3)</w:t>
            </w:r>
          </w:p>
        </w:tc>
        <w:tc>
          <w:tcPr>
            <w:tcW w:w="1985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(6.7)</w:t>
            </w:r>
          </w:p>
        </w:tc>
        <w:tc>
          <w:tcPr>
            <w:tcW w:w="1701" w:type="dxa"/>
            <w:vAlign w:val="center"/>
          </w:tcPr>
          <w:p w:rsidR="002E5B4F" w:rsidRPr="00777095" w:rsidRDefault="002E5B4F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</w:rPr>
              <w:t>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/>
                <w:bCs/>
                <w:sz w:val="24"/>
              </w:rPr>
              <w:t>C</w:t>
            </w:r>
            <w:r w:rsidRPr="00777095">
              <w:rPr>
                <w:rFonts w:ascii="Times New Roman" w:hAnsi="Times New Roman" w:cs="Times New Roman"/>
                <w:b/>
                <w:bCs/>
                <w:sz w:val="24"/>
              </w:rPr>
              <w:t>omorbidities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6.7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0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6.7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6.7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 xml:space="preserve">0 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Medication, n (%)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AdvOTcb6dfb9e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Hypertension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 (0.0)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5.0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Diabetes mellitus</w:t>
            </w:r>
          </w:p>
        </w:tc>
        <w:tc>
          <w:tcPr>
            <w:tcW w:w="1276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 (0.0)</w:t>
            </w:r>
          </w:p>
        </w:tc>
        <w:tc>
          <w:tcPr>
            <w:tcW w:w="1985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5.0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1.00</w:t>
            </w:r>
          </w:p>
        </w:tc>
      </w:tr>
      <w:tr w:rsidR="00001A37" w:rsidRPr="00777095" w:rsidTr="00327962">
        <w:trPr>
          <w:trHeight w:val="624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77095">
              <w:rPr>
                <w:rFonts w:ascii="Times New Roman" w:eastAsia="AdvOTcb6dfb9e" w:hAnsi="Times New Roman" w:cs="Times New Roman"/>
                <w:b/>
                <w:sz w:val="24"/>
              </w:rPr>
              <w:t>Hyperlipidemia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/>
                <w:bCs/>
                <w:sz w:val="24"/>
              </w:rPr>
              <w:t>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 xml:space="preserve"> (</w:t>
            </w:r>
            <w:r w:rsidRPr="00777095">
              <w:rPr>
                <w:rFonts w:ascii="Times New Roman" w:hAnsi="Times New Roman" w:cs="Times New Roman"/>
                <w:bCs/>
                <w:sz w:val="24"/>
              </w:rPr>
              <w:t>0.0</w:t>
            </w: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1A37" w:rsidRPr="00777095" w:rsidRDefault="00001A37" w:rsidP="0023374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77095">
              <w:rPr>
                <w:rFonts w:ascii="Times New Roman" w:hAnsi="Times New Roman" w:cs="Times New Roman" w:hint="eastAsia"/>
                <w:bCs/>
                <w:sz w:val="24"/>
              </w:rPr>
              <w:t>/</w:t>
            </w:r>
          </w:p>
        </w:tc>
      </w:tr>
    </w:tbl>
    <w:p w:rsidR="003C7571" w:rsidRPr="00777095" w:rsidRDefault="00001A37">
      <w:pPr>
        <w:rPr>
          <w:sz w:val="24"/>
          <w:lang w:val="en-GB"/>
        </w:rPr>
      </w:pPr>
      <w:r w:rsidRPr="00777095">
        <w:rPr>
          <w:rFonts w:ascii="Times New Roman" w:hAnsi="Times New Roman" w:cs="Times New Roman" w:hint="eastAsia"/>
          <w:b/>
          <w:kern w:val="0"/>
          <w:sz w:val="24"/>
        </w:rPr>
        <w:t xml:space="preserve">Table </w:t>
      </w:r>
      <w:r w:rsidR="00B83D6B">
        <w:rPr>
          <w:rFonts w:ascii="Times New Roman" w:hAnsi="Times New Roman" w:cs="Times New Roman"/>
          <w:b/>
          <w:kern w:val="0"/>
          <w:sz w:val="24"/>
        </w:rPr>
        <w:t>e-</w:t>
      </w:r>
      <w:r w:rsidRPr="00777095">
        <w:rPr>
          <w:rFonts w:ascii="Times New Roman" w:hAnsi="Times New Roman" w:cs="Times New Roman"/>
          <w:b/>
          <w:kern w:val="0"/>
          <w:sz w:val="24"/>
        </w:rPr>
        <w:t>3.</w:t>
      </w:r>
      <w:r w:rsidRPr="00777095">
        <w:rPr>
          <w:rFonts w:ascii="Times New Roman" w:hAnsi="Times New Roman" w:cs="Times New Roman" w:hint="eastAsia"/>
          <w:b/>
          <w:kern w:val="0"/>
          <w:sz w:val="24"/>
        </w:rPr>
        <w:t xml:space="preserve"> </w:t>
      </w:r>
      <w:r w:rsidRPr="00777095">
        <w:rPr>
          <w:rFonts w:ascii="Times New Roman" w:hAnsi="Times New Roman" w:cs="Times New Roman"/>
          <w:b/>
          <w:kern w:val="0"/>
          <w:sz w:val="24"/>
        </w:rPr>
        <w:t>Demographic data of PD patients and age- and sex-matched CN controls</w:t>
      </w:r>
    </w:p>
    <w:sectPr w:rsidR="003C7571" w:rsidRPr="00777095" w:rsidSect="002D5A1C">
      <w:headerReference w:type="even" r:id="rId14"/>
      <w:headerReference w:type="default" r:id="rId15"/>
      <w:footerReference w:type="default" r:id="rId1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00D" w:rsidRDefault="0089000D">
      <w:r>
        <w:separator/>
      </w:r>
    </w:p>
  </w:endnote>
  <w:endnote w:type="continuationSeparator" w:id="0">
    <w:p w:rsidR="0089000D" w:rsidRDefault="00890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cb6dfb9e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0525" w:rsidRDefault="00500525">
    <w:pPr>
      <w:pStyle w:val="a3"/>
      <w:jc w:val="center"/>
    </w:pPr>
  </w:p>
  <w:p w:rsidR="00500525" w:rsidRDefault="0050052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335611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525FB" w:rsidRDefault="008525FB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14C66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14C66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91775" w:rsidRDefault="0089000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00D" w:rsidRDefault="0089000D">
      <w:r>
        <w:separator/>
      </w:r>
    </w:p>
  </w:footnote>
  <w:footnote w:type="continuationSeparator" w:id="0">
    <w:p w:rsidR="0089000D" w:rsidRDefault="008900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775" w:rsidRDefault="0089000D" w:rsidP="00114AC8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775" w:rsidRDefault="0089000D" w:rsidP="00114AC8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3817A6"/>
    <w:multiLevelType w:val="hybridMultilevel"/>
    <w:tmpl w:val="F50A1DE8"/>
    <w:lvl w:ilvl="0" w:tplc="55DE8864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D354F986" w:tentative="1">
      <w:start w:val="1"/>
      <w:numFmt w:val="lowerLetter"/>
      <w:lvlText w:val="%2)"/>
      <w:lvlJc w:val="left"/>
      <w:pPr>
        <w:ind w:left="842" w:hanging="420"/>
      </w:pPr>
    </w:lvl>
    <w:lvl w:ilvl="2" w:tplc="36D042D2" w:tentative="1">
      <w:start w:val="1"/>
      <w:numFmt w:val="lowerRoman"/>
      <w:lvlText w:val="%3."/>
      <w:lvlJc w:val="right"/>
      <w:pPr>
        <w:ind w:left="1262" w:hanging="420"/>
      </w:pPr>
    </w:lvl>
    <w:lvl w:ilvl="3" w:tplc="F244B42A" w:tentative="1">
      <w:start w:val="1"/>
      <w:numFmt w:val="decimal"/>
      <w:lvlText w:val="%4."/>
      <w:lvlJc w:val="left"/>
      <w:pPr>
        <w:ind w:left="1682" w:hanging="420"/>
      </w:pPr>
    </w:lvl>
    <w:lvl w:ilvl="4" w:tplc="3162D4CC" w:tentative="1">
      <w:start w:val="1"/>
      <w:numFmt w:val="lowerLetter"/>
      <w:lvlText w:val="%5)"/>
      <w:lvlJc w:val="left"/>
      <w:pPr>
        <w:ind w:left="2102" w:hanging="420"/>
      </w:pPr>
    </w:lvl>
    <w:lvl w:ilvl="5" w:tplc="3A541978" w:tentative="1">
      <w:start w:val="1"/>
      <w:numFmt w:val="lowerRoman"/>
      <w:lvlText w:val="%6."/>
      <w:lvlJc w:val="right"/>
      <w:pPr>
        <w:ind w:left="2522" w:hanging="420"/>
      </w:pPr>
    </w:lvl>
    <w:lvl w:ilvl="6" w:tplc="643A6D18" w:tentative="1">
      <w:start w:val="1"/>
      <w:numFmt w:val="decimal"/>
      <w:lvlText w:val="%7."/>
      <w:lvlJc w:val="left"/>
      <w:pPr>
        <w:ind w:left="2942" w:hanging="420"/>
      </w:pPr>
    </w:lvl>
    <w:lvl w:ilvl="7" w:tplc="B2CE1A4C" w:tentative="1">
      <w:start w:val="1"/>
      <w:numFmt w:val="lowerLetter"/>
      <w:lvlText w:val="%8)"/>
      <w:lvlJc w:val="left"/>
      <w:pPr>
        <w:ind w:left="3362" w:hanging="420"/>
      </w:pPr>
    </w:lvl>
    <w:lvl w:ilvl="8" w:tplc="54F0151E" w:tentative="1">
      <w:start w:val="1"/>
      <w:numFmt w:val="lowerRoman"/>
      <w:lvlText w:val="%9."/>
      <w:lvlJc w:val="right"/>
      <w:pPr>
        <w:ind w:left="37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80F"/>
    <w:rsid w:val="00001A37"/>
    <w:rsid w:val="000C480C"/>
    <w:rsid w:val="001208F8"/>
    <w:rsid w:val="001600EC"/>
    <w:rsid w:val="001C766F"/>
    <w:rsid w:val="00253EF9"/>
    <w:rsid w:val="00276226"/>
    <w:rsid w:val="002A2338"/>
    <w:rsid w:val="002E0EFD"/>
    <w:rsid w:val="002E5B4F"/>
    <w:rsid w:val="00326AEB"/>
    <w:rsid w:val="00327962"/>
    <w:rsid w:val="003705AD"/>
    <w:rsid w:val="00493A30"/>
    <w:rsid w:val="00500525"/>
    <w:rsid w:val="006621C4"/>
    <w:rsid w:val="00705378"/>
    <w:rsid w:val="00746030"/>
    <w:rsid w:val="00777095"/>
    <w:rsid w:val="007D4171"/>
    <w:rsid w:val="0080280F"/>
    <w:rsid w:val="008525FB"/>
    <w:rsid w:val="0089000D"/>
    <w:rsid w:val="00952DEA"/>
    <w:rsid w:val="009B4558"/>
    <w:rsid w:val="009D4CF5"/>
    <w:rsid w:val="00A14C66"/>
    <w:rsid w:val="00AE7E35"/>
    <w:rsid w:val="00B83D6B"/>
    <w:rsid w:val="00CC1217"/>
    <w:rsid w:val="00D7619C"/>
    <w:rsid w:val="00D85D6F"/>
    <w:rsid w:val="00DB34DC"/>
    <w:rsid w:val="00E342D2"/>
    <w:rsid w:val="00E46AB0"/>
    <w:rsid w:val="00E54EF9"/>
    <w:rsid w:val="00E9041D"/>
    <w:rsid w:val="00EA5E2D"/>
    <w:rsid w:val="00EC33D5"/>
    <w:rsid w:val="00F318E8"/>
    <w:rsid w:val="00F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5DF1C3-DCB7-4451-9CB6-35436CCD1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80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0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0280F"/>
    <w:rPr>
      <w:sz w:val="18"/>
      <w:szCs w:val="18"/>
    </w:rPr>
  </w:style>
  <w:style w:type="paragraph" w:styleId="a4">
    <w:name w:val="header"/>
    <w:basedOn w:val="a"/>
    <w:link w:val="Char0"/>
    <w:qFormat/>
    <w:rsid w:val="0080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80280F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80280F"/>
  </w:style>
  <w:style w:type="character" w:styleId="a6">
    <w:name w:val="Hyperlink"/>
    <w:basedOn w:val="a0"/>
    <w:uiPriority w:val="99"/>
    <w:qFormat/>
    <w:rsid w:val="00DB34DC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DB34DC"/>
    <w:pPr>
      <w:ind w:firstLineChars="200" w:firstLine="420"/>
    </w:pPr>
  </w:style>
  <w:style w:type="table" w:styleId="a8">
    <w:name w:val="Table Grid"/>
    <w:basedOn w:val="a1"/>
    <w:uiPriority w:val="59"/>
    <w:qFormat/>
    <w:rsid w:val="00001A37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8</Pages>
  <Words>685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Yan-Jiang Wang</dc:creator>
  <cp:keywords/>
  <dc:description/>
  <cp:lastModifiedBy>CSH</cp:lastModifiedBy>
  <cp:revision>26</cp:revision>
  <dcterms:created xsi:type="dcterms:W3CDTF">2020-03-21T08:57:00Z</dcterms:created>
  <dcterms:modified xsi:type="dcterms:W3CDTF">2020-06-04T04:25:00Z</dcterms:modified>
</cp:coreProperties>
</file>